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45B" w:rsidRPr="007A2B61" w:rsidRDefault="0055445B" w:rsidP="0055445B">
      <w:pPr>
        <w:rPr>
          <w:rFonts w:ascii="Times New Roman" w:hAnsi="Times New Roman" w:cs="Times New Roman"/>
        </w:rPr>
      </w:pPr>
      <w:r w:rsidRPr="007A2B61">
        <w:rPr>
          <w:rFonts w:ascii="Times New Roman" w:hAnsi="Times New Roman" w:cs="Times New Roman"/>
        </w:rPr>
        <w:t xml:space="preserve">ARTICLE </w:t>
      </w:r>
      <w:r w:rsidR="00F34601">
        <w:rPr>
          <w:rFonts w:ascii="Times New Roman" w:hAnsi="Times New Roman" w:cs="Times New Roman"/>
        </w:rPr>
        <w:t>16</w:t>
      </w:r>
      <w:r>
        <w:rPr>
          <w:rFonts w:ascii="Times New Roman" w:hAnsi="Times New Roman" w:cs="Times New Roman"/>
        </w:rPr>
        <w:t xml:space="preserve"> - </w:t>
      </w:r>
      <w:r w:rsidRPr="00E1254B">
        <w:rPr>
          <w:rFonts w:ascii="Times New Roman" w:hAnsi="Times New Roman" w:cs="Times New Roman"/>
        </w:rPr>
        <w:t xml:space="preserve">Habilitation ordonnance </w:t>
      </w:r>
      <w:r>
        <w:rPr>
          <w:rFonts w:ascii="Times New Roman" w:hAnsi="Times New Roman" w:cs="Times New Roman"/>
        </w:rPr>
        <w:t>protection sociale</w:t>
      </w:r>
    </w:p>
    <w:p w:rsidR="0055445B" w:rsidRPr="007A2B61" w:rsidRDefault="0055445B" w:rsidP="0055445B">
      <w:pPr>
        <w:jc w:val="center"/>
        <w:rPr>
          <w:rFonts w:ascii="Times New Roman" w:hAnsi="Times New Roman" w:cs="Times New Roman"/>
          <w:b/>
          <w:u w:val="single"/>
        </w:rPr>
      </w:pPr>
      <w:r w:rsidRPr="007A2B61">
        <w:rPr>
          <w:rFonts w:ascii="Times New Roman" w:hAnsi="Times New Roman" w:cs="Times New Roman"/>
          <w:b/>
          <w:u w:val="single"/>
        </w:rPr>
        <w:t>TABLEAU DE SUIVI DES MODIFICATIONS</w:t>
      </w:r>
    </w:p>
    <w:p w:rsidR="0055445B" w:rsidRPr="007A2B61" w:rsidRDefault="0055445B" w:rsidP="0055445B">
      <w:pPr>
        <w:rPr>
          <w:rFonts w:ascii="Times New Roman" w:hAnsi="Times New Roman" w:cs="Times New Roman"/>
        </w:rPr>
      </w:pPr>
    </w:p>
    <w:tbl>
      <w:tblPr>
        <w:tblStyle w:val="Grilledutableau"/>
        <w:tblW w:w="0" w:type="auto"/>
        <w:tblLook w:val="04A0" w:firstRow="1" w:lastRow="0" w:firstColumn="1" w:lastColumn="0" w:noHBand="0" w:noVBand="1"/>
      </w:tblPr>
      <w:tblGrid>
        <w:gridCol w:w="4664"/>
        <w:gridCol w:w="4665"/>
        <w:gridCol w:w="4665"/>
      </w:tblGrid>
      <w:tr w:rsidR="0055445B" w:rsidRPr="007A2B61" w:rsidTr="00E75623">
        <w:tc>
          <w:tcPr>
            <w:tcW w:w="4664" w:type="dxa"/>
            <w:shd w:val="clear" w:color="auto" w:fill="D0CECE" w:themeFill="background2" w:themeFillShade="E6"/>
          </w:tcPr>
          <w:p w:rsidR="0055445B" w:rsidRPr="007A2B61" w:rsidRDefault="0055445B" w:rsidP="00E75623">
            <w:pPr>
              <w:ind w:firstLine="708"/>
              <w:jc w:val="center"/>
              <w:rPr>
                <w:rFonts w:ascii="Times New Roman" w:hAnsi="Times New Roman" w:cs="Times New Roman"/>
              </w:rPr>
            </w:pPr>
            <w:r w:rsidRPr="007A2B61">
              <w:rPr>
                <w:rFonts w:ascii="Times New Roman" w:hAnsi="Times New Roman" w:cs="Times New Roman"/>
              </w:rPr>
              <w:t>DISPOSITIONS ACTUELLES</w:t>
            </w:r>
          </w:p>
        </w:tc>
        <w:tc>
          <w:tcPr>
            <w:tcW w:w="4665" w:type="dxa"/>
            <w:shd w:val="clear" w:color="auto" w:fill="D0CECE" w:themeFill="background2" w:themeFillShade="E6"/>
          </w:tcPr>
          <w:p w:rsidR="0055445B" w:rsidRPr="007A2B61" w:rsidRDefault="0055445B" w:rsidP="00E75623">
            <w:pPr>
              <w:jc w:val="center"/>
              <w:rPr>
                <w:rFonts w:ascii="Times New Roman" w:hAnsi="Times New Roman" w:cs="Times New Roman"/>
              </w:rPr>
            </w:pPr>
            <w:r w:rsidRPr="007A2B61">
              <w:rPr>
                <w:rFonts w:ascii="Times New Roman" w:hAnsi="Times New Roman" w:cs="Times New Roman"/>
              </w:rPr>
              <w:t>DISPOSITIONS DU PJL</w:t>
            </w:r>
          </w:p>
        </w:tc>
        <w:tc>
          <w:tcPr>
            <w:tcW w:w="4665" w:type="dxa"/>
            <w:shd w:val="clear" w:color="auto" w:fill="D0CECE" w:themeFill="background2" w:themeFillShade="E6"/>
          </w:tcPr>
          <w:p w:rsidR="0055445B" w:rsidRPr="007A2B61" w:rsidRDefault="0055445B" w:rsidP="00E75623">
            <w:pPr>
              <w:jc w:val="center"/>
              <w:rPr>
                <w:rFonts w:ascii="Times New Roman" w:hAnsi="Times New Roman" w:cs="Times New Roman"/>
              </w:rPr>
            </w:pPr>
            <w:r>
              <w:rPr>
                <w:rFonts w:ascii="Times New Roman" w:hAnsi="Times New Roman" w:cs="Times New Roman"/>
              </w:rPr>
              <w:t>DISPOSITIONS CONSOLIDEES</w:t>
            </w:r>
          </w:p>
        </w:tc>
      </w:tr>
      <w:tr w:rsidR="0055445B" w:rsidRPr="0055445B" w:rsidTr="007B1338">
        <w:trPr>
          <w:trHeight w:val="1568"/>
        </w:trPr>
        <w:tc>
          <w:tcPr>
            <w:tcW w:w="4664" w:type="dxa"/>
            <w:vMerge w:val="restart"/>
          </w:tcPr>
          <w:p w:rsidR="0055445B" w:rsidRPr="0055445B" w:rsidRDefault="0055445B" w:rsidP="00E75623">
            <w:pPr>
              <w:rPr>
                <w:rFonts w:ascii="Times New Roman" w:hAnsi="Times New Roman" w:cs="Times New Roman"/>
              </w:rPr>
            </w:pPr>
          </w:p>
        </w:tc>
        <w:tc>
          <w:tcPr>
            <w:tcW w:w="4665" w:type="dxa"/>
            <w:vMerge w:val="restart"/>
          </w:tcPr>
          <w:p w:rsidR="0055445B" w:rsidRDefault="0055445B" w:rsidP="00E75623">
            <w:pPr>
              <w:jc w:val="both"/>
              <w:rPr>
                <w:rFonts w:ascii="Times New Roman" w:hAnsi="Times New Roman" w:cs="Times New Roman"/>
              </w:rPr>
            </w:pPr>
          </w:p>
          <w:p w:rsidR="0055445B" w:rsidRPr="0055445B" w:rsidRDefault="0055445B" w:rsidP="00E75623">
            <w:pPr>
              <w:jc w:val="both"/>
              <w:rPr>
                <w:rFonts w:ascii="Times New Roman" w:hAnsi="Times New Roman" w:cs="Times New Roman"/>
              </w:rPr>
            </w:pPr>
            <w:r w:rsidRPr="0055445B">
              <w:rPr>
                <w:rFonts w:ascii="Times New Roman" w:hAnsi="Times New Roman" w:cs="Times New Roman"/>
              </w:rPr>
              <w:t>I.- Dans les conditions prévues à l'article 38 de la Constitution, le Gouvernement est habilité à prendre par ordonnances toute mesure relevant du domaine de la loi visant à :</w:t>
            </w:r>
          </w:p>
          <w:p w:rsidR="0055445B" w:rsidRPr="0055445B" w:rsidRDefault="0055445B" w:rsidP="00E75623">
            <w:pPr>
              <w:jc w:val="both"/>
              <w:rPr>
                <w:rFonts w:ascii="Times New Roman" w:hAnsi="Times New Roman" w:cs="Times New Roman"/>
              </w:rPr>
            </w:pPr>
            <w:r w:rsidRPr="0055445B">
              <w:rPr>
                <w:rFonts w:ascii="Times New Roman" w:hAnsi="Times New Roman" w:cs="Times New Roman"/>
              </w:rPr>
              <w:t>1° Réformer la participation des employeurs mentionnés à l’article 2 de la loi n° 83-634 du 13 juillet 1983, au financement des garanties de protection sociale complémentaire de leurs personnels pour favoriser la couverture sociale complémentaire des agents publics ;</w:t>
            </w:r>
          </w:p>
          <w:p w:rsidR="0055445B" w:rsidRPr="0055445B" w:rsidRDefault="0055445B" w:rsidP="00E75623">
            <w:pPr>
              <w:jc w:val="both"/>
              <w:rPr>
                <w:rFonts w:ascii="Times New Roman" w:hAnsi="Times New Roman" w:cs="Times New Roman"/>
              </w:rPr>
            </w:pPr>
            <w:r w:rsidRPr="0055445B">
              <w:rPr>
                <w:rFonts w:ascii="Times New Roman" w:hAnsi="Times New Roman" w:cs="Times New Roman"/>
              </w:rPr>
              <w:t>2° Réformer l’organisation et le fonctionnement des instances médicales et de la médecine agréée et autoriser la mutualisation des services de médecine de prévention pour faciliter la prise en charge des agents publics ;</w:t>
            </w:r>
          </w:p>
          <w:p w:rsidR="0055445B" w:rsidRPr="0055445B" w:rsidRDefault="0055445B" w:rsidP="00E75623">
            <w:pPr>
              <w:jc w:val="both"/>
              <w:rPr>
                <w:rFonts w:ascii="Times New Roman" w:hAnsi="Times New Roman" w:cs="Times New Roman"/>
              </w:rPr>
            </w:pPr>
            <w:r w:rsidRPr="0055445B">
              <w:rPr>
                <w:rFonts w:ascii="Times New Roman" w:hAnsi="Times New Roman" w:cs="Times New Roman"/>
              </w:rPr>
              <w:t>3° Simplifier les règles applicables aux agents publics relatives à l’aptitude physique à l’entrée dans la fonction publique, aux différents congés et positions statutaires pour maladies d’origines non professionnelle et professionnelle et aux prérogatives et obligations professionnelles des agents publics traitant les dossiers d’accidents et maladies professionnels ;</w:t>
            </w:r>
          </w:p>
          <w:p w:rsidR="0055445B" w:rsidRPr="0055445B" w:rsidRDefault="0055445B" w:rsidP="00E75623">
            <w:pPr>
              <w:jc w:val="both"/>
              <w:rPr>
                <w:rFonts w:ascii="Times New Roman" w:hAnsi="Times New Roman" w:cs="Times New Roman"/>
              </w:rPr>
            </w:pPr>
            <w:r w:rsidRPr="0055445B">
              <w:rPr>
                <w:rFonts w:ascii="Times New Roman" w:hAnsi="Times New Roman" w:cs="Times New Roman"/>
              </w:rPr>
              <w:t>4° Réformer les dispositions applicables aux agents publics en matière de temps partiel pour raison thérapeutique et de reclassement par suite d’une altération de leur état de santé pour favoriser leur maintien et leur retour à l’emploi ;</w:t>
            </w:r>
          </w:p>
          <w:p w:rsidR="0055445B" w:rsidRDefault="0055445B" w:rsidP="00E75623">
            <w:pPr>
              <w:jc w:val="both"/>
              <w:rPr>
                <w:rFonts w:ascii="Times New Roman" w:hAnsi="Times New Roman" w:cs="Times New Roman"/>
              </w:rPr>
            </w:pPr>
            <w:r w:rsidRPr="0055445B">
              <w:rPr>
                <w:rFonts w:ascii="Times New Roman" w:hAnsi="Times New Roman" w:cs="Times New Roman"/>
              </w:rPr>
              <w:lastRenderedPageBreak/>
              <w:t>5° Clarifier et compléter, en transposant et, le cas échéant, en adaptant les évolutions intervenues en faveur des salariés relevant du code du travail et du régime général de sécurité sociale, les dispositions relatives au congé pour maternité, au congé pour adoption, au congé de paternité et d’accueil de l’enfant et au congé du proche aidant des agents publics ;</w:t>
            </w:r>
          </w:p>
          <w:p w:rsidR="0055445B" w:rsidRPr="0055445B" w:rsidRDefault="0055445B" w:rsidP="00E75623">
            <w:pPr>
              <w:jc w:val="both"/>
              <w:rPr>
                <w:rFonts w:ascii="Times New Roman" w:hAnsi="Times New Roman" w:cs="Times New Roman"/>
              </w:rPr>
            </w:pPr>
          </w:p>
          <w:p w:rsidR="0055445B" w:rsidRPr="0055445B" w:rsidRDefault="0055445B" w:rsidP="00E75623">
            <w:pPr>
              <w:jc w:val="both"/>
              <w:rPr>
                <w:rFonts w:ascii="Times New Roman" w:hAnsi="Times New Roman" w:cs="Times New Roman"/>
              </w:rPr>
            </w:pPr>
            <w:r w:rsidRPr="0055445B">
              <w:rPr>
                <w:rFonts w:ascii="Times New Roman" w:hAnsi="Times New Roman" w:cs="Times New Roman"/>
              </w:rPr>
              <w:t xml:space="preserve">II.- Les ordonnances prévues aux 1°, 3°, 4° et 5° du I sont prises dans un délai de neuf mois à compter de la publication de la présente loi. </w:t>
            </w:r>
          </w:p>
          <w:p w:rsidR="0055445B" w:rsidRPr="0055445B" w:rsidRDefault="0055445B" w:rsidP="00E75623">
            <w:pPr>
              <w:jc w:val="both"/>
              <w:rPr>
                <w:rFonts w:ascii="Times New Roman" w:hAnsi="Times New Roman" w:cs="Times New Roman"/>
              </w:rPr>
            </w:pPr>
            <w:r w:rsidRPr="0055445B">
              <w:rPr>
                <w:rFonts w:ascii="Times New Roman" w:hAnsi="Times New Roman" w:cs="Times New Roman"/>
              </w:rPr>
              <w:t>L’ordonnance prévue au 2° du I est prise dans un délai de douze mois à compter de la publication de la présente loi.</w:t>
            </w:r>
          </w:p>
          <w:p w:rsidR="0055445B" w:rsidRPr="0055445B" w:rsidRDefault="0055445B" w:rsidP="00786B77">
            <w:pPr>
              <w:jc w:val="both"/>
              <w:rPr>
                <w:rFonts w:ascii="Times New Roman" w:hAnsi="Times New Roman" w:cs="Times New Roman"/>
              </w:rPr>
            </w:pPr>
            <w:r w:rsidRPr="0055445B">
              <w:rPr>
                <w:rFonts w:ascii="Times New Roman" w:hAnsi="Times New Roman" w:cs="Times New Roman"/>
              </w:rPr>
              <w:t xml:space="preserve">Un projet de loi de ratification est déposé devant le Parlement dans un délai de </w:t>
            </w:r>
            <w:r w:rsidR="00786B77">
              <w:rPr>
                <w:rFonts w:ascii="Times New Roman" w:hAnsi="Times New Roman" w:cs="Times New Roman"/>
              </w:rPr>
              <w:t xml:space="preserve">trois </w:t>
            </w:r>
            <w:bookmarkStart w:id="0" w:name="_GoBack"/>
            <w:bookmarkEnd w:id="0"/>
            <w:r w:rsidRPr="0055445B">
              <w:rPr>
                <w:rFonts w:ascii="Times New Roman" w:hAnsi="Times New Roman" w:cs="Times New Roman"/>
              </w:rPr>
              <w:t>mois à compter de la publication de ces ordonnances.</w:t>
            </w:r>
          </w:p>
        </w:tc>
        <w:tc>
          <w:tcPr>
            <w:tcW w:w="4665" w:type="dxa"/>
          </w:tcPr>
          <w:p w:rsidR="0055445B" w:rsidRDefault="0055445B" w:rsidP="00E75623">
            <w:pPr>
              <w:jc w:val="both"/>
              <w:rPr>
                <w:rFonts w:ascii="Times New Roman" w:hAnsi="Times New Roman" w:cs="Times New Roman"/>
              </w:rPr>
            </w:pPr>
          </w:p>
          <w:p w:rsidR="0055445B" w:rsidRPr="0055445B" w:rsidRDefault="0055445B" w:rsidP="0055445B">
            <w:pPr>
              <w:jc w:val="both"/>
              <w:rPr>
                <w:rFonts w:ascii="Times New Roman" w:hAnsi="Times New Roman" w:cs="Times New Roman"/>
                <w:b/>
              </w:rPr>
            </w:pPr>
            <w:r w:rsidRPr="0055445B">
              <w:rPr>
                <w:rFonts w:ascii="Times New Roman" w:hAnsi="Times New Roman" w:cs="Times New Roman"/>
                <w:b/>
              </w:rPr>
              <w:t>Disposition non consolidée</w:t>
            </w:r>
          </w:p>
        </w:tc>
      </w:tr>
      <w:tr w:rsidR="0055445B" w:rsidRPr="0055445B" w:rsidTr="00E75623">
        <w:tc>
          <w:tcPr>
            <w:tcW w:w="4664" w:type="dxa"/>
            <w:vMerge/>
          </w:tcPr>
          <w:p w:rsidR="0055445B" w:rsidRPr="0055445B" w:rsidRDefault="0055445B" w:rsidP="00E75623">
            <w:pPr>
              <w:rPr>
                <w:rFonts w:ascii="Times New Roman" w:hAnsi="Times New Roman" w:cs="Times New Roman"/>
              </w:rPr>
            </w:pPr>
          </w:p>
        </w:tc>
        <w:tc>
          <w:tcPr>
            <w:tcW w:w="4665" w:type="dxa"/>
            <w:vMerge/>
          </w:tcPr>
          <w:p w:rsidR="0055445B" w:rsidRPr="0055445B" w:rsidRDefault="0055445B" w:rsidP="00E75623">
            <w:pPr>
              <w:jc w:val="both"/>
              <w:rPr>
                <w:rFonts w:ascii="Times New Roman" w:hAnsi="Times New Roman" w:cs="Times New Roman"/>
              </w:rPr>
            </w:pPr>
          </w:p>
        </w:tc>
        <w:tc>
          <w:tcPr>
            <w:tcW w:w="4665" w:type="dxa"/>
          </w:tcPr>
          <w:p w:rsidR="0055445B" w:rsidRPr="0055445B" w:rsidRDefault="0055445B" w:rsidP="00E75623">
            <w:pPr>
              <w:jc w:val="both"/>
              <w:rPr>
                <w:rFonts w:ascii="Times New Roman" w:hAnsi="Times New Roman" w:cs="Times New Roman"/>
              </w:rPr>
            </w:pPr>
          </w:p>
        </w:tc>
      </w:tr>
    </w:tbl>
    <w:p w:rsidR="0055445B" w:rsidRPr="0055445B" w:rsidRDefault="0055445B" w:rsidP="0055445B">
      <w:pPr>
        <w:rPr>
          <w:rFonts w:ascii="Times New Roman" w:hAnsi="Times New Roman" w:cs="Times New Roman"/>
        </w:rPr>
      </w:pPr>
    </w:p>
    <w:p w:rsidR="00FB4DDB" w:rsidRDefault="00FB4DDB"/>
    <w:sectPr w:rsidR="00FB4DDB" w:rsidSect="007A2B61">
      <w:foot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F5E" w:rsidRDefault="00F34601">
      <w:pPr>
        <w:spacing w:after="0" w:line="240" w:lineRule="auto"/>
      </w:pPr>
      <w:r>
        <w:separator/>
      </w:r>
    </w:p>
  </w:endnote>
  <w:endnote w:type="continuationSeparator" w:id="0">
    <w:p w:rsidR="00AC1F5E" w:rsidRDefault="00F34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Rounded MT Bold"/>
    <w:panose1 w:val="020F0502020204030204"/>
    <w:charset w:val="00"/>
    <w:family w:val="swiss"/>
    <w:pitch w:val="variable"/>
    <w:sig w:usb0="E0002A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C46" w:rsidRPr="006F7C46" w:rsidRDefault="0055445B" w:rsidP="006F7C46">
    <w:pPr>
      <w:pStyle w:val="Pieddepage"/>
      <w:jc w:val="right"/>
      <w:rPr>
        <w:rFonts w:ascii="Arial Narrow" w:hAnsi="Arial Narrow"/>
        <w:b/>
        <w:color w:val="A6A6A6" w:themeColor="background1" w:themeShade="A6"/>
        <w:sz w:val="18"/>
      </w:rPr>
    </w:pPr>
    <w:r w:rsidRPr="006F7C46">
      <w:rPr>
        <w:rFonts w:ascii="Arial Narrow" w:hAnsi="Arial Narrow"/>
        <w:b/>
        <w:color w:val="A6A6A6" w:themeColor="background1" w:themeShade="A6"/>
        <w:sz w:val="18"/>
      </w:rPr>
      <w:t xml:space="preserve">Page </w:t>
    </w:r>
    <w:r w:rsidRPr="006F7C46">
      <w:rPr>
        <w:rFonts w:ascii="Arial Narrow" w:hAnsi="Arial Narrow"/>
        <w:b/>
        <w:color w:val="A6A6A6" w:themeColor="background1" w:themeShade="A6"/>
        <w:sz w:val="18"/>
      </w:rPr>
      <w:fldChar w:fldCharType="begin"/>
    </w:r>
    <w:r w:rsidRPr="006F7C46">
      <w:rPr>
        <w:rFonts w:ascii="Arial Narrow" w:hAnsi="Arial Narrow"/>
        <w:b/>
        <w:color w:val="A6A6A6" w:themeColor="background1" w:themeShade="A6"/>
        <w:sz w:val="18"/>
      </w:rPr>
      <w:instrText>PAGE  \* Arabic  \* MERGEFORMAT</w:instrText>
    </w:r>
    <w:r w:rsidRPr="006F7C46">
      <w:rPr>
        <w:rFonts w:ascii="Arial Narrow" w:hAnsi="Arial Narrow"/>
        <w:b/>
        <w:color w:val="A6A6A6" w:themeColor="background1" w:themeShade="A6"/>
        <w:sz w:val="18"/>
      </w:rPr>
      <w:fldChar w:fldCharType="separate"/>
    </w:r>
    <w:r w:rsidR="00786B77">
      <w:rPr>
        <w:rFonts w:ascii="Arial Narrow" w:hAnsi="Arial Narrow"/>
        <w:b/>
        <w:noProof/>
        <w:color w:val="A6A6A6" w:themeColor="background1" w:themeShade="A6"/>
        <w:sz w:val="18"/>
      </w:rPr>
      <w:t>2</w:t>
    </w:r>
    <w:r w:rsidRPr="006F7C46">
      <w:rPr>
        <w:rFonts w:ascii="Arial Narrow" w:hAnsi="Arial Narrow"/>
        <w:b/>
        <w:color w:val="A6A6A6" w:themeColor="background1" w:themeShade="A6"/>
        <w:sz w:val="18"/>
      </w:rPr>
      <w:fldChar w:fldCharType="end"/>
    </w:r>
    <w:r w:rsidRPr="006F7C46">
      <w:rPr>
        <w:rFonts w:ascii="Arial Narrow" w:hAnsi="Arial Narrow"/>
        <w:b/>
        <w:color w:val="A6A6A6" w:themeColor="background1" w:themeShade="A6"/>
        <w:sz w:val="18"/>
      </w:rPr>
      <w:t xml:space="preserve"> sur </w:t>
    </w:r>
    <w:r w:rsidRPr="006F7C46">
      <w:rPr>
        <w:rFonts w:ascii="Arial Narrow" w:hAnsi="Arial Narrow"/>
        <w:b/>
        <w:color w:val="A6A6A6" w:themeColor="background1" w:themeShade="A6"/>
        <w:sz w:val="18"/>
      </w:rPr>
      <w:fldChar w:fldCharType="begin"/>
    </w:r>
    <w:r w:rsidRPr="006F7C46">
      <w:rPr>
        <w:rFonts w:ascii="Arial Narrow" w:hAnsi="Arial Narrow"/>
        <w:b/>
        <w:color w:val="A6A6A6" w:themeColor="background1" w:themeShade="A6"/>
        <w:sz w:val="18"/>
      </w:rPr>
      <w:instrText>NUMPAGES  \* Arabic  \* MERGEFORMAT</w:instrText>
    </w:r>
    <w:r w:rsidRPr="006F7C46">
      <w:rPr>
        <w:rFonts w:ascii="Arial Narrow" w:hAnsi="Arial Narrow"/>
        <w:b/>
        <w:color w:val="A6A6A6" w:themeColor="background1" w:themeShade="A6"/>
        <w:sz w:val="18"/>
      </w:rPr>
      <w:fldChar w:fldCharType="separate"/>
    </w:r>
    <w:r w:rsidR="00786B77">
      <w:rPr>
        <w:rFonts w:ascii="Arial Narrow" w:hAnsi="Arial Narrow"/>
        <w:b/>
        <w:noProof/>
        <w:color w:val="A6A6A6" w:themeColor="background1" w:themeShade="A6"/>
        <w:sz w:val="18"/>
      </w:rPr>
      <w:t>2</w:t>
    </w:r>
    <w:r w:rsidRPr="006F7C46">
      <w:rPr>
        <w:rFonts w:ascii="Arial Narrow" w:hAnsi="Arial Narrow"/>
        <w:b/>
        <w:color w:val="A6A6A6" w:themeColor="background1" w:themeShade="A6"/>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F5E" w:rsidRDefault="00F34601">
      <w:pPr>
        <w:spacing w:after="0" w:line="240" w:lineRule="auto"/>
      </w:pPr>
      <w:r>
        <w:separator/>
      </w:r>
    </w:p>
  </w:footnote>
  <w:footnote w:type="continuationSeparator" w:id="0">
    <w:p w:rsidR="00AC1F5E" w:rsidRDefault="00F346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45B"/>
    <w:rsid w:val="0055445B"/>
    <w:rsid w:val="00786B77"/>
    <w:rsid w:val="00AC1F5E"/>
    <w:rsid w:val="00F34601"/>
    <w:rsid w:val="00FB4D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CCB1B-C830-403C-ACA9-7681FA02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45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54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5544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4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344</Words>
  <Characters>1897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TOUATI Gabrielle</dc:creator>
  <cp:keywords/>
  <dc:description/>
  <cp:lastModifiedBy>LEMASSON-GERNER Caroline</cp:lastModifiedBy>
  <cp:revision>3</cp:revision>
  <dcterms:created xsi:type="dcterms:W3CDTF">2019-02-04T15:30:00Z</dcterms:created>
  <dcterms:modified xsi:type="dcterms:W3CDTF">2019-02-06T20:43:00Z</dcterms:modified>
</cp:coreProperties>
</file>