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86" w:rsidRPr="00A0221D" w:rsidRDefault="005E2786" w:rsidP="005E2786">
      <w:pPr>
        <w:spacing w:before="120" w:after="240"/>
        <w:rPr>
          <w:b/>
          <w:u w:val="single"/>
        </w:rPr>
      </w:pPr>
    </w:p>
    <w:tbl>
      <w:tblPr>
        <w:tblStyle w:val="Grilledutableau"/>
        <w:tblW w:w="14283" w:type="dxa"/>
        <w:tblLook w:val="04A0" w:firstRow="1" w:lastRow="0" w:firstColumn="1" w:lastColumn="0" w:noHBand="0" w:noVBand="1"/>
      </w:tblPr>
      <w:tblGrid>
        <w:gridCol w:w="4928"/>
        <w:gridCol w:w="4536"/>
        <w:gridCol w:w="4819"/>
      </w:tblGrid>
      <w:tr w:rsidR="00EE3B7E" w:rsidRPr="004D0C4F" w:rsidTr="00EE3B7E">
        <w:trPr>
          <w:trHeight w:val="491"/>
        </w:trPr>
        <w:tc>
          <w:tcPr>
            <w:tcW w:w="14283" w:type="dxa"/>
            <w:gridSpan w:val="3"/>
            <w:shd w:val="clear" w:color="auto" w:fill="DDD9C3" w:themeFill="background2" w:themeFillShade="E6"/>
          </w:tcPr>
          <w:p w:rsidR="00EE3B7E" w:rsidRPr="00EE3B7E" w:rsidRDefault="00EE3B7E" w:rsidP="004D0C4F">
            <w:pPr>
              <w:jc w:val="center"/>
              <w:rPr>
                <w:rFonts w:ascii="Times New Roman" w:hAnsi="Times New Roman" w:cs="Times New Roman"/>
                <w:b/>
                <w:sz w:val="24"/>
                <w:szCs w:val="24"/>
              </w:rPr>
            </w:pPr>
            <w:r w:rsidRPr="00EE3B7E">
              <w:rPr>
                <w:rFonts w:ascii="Times New Roman" w:hAnsi="Times New Roman" w:cs="Times New Roman"/>
                <w:b/>
                <w:sz w:val="24"/>
                <w:szCs w:val="24"/>
              </w:rPr>
              <w:t>Article 18 du PJL Fonction publique – Mesures FPT – Possibilité de fusion de centres de gestion et rapport annuel du CNFPT</w:t>
            </w:r>
          </w:p>
        </w:tc>
      </w:tr>
      <w:tr w:rsidR="00EE3B7E" w:rsidRPr="004D0C4F" w:rsidTr="00EE3B7E">
        <w:tc>
          <w:tcPr>
            <w:tcW w:w="4928" w:type="dxa"/>
            <w:shd w:val="clear" w:color="auto" w:fill="DDD9C3" w:themeFill="background2" w:themeFillShade="E6"/>
          </w:tcPr>
          <w:p w:rsidR="00EE3B7E" w:rsidRPr="004D0C4F" w:rsidRDefault="00EE3B7E" w:rsidP="004D0C4F">
            <w:pPr>
              <w:jc w:val="center"/>
              <w:rPr>
                <w:rFonts w:ascii="Times New Roman" w:hAnsi="Times New Roman" w:cs="Times New Roman"/>
              </w:rPr>
            </w:pPr>
            <w:r w:rsidRPr="004D0C4F">
              <w:rPr>
                <w:rFonts w:ascii="Times New Roman" w:hAnsi="Times New Roman" w:cs="Times New Roman"/>
              </w:rPr>
              <w:t>DISPOSITIONS ACTUELLES</w:t>
            </w:r>
          </w:p>
        </w:tc>
        <w:tc>
          <w:tcPr>
            <w:tcW w:w="4536" w:type="dxa"/>
            <w:shd w:val="clear" w:color="auto" w:fill="DDD9C3" w:themeFill="background2" w:themeFillShade="E6"/>
          </w:tcPr>
          <w:p w:rsidR="00EE3B7E" w:rsidRPr="004D0C4F" w:rsidRDefault="00EE3B7E" w:rsidP="004D0C4F">
            <w:pPr>
              <w:jc w:val="center"/>
              <w:rPr>
                <w:rFonts w:ascii="Times New Roman" w:hAnsi="Times New Roman" w:cs="Times New Roman"/>
              </w:rPr>
            </w:pPr>
            <w:r>
              <w:rPr>
                <w:rFonts w:ascii="Times New Roman" w:hAnsi="Times New Roman" w:cs="Times New Roman"/>
              </w:rPr>
              <w:t>REDACTION</w:t>
            </w:r>
            <w:r w:rsidRPr="004D0C4F">
              <w:rPr>
                <w:rFonts w:ascii="Times New Roman" w:hAnsi="Times New Roman" w:cs="Times New Roman"/>
              </w:rPr>
              <w:t xml:space="preserve"> PJL</w:t>
            </w:r>
          </w:p>
        </w:tc>
        <w:tc>
          <w:tcPr>
            <w:tcW w:w="4819" w:type="dxa"/>
            <w:shd w:val="clear" w:color="auto" w:fill="DDD9C3" w:themeFill="background2" w:themeFillShade="E6"/>
          </w:tcPr>
          <w:p w:rsidR="00EE3B7E" w:rsidRPr="004D0C4F" w:rsidRDefault="00EE3B7E" w:rsidP="00EE3B7E">
            <w:pPr>
              <w:jc w:val="center"/>
              <w:rPr>
                <w:rFonts w:ascii="Times New Roman" w:hAnsi="Times New Roman" w:cs="Times New Roman"/>
              </w:rPr>
            </w:pPr>
            <w:r>
              <w:rPr>
                <w:rFonts w:ascii="Times New Roman" w:hAnsi="Times New Roman" w:cs="Times New Roman"/>
              </w:rPr>
              <w:t>TEXTE</w:t>
            </w:r>
            <w:r w:rsidRPr="004D0C4F">
              <w:rPr>
                <w:rFonts w:ascii="Times New Roman" w:hAnsi="Times New Roman" w:cs="Times New Roman"/>
              </w:rPr>
              <w:t xml:space="preserve"> CONSOLIDE</w:t>
            </w:r>
          </w:p>
        </w:tc>
      </w:tr>
      <w:tr w:rsidR="00EE3B7E" w:rsidRPr="005975E5" w:rsidTr="008F5159">
        <w:trPr>
          <w:trHeight w:val="70"/>
        </w:trPr>
        <w:tc>
          <w:tcPr>
            <w:tcW w:w="4928" w:type="dxa"/>
          </w:tcPr>
          <w:p w:rsidR="00EE3B7E" w:rsidRDefault="00EE3B7E" w:rsidP="00732DFB">
            <w:pPr>
              <w:pStyle w:val="NormalWeb"/>
              <w:jc w:val="both"/>
              <w:rPr>
                <w:rFonts w:ascii="Times New Roman" w:hAnsi="Times New Roman" w:cs="Times New Roman"/>
              </w:rPr>
            </w:pPr>
            <w:r>
              <w:rPr>
                <w:rFonts w:ascii="Times New Roman" w:hAnsi="Times New Roman" w:cs="Times New Roman"/>
              </w:rPr>
              <w:t>Article 14</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Les centres de gestion regroupent les collectivités et établissements qui leur sont affiliés à titre obligatoire ou volontaire en application de l'article 15. Ils assurent, pour les fonctionnaires de catégories A, B, et C, les missions définies à l'article 23.</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Les centres sont organisés dans chaque département sous réserve des dispositions des articles 17, 18, 18-1 et 18-2. Des centres peuvent décider, par délibérations concordantes de leurs conseils d'administration, de constituer un centre commun organisé au niveau interdépartemental, auquel ils peuvent confier tout ou partie de leurs missions.</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Sous réserve des dispositions des I et III de l'article 23, les collectivités et établissements non affiliés à un centre de gestion assurent par eux-mêmes les missions confiées aux centres de gestion. Dans ce cas, les dispositions mentionnées aux premier et deuxième alinéas de l'article 21 pour les centres de gestion leur sont applicables dans les mêmes conditions.</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Les centres de gestion s'organisent, au niveau régional ou interrégional, pour l'exercice de leurs missions. Ils élaborent une charte à cet effet, qui désigne parmi eux un centre chargé d'assurer leur </w:t>
            </w:r>
            <w:r w:rsidRPr="00A75010">
              <w:rPr>
                <w:rFonts w:ascii="Times New Roman" w:hAnsi="Times New Roman" w:cs="Times New Roman"/>
              </w:rPr>
              <w:lastRenderedPageBreak/>
              <w:t xml:space="preserve">coordination, détermine les modalités d'exercice des missions que les centres de gestion décident de gérer en commun ainsi que les modalités de remboursement des dépenses correspondantes. A défaut, le centre coordonnateur est le centre chef-lieu de région. L'exercice d'une mission peut être confié par la charte à l'un des centres pour le compte de tous.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Des conventions particulières peuvent être conclues entre les centres de gestion dans des domaines non obligatoirement couverts par la charte.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Les centres de gestion mentionnés aux articles 17 et 18 et le centre de gestion de Seine-et-Marne définissent les conditions d'organisation de leurs missions.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A l'exception des régions d'outre-mer et sous réserve des dispositions du II de l'article 12-1, figurent, parmi les missions gérées en commun à un niveau au moins régional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1° L'organisation des concours et examens professionnels relatifs aux cadres d'emplois de catégories A et B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2° La publicité des créations et vacances d'emploi de catégories A et B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3° La prise en charge, dans les conditions fixées aux articles 97 et 97 bis, des fonctionnaires de catégories A et B momentanément privés d'emploi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4° Le reclassement, selon les modalités prévues aux </w:t>
            </w:r>
            <w:r w:rsidRPr="00A75010">
              <w:rPr>
                <w:rFonts w:ascii="Times New Roman" w:hAnsi="Times New Roman" w:cs="Times New Roman"/>
              </w:rPr>
              <w:lastRenderedPageBreak/>
              <w:t xml:space="preserve">articles 81 à 86, des fonctionnaires de catégories A et B devenus inaptes à l'exercice de leurs fonctions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5° Le fonctionnement des conseils de discipline de recours prévus à l'article 90 bis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6° La gestion de l'observatoire régional de l'emploi.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La charte est transmise au représentant de l'Etat dans la région, à l'initiative du centre de gestion coordonnateur.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Dans les régions d'outre-mer et à Mayotte, les missions du centre coordonnateur sont assurées respectivement par le centre de gestion du département et par le centre de gestion de Mayotte.</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Un décret en Conseil d'Etat fixe les conditions d'application du présent article. </w:t>
            </w:r>
          </w:p>
          <w:p w:rsidR="00EE3B7E" w:rsidRDefault="00EE3B7E" w:rsidP="00732DFB">
            <w:pPr>
              <w:spacing w:before="120"/>
              <w:jc w:val="both"/>
              <w:rPr>
                <w:rFonts w:ascii="Times New Roman" w:eastAsia="Times New Roman" w:hAnsi="Times New Roman" w:cs="Times New Roman"/>
                <w:lang w:eastAsia="fr-FR"/>
              </w:rPr>
            </w:pPr>
          </w:p>
          <w:p w:rsidR="00EE3B7E" w:rsidRDefault="00EE3B7E" w:rsidP="00732DFB">
            <w:pPr>
              <w:spacing w:before="120"/>
              <w:jc w:val="both"/>
              <w:rPr>
                <w:rFonts w:ascii="Times New Roman" w:eastAsia="Times New Roman" w:hAnsi="Times New Roman" w:cs="Times New Roman"/>
                <w:lang w:eastAsia="fr-FR"/>
              </w:rPr>
            </w:pPr>
          </w:p>
          <w:p w:rsidR="00EE3B7E" w:rsidRDefault="00EE3B7E" w:rsidP="00732DFB">
            <w:pPr>
              <w:spacing w:before="120"/>
              <w:jc w:val="both"/>
              <w:rPr>
                <w:rFonts w:ascii="Times New Roman" w:eastAsia="Times New Roman" w:hAnsi="Times New Roman" w:cs="Times New Roman"/>
                <w:lang w:eastAsia="fr-FR"/>
              </w:rPr>
            </w:pPr>
          </w:p>
          <w:p w:rsidR="00EE3B7E" w:rsidRDefault="00EE3B7E" w:rsidP="00732DFB">
            <w:pPr>
              <w:spacing w:before="120"/>
              <w:jc w:val="both"/>
              <w:rPr>
                <w:rFonts w:ascii="Times New Roman" w:eastAsia="Times New Roman" w:hAnsi="Times New Roman" w:cs="Times New Roman"/>
                <w:lang w:eastAsia="fr-FR"/>
              </w:rPr>
            </w:pPr>
          </w:p>
          <w:p w:rsidR="00EE3B7E" w:rsidRDefault="00EE3B7E" w:rsidP="00732DFB">
            <w:pPr>
              <w:spacing w:before="120"/>
              <w:jc w:val="both"/>
              <w:rPr>
                <w:rFonts w:ascii="Times New Roman" w:eastAsia="Times New Roman" w:hAnsi="Times New Roman" w:cs="Times New Roman"/>
                <w:lang w:eastAsia="fr-FR"/>
              </w:rPr>
            </w:pPr>
            <w:r>
              <w:rPr>
                <w:rFonts w:ascii="Times New Roman" w:eastAsia="Times New Roman" w:hAnsi="Times New Roman" w:cs="Times New Roman"/>
                <w:lang w:eastAsia="fr-FR"/>
              </w:rPr>
              <w:t>Nouvel article</w:t>
            </w: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732DFB">
            <w:pPr>
              <w:spacing w:before="120"/>
              <w:jc w:val="both"/>
              <w:rPr>
                <w:rFonts w:ascii="Times New Roman" w:eastAsia="Times New Roman" w:hAnsi="Times New Roman" w:cs="Times New Roman"/>
                <w:lang w:eastAsia="fr-FR"/>
              </w:rPr>
            </w:pPr>
          </w:p>
          <w:p w:rsidR="00BF6CB2" w:rsidRDefault="00BF6CB2" w:rsidP="008F5159">
            <w:pPr>
              <w:pStyle w:val="NormalWeb"/>
              <w:spacing w:before="120" w:beforeAutospacing="0" w:after="120" w:afterAutospacing="0"/>
              <w:jc w:val="both"/>
              <w:rPr>
                <w:rFonts w:ascii="Times New Roman" w:hAnsi="Times New Roman" w:cs="Times New Roman"/>
              </w:rPr>
            </w:pPr>
            <w:r>
              <w:rPr>
                <w:rFonts w:ascii="Times New Roman" w:hAnsi="Times New Roman" w:cs="Times New Roman"/>
              </w:rPr>
              <w:t>Article 12-4</w:t>
            </w:r>
          </w:p>
          <w:p w:rsidR="00BF6CB2" w:rsidRPr="00891427" w:rsidRDefault="00BF6CB2" w:rsidP="008F5159">
            <w:pPr>
              <w:pStyle w:val="NormalWeb"/>
              <w:spacing w:before="120" w:beforeAutospacing="0" w:after="120" w:afterAutospacing="0"/>
              <w:jc w:val="both"/>
              <w:rPr>
                <w:rFonts w:ascii="Times New Roman" w:hAnsi="Times New Roman" w:cs="Times New Roman"/>
              </w:rPr>
            </w:pPr>
            <w:r w:rsidRPr="00891427">
              <w:rPr>
                <w:rFonts w:ascii="Times New Roman" w:hAnsi="Times New Roman" w:cs="Times New Roman"/>
              </w:rPr>
              <w:t>La cour des comptes juge les comptes et assure le contrôle de la gestion du centre national de la fonction publique territoriale.</w:t>
            </w:r>
          </w:p>
          <w:p w:rsidR="00BF6CB2" w:rsidRPr="00891427" w:rsidRDefault="00BF6CB2" w:rsidP="008F5159">
            <w:pPr>
              <w:pStyle w:val="NormalWeb"/>
              <w:spacing w:before="120" w:beforeAutospacing="0" w:after="120" w:afterAutospacing="0"/>
              <w:jc w:val="both"/>
              <w:rPr>
                <w:rFonts w:ascii="Times New Roman" w:hAnsi="Times New Roman" w:cs="Times New Roman"/>
              </w:rPr>
            </w:pPr>
            <w:r w:rsidRPr="00891427">
              <w:rPr>
                <w:rFonts w:ascii="Times New Roman" w:hAnsi="Times New Roman" w:cs="Times New Roman"/>
              </w:rPr>
              <w:t>Par dérogation aux articles 54 et 56 de la loi n° 82-213 du 2 mars 1982 précitée, le comptable du Centre national de la fonction publique territoriale est un agent comptable nommé par le ministre chargé du budget après information préalable du conseil d'administration. Un décret en Conseil d'Etat fixe le régime financier et comptable du Centre national de la fonction publique territoriale.</w:t>
            </w:r>
          </w:p>
          <w:p w:rsidR="00BF6CB2" w:rsidRPr="00A75010" w:rsidRDefault="00BF6CB2" w:rsidP="00732DFB">
            <w:pPr>
              <w:spacing w:before="120"/>
              <w:jc w:val="both"/>
              <w:rPr>
                <w:rFonts w:ascii="Times New Roman" w:eastAsia="Times New Roman" w:hAnsi="Times New Roman" w:cs="Times New Roman"/>
                <w:lang w:eastAsia="fr-FR"/>
              </w:rPr>
            </w:pPr>
          </w:p>
        </w:tc>
        <w:tc>
          <w:tcPr>
            <w:tcW w:w="4536" w:type="dxa"/>
          </w:tcPr>
          <w:p w:rsidR="00EE3B7E" w:rsidRPr="008F5159" w:rsidRDefault="00EE3B7E" w:rsidP="00942C01">
            <w:pPr>
              <w:spacing w:after="120"/>
              <w:jc w:val="both"/>
              <w:rPr>
                <w:rFonts w:ascii="Times New Roman" w:hAnsi="Times New Roman" w:cs="Times New Roman"/>
              </w:rPr>
            </w:pPr>
            <w:r w:rsidRPr="008F5159">
              <w:rPr>
                <w:rFonts w:ascii="Times New Roman" w:hAnsi="Times New Roman" w:cs="Times New Roman"/>
              </w:rPr>
              <w:lastRenderedPageBreak/>
              <w:t>La loi n° 84-53 du 26 janvier 1984 précitée est ainsi modifiée :</w:t>
            </w:r>
          </w:p>
          <w:p w:rsidR="00EE3B7E" w:rsidRPr="008F5159" w:rsidRDefault="00732DFB" w:rsidP="0061113E">
            <w:pPr>
              <w:spacing w:after="120"/>
              <w:jc w:val="both"/>
              <w:rPr>
                <w:rFonts w:ascii="Times New Roman" w:hAnsi="Times New Roman" w:cs="Times New Roman"/>
              </w:rPr>
            </w:pPr>
            <w:r w:rsidRPr="008F5159">
              <w:rPr>
                <w:rFonts w:ascii="Times New Roman" w:hAnsi="Times New Roman" w:cs="Times New Roman"/>
              </w:rPr>
              <w:t>I-</w:t>
            </w:r>
            <w:r w:rsidR="00EE3B7E" w:rsidRPr="008F5159">
              <w:rPr>
                <w:rFonts w:ascii="Times New Roman" w:hAnsi="Times New Roman" w:cs="Times New Roman"/>
              </w:rPr>
              <w:t xml:space="preserve"> A la </w:t>
            </w:r>
            <w:r w:rsidRPr="008F5159">
              <w:rPr>
                <w:rFonts w:ascii="Times New Roman" w:hAnsi="Times New Roman" w:cs="Times New Roman"/>
              </w:rPr>
              <w:t>première</w:t>
            </w:r>
            <w:r w:rsidR="00EE3B7E" w:rsidRPr="008F5159">
              <w:rPr>
                <w:rFonts w:ascii="Times New Roman" w:hAnsi="Times New Roman" w:cs="Times New Roman"/>
              </w:rPr>
              <w:t xml:space="preserve"> phrase</w:t>
            </w:r>
            <w:r w:rsidRPr="008F5159">
              <w:rPr>
                <w:rFonts w:ascii="Times New Roman" w:hAnsi="Times New Roman" w:cs="Times New Roman"/>
              </w:rPr>
              <w:t xml:space="preserve"> du deuxième </w:t>
            </w:r>
            <w:r w:rsidR="00EE3B7E" w:rsidRPr="008F5159">
              <w:rPr>
                <w:rFonts w:ascii="Times New Roman" w:hAnsi="Times New Roman" w:cs="Times New Roman"/>
              </w:rPr>
              <w:t>alinéa  de l’article 14, les mots « 18-1 et 18-2 » sont remplacés par les mots « 18-1, 18-2 et 18-3 ».</w:t>
            </w: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732DFB" w:rsidP="00942C01">
            <w:pPr>
              <w:spacing w:after="120"/>
              <w:jc w:val="both"/>
              <w:rPr>
                <w:rFonts w:ascii="Times New Roman" w:hAnsi="Times New Roman" w:cs="Times New Roman"/>
              </w:rPr>
            </w:pPr>
            <w:r w:rsidRPr="008F5159">
              <w:rPr>
                <w:rFonts w:ascii="Times New Roman" w:hAnsi="Times New Roman" w:cs="Times New Roman"/>
              </w:rPr>
              <w:t>II – Après l’article 18-2, il est inséré un article 18-3 ainsi rédigé :</w:t>
            </w:r>
          </w:p>
          <w:p w:rsidR="00732DFB" w:rsidRPr="008F5159" w:rsidRDefault="00732DFB" w:rsidP="00942C01">
            <w:pPr>
              <w:spacing w:after="120"/>
              <w:jc w:val="both"/>
              <w:rPr>
                <w:rFonts w:ascii="Times New Roman" w:hAnsi="Times New Roman" w:cs="Times New Roman"/>
              </w:rPr>
            </w:pPr>
          </w:p>
          <w:p w:rsidR="00732DFB" w:rsidRPr="008F5159" w:rsidRDefault="00732DFB" w:rsidP="00942C01">
            <w:pPr>
              <w:spacing w:after="120"/>
              <w:jc w:val="both"/>
              <w:rPr>
                <w:rFonts w:ascii="Times New Roman" w:hAnsi="Times New Roman" w:cs="Times New Roman"/>
              </w:rPr>
            </w:pPr>
            <w:r w:rsidRPr="008F5159">
              <w:rPr>
                <w:rFonts w:ascii="Times New Roman" w:hAnsi="Times New Roman" w:cs="Times New Roman"/>
              </w:rPr>
              <w:t>« </w:t>
            </w:r>
            <w:r w:rsidR="00011E93">
              <w:rPr>
                <w:rFonts w:ascii="Times New Roman" w:hAnsi="Times New Roman" w:cs="Times New Roman"/>
              </w:rPr>
              <w:t xml:space="preserve">Art. </w:t>
            </w:r>
            <w:r w:rsidR="00011E93" w:rsidRPr="00016206">
              <w:rPr>
                <w:rFonts w:ascii="Times New Roman" w:hAnsi="Times New Roman" w:cs="Times New Roman"/>
              </w:rPr>
              <w:t>18-3.</w:t>
            </w:r>
            <w:r w:rsidR="00011E93">
              <w:rPr>
                <w:rFonts w:ascii="Times New Roman" w:hAnsi="Times New Roman" w:cs="Times New Roman"/>
              </w:rPr>
              <w:t xml:space="preserve"> - </w:t>
            </w:r>
            <w:r w:rsidRPr="008F5159">
              <w:rPr>
                <w:rFonts w:ascii="Times New Roman" w:hAnsi="Times New Roman" w:cs="Times New Roman"/>
              </w:rPr>
              <w:t>Des centres de gestion départementaux relevant de la même région peuvent décider, par délibérations concordantes de leur conseil d’administration et après avis de leur comité social</w:t>
            </w:r>
            <w:r w:rsidR="00011E93" w:rsidRPr="00016206">
              <w:rPr>
                <w:rFonts w:ascii="Times New Roman" w:hAnsi="Times New Roman" w:cs="Times New Roman"/>
              </w:rPr>
              <w:t xml:space="preserve"> territorial</w:t>
            </w:r>
            <w:r w:rsidRPr="008F5159">
              <w:rPr>
                <w:rFonts w:ascii="Times New Roman" w:hAnsi="Times New Roman" w:cs="Times New Roman"/>
              </w:rPr>
              <w:t xml:space="preserve">, de constituer un centre interdépartemental unique compétent sur les territoires des centres de gestion auxquels il se substitue. Les communes des départements concernés et les établissements publics visés à </w:t>
            </w:r>
            <w:r w:rsidRPr="008F5159">
              <w:rPr>
                <w:rFonts w:ascii="Times New Roman" w:hAnsi="Times New Roman" w:cs="Times New Roman"/>
              </w:rPr>
              <w:lastRenderedPageBreak/>
              <w:t>l’article 2 et remplissant les conditions d’affiliation obligatoire définies à l’article 15 sont alors affiliés obligatoirement au centre interdépartemental de gestion. Les départements concernés, les communes situées dans ces départements et leurs établissements publics visés à l’article 2 dont l’affiliation n’est pas obligatoire peuvent s’affilier volontairement au centre interdépartemental de gestion, dans les conditions mentionnées à l’article 15. »</w:t>
            </w: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8F5159" w:rsidRPr="00C35D33" w:rsidRDefault="008F5159" w:rsidP="008F5159">
            <w:pPr>
              <w:spacing w:before="120" w:after="120"/>
              <w:jc w:val="both"/>
              <w:rPr>
                <w:rFonts w:ascii="Times New Roman" w:hAnsi="Times New Roman" w:cs="Times New Roman"/>
                <w:sz w:val="24"/>
                <w:szCs w:val="24"/>
              </w:rPr>
            </w:pPr>
            <w:r>
              <w:rPr>
                <w:rFonts w:ascii="Times New Roman" w:hAnsi="Times New Roman" w:cs="Times New Roman"/>
              </w:rPr>
              <w:t xml:space="preserve">III- </w:t>
            </w:r>
            <w:r w:rsidRPr="00230633">
              <w:rPr>
                <w:rFonts w:ascii="Times New Roman" w:hAnsi="Times New Roman" w:cs="Times New Roman"/>
              </w:rPr>
              <w:t>A</w:t>
            </w:r>
            <w:r>
              <w:rPr>
                <w:rFonts w:ascii="Times New Roman" w:hAnsi="Times New Roman" w:cs="Times New Roman"/>
              </w:rPr>
              <w:t>près le premier</w:t>
            </w:r>
            <w:r w:rsidRPr="00230633">
              <w:rPr>
                <w:rFonts w:ascii="Times New Roman" w:hAnsi="Times New Roman" w:cs="Times New Roman"/>
              </w:rPr>
              <w:t xml:space="preserve"> alinéa</w:t>
            </w:r>
            <w:r>
              <w:rPr>
                <w:rFonts w:ascii="Times New Roman" w:hAnsi="Times New Roman" w:cs="Times New Roman"/>
              </w:rPr>
              <w:t xml:space="preserve"> de l’article 12-4,</w:t>
            </w:r>
            <w:r w:rsidRPr="00230633">
              <w:rPr>
                <w:rFonts w:ascii="Times New Roman" w:hAnsi="Times New Roman" w:cs="Times New Roman"/>
              </w:rPr>
              <w:t xml:space="preserve"> </w:t>
            </w:r>
            <w:r>
              <w:rPr>
                <w:rFonts w:ascii="Times New Roman" w:hAnsi="Times New Roman" w:cs="Times New Roman"/>
                <w:sz w:val="24"/>
                <w:szCs w:val="24"/>
              </w:rPr>
              <w:t xml:space="preserve">il est inséré un alinéa ainsi rédigé </w:t>
            </w:r>
            <w:r w:rsidRPr="00C35D33">
              <w:rPr>
                <w:rFonts w:ascii="Times New Roman" w:hAnsi="Times New Roman" w:cs="Times New Roman"/>
                <w:sz w:val="24"/>
                <w:szCs w:val="24"/>
              </w:rPr>
              <w:t xml:space="preserve">: </w:t>
            </w:r>
          </w:p>
          <w:p w:rsidR="008F5159" w:rsidRPr="0076053E" w:rsidRDefault="008F5159" w:rsidP="008F5159">
            <w:pPr>
              <w:pStyle w:val="NormalWeb"/>
              <w:spacing w:before="120" w:beforeAutospacing="0" w:after="120" w:afterAutospacing="0"/>
              <w:jc w:val="both"/>
              <w:rPr>
                <w:rFonts w:ascii="Times New Roman" w:hAnsi="Times New Roman" w:cs="Times New Roman"/>
              </w:rPr>
            </w:pPr>
            <w:r w:rsidRPr="0076053E">
              <w:rPr>
                <w:rFonts w:ascii="Times New Roman" w:hAnsi="Times New Roman" w:cs="Times New Roman"/>
              </w:rPr>
              <w:t xml:space="preserve">Chaque année, le centre national de la fonction publique territoriale remet au Parlement avant le 30 septembre un rapport portant sur son activité et sur l’utilisation de ses ressources. </w:t>
            </w: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jc w:val="both"/>
              <w:rPr>
                <w:rFonts w:ascii="Times New Roman" w:hAnsi="Times New Roman" w:cs="Times New Roman"/>
                <w:b/>
              </w:rPr>
            </w:pPr>
          </w:p>
          <w:p w:rsidR="00EE3B7E" w:rsidRPr="008F5159" w:rsidRDefault="00EE3B7E" w:rsidP="00942C01">
            <w:pPr>
              <w:spacing w:after="120"/>
              <w:rPr>
                <w:rFonts w:ascii="Times New Roman" w:hAnsi="Times New Roman" w:cs="Times New Roman"/>
              </w:rPr>
            </w:pPr>
          </w:p>
        </w:tc>
        <w:tc>
          <w:tcPr>
            <w:tcW w:w="4819" w:type="dxa"/>
          </w:tcPr>
          <w:p w:rsidR="00EE3B7E" w:rsidRDefault="00EE3B7E" w:rsidP="00732DFB">
            <w:pPr>
              <w:pStyle w:val="NormalWeb"/>
              <w:jc w:val="both"/>
              <w:rPr>
                <w:rFonts w:ascii="Times New Roman" w:hAnsi="Times New Roman" w:cs="Times New Roman"/>
              </w:rPr>
            </w:pPr>
            <w:r>
              <w:rPr>
                <w:rFonts w:ascii="Times New Roman" w:hAnsi="Times New Roman" w:cs="Times New Roman"/>
              </w:rPr>
              <w:lastRenderedPageBreak/>
              <w:t>Article 14</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Les centres de gestion regroupent les collectivités et établissements qui leur sont affiliés à titre obligatoire ou volontaire en application de l'article 15. Ils assurent, pour les fonctionnaires de catégories A, B, et C, les missions définies à l'article 23.</w:t>
            </w:r>
          </w:p>
          <w:p w:rsidR="00EE3B7E"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Les centres sont organisés dans chaque département sous réserve des dispositions des articles 17, 18, </w:t>
            </w:r>
            <w:r w:rsidRPr="0061113E">
              <w:rPr>
                <w:rFonts w:ascii="Times New Roman" w:hAnsi="Times New Roman" w:cs="Times New Roman"/>
                <w:strike/>
              </w:rPr>
              <w:t>18-1 et 18-2</w:t>
            </w:r>
            <w:r w:rsidRPr="00A75010">
              <w:rPr>
                <w:rFonts w:ascii="Times New Roman" w:hAnsi="Times New Roman" w:cs="Times New Roman"/>
              </w:rPr>
              <w:t xml:space="preserve">. </w:t>
            </w:r>
            <w:r w:rsidRPr="0061113E">
              <w:rPr>
                <w:rFonts w:ascii="Times New Roman" w:hAnsi="Times New Roman" w:cs="Times New Roman"/>
                <w:b/>
              </w:rPr>
              <w:t>18-1, 18-2 et 18-3</w:t>
            </w:r>
            <w:r>
              <w:rPr>
                <w:rFonts w:ascii="Times New Roman" w:hAnsi="Times New Roman" w:cs="Times New Roman"/>
              </w:rPr>
              <w:t xml:space="preserve">. </w:t>
            </w:r>
            <w:r w:rsidRPr="00B71F1C">
              <w:rPr>
                <w:rFonts w:ascii="Times New Roman" w:hAnsi="Times New Roman" w:cs="Times New Roman"/>
              </w:rPr>
              <w:t>Des centres peuvent décider, par délibérations concordantes de leurs conseils d'administration, de constituer un centre commun organisé au niveau interdépartemental, auquel ils peuvent confier tout ou partie de leurs missions.</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Sous réserve des dispositions des I et III de l'article 23, les collectivités et établissements non affiliés à un centre de gestion assurent par eux-mêmes les missions confiées aux centres de gestion. Dans ce cas, les dispositions mentionnées aux premier et deuxième alinéas de l'article 21 pour les centres de gestion leur sont applicables dans les mêmes conditions.</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Les centres de gestion s'organisent, au niveau régional ou interrégional, pour l'exercice de leurs </w:t>
            </w:r>
            <w:r w:rsidRPr="00A75010">
              <w:rPr>
                <w:rFonts w:ascii="Times New Roman" w:hAnsi="Times New Roman" w:cs="Times New Roman"/>
              </w:rPr>
              <w:lastRenderedPageBreak/>
              <w:t xml:space="preserve">missions. Ils élaborent une charte à cet effet, qui désigne parmi eux un centre chargé d'assurer leur coordination, détermine les modalités d'exercice des missions que les centres de gestion décident de gérer en commun ainsi que les modalités de remboursement des dépenses correspondantes. A défaut, le centre coordonnateur est le centre chef-lieu de région. L'exercice d'une mission peut être confié par la charte à l'un des centres pour le compte de tous.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Des conventions particulières peuvent être conclues entre les centres de gestion dans des domaines non obligatoirement couverts par la charte.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Les centres de gestion mentionnés aux articles 17 et 18 et le centre de gestion de Seine-et-Marne définissent les conditions d'organisation de leurs missions.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A l'exception des régions d'outre-mer et sous réserve des dispositions du II de l'article 12-1, figurent, parmi les missions gérées en commun à un niveau au moins régional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1° L'organisation des concours et examens professionnels relatifs aux cadres d'emplois de catégories A et B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2° La publicité des créations et vacances d'emploi de catégories A et B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3° La prise en charge, dans les conditions fixées aux articles 97 et 97 bis, des fonctionnaires de </w:t>
            </w:r>
            <w:r w:rsidRPr="00A75010">
              <w:rPr>
                <w:rFonts w:ascii="Times New Roman" w:hAnsi="Times New Roman" w:cs="Times New Roman"/>
              </w:rPr>
              <w:lastRenderedPageBreak/>
              <w:t xml:space="preserve">catégories A et B momentanément privés d'emploi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4° Le reclassement, selon les modalités prévues aux articles 81 à 86, des fonctionnaires de catégories A et B devenus inaptes à l'exercice de leurs fonctions ;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5° Le fonctionnement des conseils de discipline de recours prévus à l'article 90 bis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6° La gestion de l'observatoire régional de l'emploi.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La charte est transmise au représentant de l'Etat dans la région, à l'initiative du centre de gestion coordonnateur. </w:t>
            </w:r>
          </w:p>
          <w:p w:rsidR="00EE3B7E" w:rsidRPr="00A75010" w:rsidRDefault="00EE3B7E" w:rsidP="00732DFB">
            <w:pPr>
              <w:pStyle w:val="NormalWeb"/>
              <w:jc w:val="both"/>
              <w:rPr>
                <w:rFonts w:ascii="Times New Roman" w:hAnsi="Times New Roman" w:cs="Times New Roman"/>
              </w:rPr>
            </w:pPr>
            <w:r w:rsidRPr="00A75010">
              <w:rPr>
                <w:rFonts w:ascii="Times New Roman" w:hAnsi="Times New Roman" w:cs="Times New Roman"/>
              </w:rPr>
              <w:t>Dans les régions d'outre-mer et à Mayotte, les missions du centre coordonnateur sont assurées respectivement par le centre de gestion du département et par le centre de gestion de Mayotte.</w:t>
            </w:r>
          </w:p>
          <w:p w:rsidR="00EE3B7E" w:rsidRDefault="00EE3B7E" w:rsidP="00732DFB">
            <w:pPr>
              <w:pStyle w:val="NormalWeb"/>
              <w:jc w:val="both"/>
              <w:rPr>
                <w:rFonts w:ascii="Times New Roman" w:hAnsi="Times New Roman" w:cs="Times New Roman"/>
              </w:rPr>
            </w:pPr>
            <w:r w:rsidRPr="00A75010">
              <w:rPr>
                <w:rFonts w:ascii="Times New Roman" w:hAnsi="Times New Roman" w:cs="Times New Roman"/>
              </w:rPr>
              <w:t xml:space="preserve">Un décret en Conseil d'Etat fixe les conditions d'application du présent article. </w:t>
            </w:r>
          </w:p>
          <w:p w:rsidR="00EE3B7E" w:rsidRPr="008F5159" w:rsidRDefault="00EE3B7E" w:rsidP="00732DFB">
            <w:pPr>
              <w:pStyle w:val="NormalWeb"/>
              <w:jc w:val="both"/>
              <w:rPr>
                <w:rFonts w:ascii="Times New Roman" w:hAnsi="Times New Roman" w:cs="Times New Roman"/>
                <w:b/>
              </w:rPr>
            </w:pPr>
            <w:r w:rsidRPr="008F5159">
              <w:rPr>
                <w:rFonts w:ascii="Times New Roman" w:hAnsi="Times New Roman" w:cs="Times New Roman"/>
                <w:b/>
              </w:rPr>
              <w:t xml:space="preserve">Article 18-3 </w:t>
            </w:r>
          </w:p>
          <w:p w:rsidR="00EE3B7E" w:rsidRPr="008F5159" w:rsidRDefault="00EE3B7E" w:rsidP="00732DFB">
            <w:pPr>
              <w:pStyle w:val="NormalWeb"/>
              <w:jc w:val="both"/>
              <w:rPr>
                <w:rFonts w:ascii="Times New Roman" w:hAnsi="Times New Roman" w:cs="Times New Roman"/>
                <w:b/>
              </w:rPr>
            </w:pPr>
            <w:r w:rsidRPr="008F5159">
              <w:rPr>
                <w:rFonts w:ascii="Times New Roman" w:hAnsi="Times New Roman" w:cs="Times New Roman"/>
                <w:b/>
              </w:rPr>
              <w:t>Des centres de gestion départementaux relevant de la même région peuvent décider, par délibérations concordantes de leur conseil d’administration et après avis de leur comité social</w:t>
            </w:r>
            <w:r w:rsidR="00011E93">
              <w:rPr>
                <w:rFonts w:ascii="Times New Roman" w:hAnsi="Times New Roman" w:cs="Times New Roman"/>
                <w:b/>
              </w:rPr>
              <w:t xml:space="preserve"> </w:t>
            </w:r>
            <w:r w:rsidR="00011E93" w:rsidRPr="00016206">
              <w:rPr>
                <w:rFonts w:ascii="Times New Roman" w:hAnsi="Times New Roman" w:cs="Times New Roman"/>
                <w:b/>
              </w:rPr>
              <w:t>territorial</w:t>
            </w:r>
            <w:r w:rsidRPr="00016206">
              <w:rPr>
                <w:rFonts w:ascii="Times New Roman" w:hAnsi="Times New Roman" w:cs="Times New Roman"/>
                <w:b/>
              </w:rPr>
              <w:t>,</w:t>
            </w:r>
            <w:r w:rsidRPr="008F5159">
              <w:rPr>
                <w:rFonts w:ascii="Times New Roman" w:hAnsi="Times New Roman" w:cs="Times New Roman"/>
                <w:b/>
              </w:rPr>
              <w:t xml:space="preserve"> de constituer un centre interdépartemen</w:t>
            </w:r>
            <w:bookmarkStart w:id="0" w:name="_GoBack"/>
            <w:bookmarkEnd w:id="0"/>
            <w:r w:rsidRPr="008F5159">
              <w:rPr>
                <w:rFonts w:ascii="Times New Roman" w:hAnsi="Times New Roman" w:cs="Times New Roman"/>
                <w:b/>
              </w:rPr>
              <w:t xml:space="preserve">tal unique compétent sur les territoires des centres de gestion auxquels il se substitue. Les communes des départements concernés et les établissements publics visés à </w:t>
            </w:r>
            <w:r w:rsidRPr="008F5159">
              <w:rPr>
                <w:rFonts w:ascii="Times New Roman" w:hAnsi="Times New Roman" w:cs="Times New Roman"/>
                <w:b/>
              </w:rPr>
              <w:lastRenderedPageBreak/>
              <w:t>l’article 2 et remplissant les conditions d’affiliation obligatoire définies à l’article 15 sont alors affiliés obligatoirement au centre interdépartemental de gestion. Les départements concernés, les communes situées dans ces départements et leurs établissements publics visés à l’article 2 dont l’affiliation n’est pas obligatoire peuvent s’affilier volontairement au centre interdépartemental de gestion, dans les conditions mentionnées à l’article 15. </w:t>
            </w:r>
          </w:p>
          <w:p w:rsidR="00EE3B7E" w:rsidRDefault="00EE3B7E" w:rsidP="00732DFB">
            <w:pPr>
              <w:jc w:val="both"/>
            </w:pPr>
          </w:p>
          <w:p w:rsidR="008F5159" w:rsidRDefault="008F5159" w:rsidP="00732DFB">
            <w:pPr>
              <w:jc w:val="both"/>
            </w:pPr>
          </w:p>
          <w:p w:rsidR="008F5159" w:rsidRDefault="008F5159" w:rsidP="00732DFB">
            <w:pPr>
              <w:jc w:val="both"/>
            </w:pPr>
          </w:p>
          <w:p w:rsidR="008F5159" w:rsidRDefault="008F5159" w:rsidP="00732DFB">
            <w:pPr>
              <w:jc w:val="both"/>
            </w:pPr>
          </w:p>
          <w:p w:rsidR="008F5159" w:rsidRDefault="008F5159" w:rsidP="00732DFB">
            <w:pPr>
              <w:jc w:val="both"/>
            </w:pPr>
          </w:p>
          <w:p w:rsidR="008F5159" w:rsidRPr="00016206" w:rsidRDefault="00016206" w:rsidP="00016206">
            <w:pPr>
              <w:pStyle w:val="NormalWeb"/>
              <w:spacing w:before="120" w:beforeAutospacing="0" w:after="120" w:afterAutospacing="0"/>
              <w:jc w:val="both"/>
              <w:rPr>
                <w:rFonts w:ascii="Times New Roman" w:hAnsi="Times New Roman" w:cs="Times New Roman"/>
              </w:rPr>
            </w:pPr>
            <w:r>
              <w:rPr>
                <w:rFonts w:ascii="Times New Roman" w:hAnsi="Times New Roman" w:cs="Times New Roman"/>
              </w:rPr>
              <w:t>Article 12-4</w:t>
            </w:r>
          </w:p>
          <w:p w:rsidR="008F5159" w:rsidRDefault="008F5159" w:rsidP="008F5159">
            <w:pPr>
              <w:pStyle w:val="NormalWeb"/>
              <w:spacing w:before="120" w:beforeAutospacing="0" w:after="120" w:afterAutospacing="0"/>
              <w:rPr>
                <w:rFonts w:ascii="Times New Roman" w:hAnsi="Times New Roman" w:cs="Times New Roman"/>
              </w:rPr>
            </w:pPr>
            <w:r w:rsidRPr="00891427">
              <w:rPr>
                <w:rFonts w:ascii="Times New Roman" w:hAnsi="Times New Roman" w:cs="Times New Roman"/>
              </w:rPr>
              <w:t>La cour des comptes juge les comptes et assure le contrôle de la gestion du centre national de la fonction publique territoriale.</w:t>
            </w:r>
          </w:p>
          <w:p w:rsidR="008F5159" w:rsidRPr="008F5159" w:rsidRDefault="008F5159" w:rsidP="008F5159">
            <w:pPr>
              <w:pStyle w:val="NormalWeb"/>
              <w:spacing w:before="120" w:beforeAutospacing="0" w:after="120" w:afterAutospacing="0"/>
              <w:jc w:val="both"/>
              <w:rPr>
                <w:rFonts w:ascii="Times New Roman" w:hAnsi="Times New Roman" w:cs="Times New Roman"/>
                <w:b/>
              </w:rPr>
            </w:pPr>
            <w:r w:rsidRPr="008F5159">
              <w:rPr>
                <w:rFonts w:ascii="Times New Roman" w:hAnsi="Times New Roman" w:cs="Times New Roman"/>
                <w:b/>
              </w:rPr>
              <w:t xml:space="preserve">Chaque année, le centre national de la fonction publique territoriale remet au Parlement avant le 30 septembre un rapport portant sur son activité et sur l’utilisation de ses ressources. </w:t>
            </w:r>
          </w:p>
          <w:p w:rsidR="008F5159" w:rsidRPr="005C362B" w:rsidRDefault="008F5159" w:rsidP="008F5159">
            <w:pPr>
              <w:jc w:val="both"/>
            </w:pPr>
            <w:r w:rsidRPr="00891427">
              <w:rPr>
                <w:rFonts w:ascii="Times New Roman" w:hAnsi="Times New Roman" w:cs="Times New Roman"/>
              </w:rPr>
              <w:t>Par dérogation aux articles 54 et 56 de la loi n° 82-213 du 2 mars 1982 précitée, le comptable du Centre national de la fonction publique territoriale est un agent comptable nommé par le ministre chargé du budget après information préalable du conseil d'administration. Un décret en Conseil d'Etat fixe le régime financier et comptable du Centre national de la fonction publique territoriale.</w:t>
            </w:r>
          </w:p>
        </w:tc>
      </w:tr>
    </w:tbl>
    <w:p w:rsidR="00E03B01" w:rsidRDefault="00E03B01" w:rsidP="008F5159"/>
    <w:sectPr w:rsidR="00E03B01" w:rsidSect="009A3C6D">
      <w:headerReference w:type="even" r:id="rId8"/>
      <w:headerReference w:type="default" r:id="rId9"/>
      <w:footerReference w:type="default" r:id="rId10"/>
      <w:head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B2" w:rsidRDefault="00BF6CB2" w:rsidP="00EC3868">
      <w:r>
        <w:separator/>
      </w:r>
    </w:p>
  </w:endnote>
  <w:endnote w:type="continuationSeparator" w:id="0">
    <w:p w:rsidR="00BF6CB2" w:rsidRDefault="00BF6CB2" w:rsidP="00EC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235288"/>
      <w:docPartObj>
        <w:docPartGallery w:val="Page Numbers (Bottom of Page)"/>
        <w:docPartUnique/>
      </w:docPartObj>
    </w:sdtPr>
    <w:sdtEndPr/>
    <w:sdtContent>
      <w:p w:rsidR="00BF6CB2" w:rsidRDefault="00016206">
        <w:pPr>
          <w:pStyle w:val="Pieddepage"/>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BF6CB2" w:rsidRDefault="00BF6C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B2" w:rsidRDefault="00BF6CB2" w:rsidP="00EC3868">
      <w:r>
        <w:separator/>
      </w:r>
    </w:p>
  </w:footnote>
  <w:footnote w:type="continuationSeparator" w:id="0">
    <w:p w:rsidR="00BF6CB2" w:rsidRDefault="00BF6CB2" w:rsidP="00EC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B2" w:rsidRDefault="0001620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5" o:spid="_x0000_s2050" type="#_x0000_t136" style="position:absolute;margin-left:0;margin-top:0;width:581.4pt;height:58.1pt;rotation:315;z-index:-251655168;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B2" w:rsidRDefault="00BF6CB2">
    <w:pPr>
      <w:pStyle w:val="En-tte"/>
    </w:pPr>
    <w:r>
      <w:t>DGCL – SDELFPT</w:t>
    </w:r>
    <w:r>
      <w:tab/>
    </w:r>
    <w:r>
      <w:tab/>
    </w:r>
    <w:r>
      <w:tab/>
    </w:r>
    <w:r>
      <w:tab/>
    </w:r>
    <w:r>
      <w:tab/>
    </w:r>
    <w:r>
      <w:tab/>
    </w:r>
    <w:r>
      <w:tab/>
      <w:t>04/02/2019</w:t>
    </w:r>
  </w:p>
  <w:p w:rsidR="00BF6CB2" w:rsidRDefault="00BF6C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B2" w:rsidRDefault="0001620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034" o:spid="_x0000_s2049" type="#_x0000_t136" style="position:absolute;margin-left:0;margin-top:0;width:581.4pt;height:58.1pt;rotation:315;z-index:-251657216;mso-position-horizontal:center;mso-position-horizontal-relative:margin;mso-position-vertical:center;mso-position-vertical-relative:margin" o:allowincell="f" fillcolor="silver" stroked="f">
          <v:fill opacity=".5"/>
          <v:textpath style="font-family:&quot;Times New Roman&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FCD"/>
    <w:multiLevelType w:val="hybridMultilevel"/>
    <w:tmpl w:val="CCF6A62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5E7042"/>
    <w:multiLevelType w:val="hybridMultilevel"/>
    <w:tmpl w:val="047C5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E05452"/>
    <w:multiLevelType w:val="multilevel"/>
    <w:tmpl w:val="3914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B2469"/>
    <w:multiLevelType w:val="hybridMultilevel"/>
    <w:tmpl w:val="FABCC268"/>
    <w:lvl w:ilvl="0" w:tplc="040C000D">
      <w:start w:val="1"/>
      <w:numFmt w:val="bullet"/>
      <w:lvlText w:val=""/>
      <w:lvlJc w:val="left"/>
      <w:pPr>
        <w:ind w:left="1920" w:hanging="360"/>
      </w:pPr>
      <w:rPr>
        <w:rFonts w:ascii="Wingdings" w:hAnsi="Wingdings" w:hint="default"/>
      </w:rPr>
    </w:lvl>
    <w:lvl w:ilvl="1" w:tplc="B0E84D3E">
      <w:numFmt w:val="bullet"/>
      <w:lvlText w:val="-"/>
      <w:lvlJc w:val="left"/>
      <w:pPr>
        <w:ind w:left="2498" w:hanging="360"/>
      </w:pPr>
      <w:rPr>
        <w:rFonts w:ascii="Arial" w:eastAsia="Times New Roman" w:hAnsi="Arial" w:cs="Arial"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310F4A71"/>
    <w:multiLevelType w:val="hybridMultilevel"/>
    <w:tmpl w:val="F1DE906E"/>
    <w:lvl w:ilvl="0" w:tplc="74FC433A">
      <w:start w:val="6"/>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32E9A"/>
    <w:multiLevelType w:val="hybridMultilevel"/>
    <w:tmpl w:val="676273BC"/>
    <w:lvl w:ilvl="0" w:tplc="71CAE69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F4C0E"/>
    <w:multiLevelType w:val="hybridMultilevel"/>
    <w:tmpl w:val="D46E2E38"/>
    <w:lvl w:ilvl="0" w:tplc="8988A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894B89"/>
    <w:multiLevelType w:val="hybridMultilevel"/>
    <w:tmpl w:val="E2F20F9A"/>
    <w:lvl w:ilvl="0" w:tplc="839671C4">
      <w:start w:val="3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5F00D7"/>
    <w:multiLevelType w:val="multilevel"/>
    <w:tmpl w:val="CEC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F3F2C"/>
    <w:multiLevelType w:val="hybridMultilevel"/>
    <w:tmpl w:val="AF34FBEA"/>
    <w:lvl w:ilvl="0" w:tplc="30E2DB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2F5370"/>
    <w:multiLevelType w:val="hybridMultilevel"/>
    <w:tmpl w:val="DCEE126E"/>
    <w:lvl w:ilvl="0" w:tplc="88BACE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A435D6"/>
    <w:multiLevelType w:val="hybridMultilevel"/>
    <w:tmpl w:val="D46E2E38"/>
    <w:lvl w:ilvl="0" w:tplc="8988A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126748"/>
    <w:multiLevelType w:val="hybridMultilevel"/>
    <w:tmpl w:val="8C5E52AA"/>
    <w:lvl w:ilvl="0" w:tplc="A328CBEC">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1528AF"/>
    <w:multiLevelType w:val="multilevel"/>
    <w:tmpl w:val="16F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C4575"/>
    <w:multiLevelType w:val="hybridMultilevel"/>
    <w:tmpl w:val="A9EE8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12385D"/>
    <w:multiLevelType w:val="hybridMultilevel"/>
    <w:tmpl w:val="55DA2586"/>
    <w:lvl w:ilvl="0" w:tplc="D2DA938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4E2131"/>
    <w:multiLevelType w:val="hybridMultilevel"/>
    <w:tmpl w:val="9C946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2"/>
  </w:num>
  <w:num w:numId="6">
    <w:abstractNumId w:val="4"/>
  </w:num>
  <w:num w:numId="7">
    <w:abstractNumId w:val="9"/>
  </w:num>
  <w:num w:numId="8">
    <w:abstractNumId w:val="1"/>
  </w:num>
  <w:num w:numId="9">
    <w:abstractNumId w:val="14"/>
  </w:num>
  <w:num w:numId="10">
    <w:abstractNumId w:val="5"/>
  </w:num>
  <w:num w:numId="11">
    <w:abstractNumId w:val="13"/>
  </w:num>
  <w:num w:numId="12">
    <w:abstractNumId w:val="0"/>
  </w:num>
  <w:num w:numId="13">
    <w:abstractNumId w:val="3"/>
  </w:num>
  <w:num w:numId="14">
    <w:abstractNumId w:val="16"/>
  </w:num>
  <w:num w:numId="15">
    <w:abstractNumId w:val="8"/>
  </w:num>
  <w:num w:numId="16">
    <w:abstractNumId w:val="7"/>
  </w:num>
  <w:num w:numId="17">
    <w:abstractNumId w:val="15"/>
  </w:num>
  <w:num w:numId="18">
    <w:abstractNumId w:val="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3C6D"/>
    <w:rsid w:val="00011E93"/>
    <w:rsid w:val="00016206"/>
    <w:rsid w:val="00030067"/>
    <w:rsid w:val="00033C70"/>
    <w:rsid w:val="000360CD"/>
    <w:rsid w:val="000419A9"/>
    <w:rsid w:val="00051182"/>
    <w:rsid w:val="00051249"/>
    <w:rsid w:val="00052D00"/>
    <w:rsid w:val="00061EFB"/>
    <w:rsid w:val="000624D2"/>
    <w:rsid w:val="000637B1"/>
    <w:rsid w:val="00067C36"/>
    <w:rsid w:val="00075BEA"/>
    <w:rsid w:val="00076D6D"/>
    <w:rsid w:val="000907F3"/>
    <w:rsid w:val="00092A1D"/>
    <w:rsid w:val="000A7212"/>
    <w:rsid w:val="000B004F"/>
    <w:rsid w:val="000B14C0"/>
    <w:rsid w:val="000B79F4"/>
    <w:rsid w:val="000C366E"/>
    <w:rsid w:val="000C70DA"/>
    <w:rsid w:val="000E6B43"/>
    <w:rsid w:val="000F2BF0"/>
    <w:rsid w:val="000F64BC"/>
    <w:rsid w:val="000F6F44"/>
    <w:rsid w:val="0010453C"/>
    <w:rsid w:val="00104C2C"/>
    <w:rsid w:val="00114414"/>
    <w:rsid w:val="00114B2B"/>
    <w:rsid w:val="00117A7C"/>
    <w:rsid w:val="00120923"/>
    <w:rsid w:val="001227AF"/>
    <w:rsid w:val="001376C7"/>
    <w:rsid w:val="00143ECA"/>
    <w:rsid w:val="001525AC"/>
    <w:rsid w:val="001603A6"/>
    <w:rsid w:val="00161336"/>
    <w:rsid w:val="00162DD0"/>
    <w:rsid w:val="0017110C"/>
    <w:rsid w:val="0017537F"/>
    <w:rsid w:val="00183901"/>
    <w:rsid w:val="00183B55"/>
    <w:rsid w:val="001A3D92"/>
    <w:rsid w:val="001B0AEB"/>
    <w:rsid w:val="001B7DD3"/>
    <w:rsid w:val="001C0A98"/>
    <w:rsid w:val="001C45F4"/>
    <w:rsid w:val="001C5662"/>
    <w:rsid w:val="001C67A1"/>
    <w:rsid w:val="001D078D"/>
    <w:rsid w:val="001E71AD"/>
    <w:rsid w:val="001F4F5F"/>
    <w:rsid w:val="001F51F0"/>
    <w:rsid w:val="001F6F98"/>
    <w:rsid w:val="00205E55"/>
    <w:rsid w:val="002106E7"/>
    <w:rsid w:val="00217DEB"/>
    <w:rsid w:val="002269B9"/>
    <w:rsid w:val="00230633"/>
    <w:rsid w:val="0023408C"/>
    <w:rsid w:val="00237ECB"/>
    <w:rsid w:val="002407E0"/>
    <w:rsid w:val="00243986"/>
    <w:rsid w:val="002452EF"/>
    <w:rsid w:val="0025795E"/>
    <w:rsid w:val="0026159B"/>
    <w:rsid w:val="00270987"/>
    <w:rsid w:val="0027337D"/>
    <w:rsid w:val="00280170"/>
    <w:rsid w:val="002A2071"/>
    <w:rsid w:val="002A2BD9"/>
    <w:rsid w:val="002A6103"/>
    <w:rsid w:val="002A62AD"/>
    <w:rsid w:val="002A69CB"/>
    <w:rsid w:val="002B3B44"/>
    <w:rsid w:val="002C2B5D"/>
    <w:rsid w:val="002D3321"/>
    <w:rsid w:val="002D60DD"/>
    <w:rsid w:val="002E16E1"/>
    <w:rsid w:val="002F4D5E"/>
    <w:rsid w:val="003004E8"/>
    <w:rsid w:val="0030064A"/>
    <w:rsid w:val="00300D93"/>
    <w:rsid w:val="00302213"/>
    <w:rsid w:val="00323685"/>
    <w:rsid w:val="0033458E"/>
    <w:rsid w:val="003348B5"/>
    <w:rsid w:val="00335174"/>
    <w:rsid w:val="00336340"/>
    <w:rsid w:val="00340974"/>
    <w:rsid w:val="003419C0"/>
    <w:rsid w:val="003467DF"/>
    <w:rsid w:val="00365CB8"/>
    <w:rsid w:val="003763D8"/>
    <w:rsid w:val="003800AF"/>
    <w:rsid w:val="00380565"/>
    <w:rsid w:val="003914AF"/>
    <w:rsid w:val="0039619C"/>
    <w:rsid w:val="003968B9"/>
    <w:rsid w:val="003A1CDB"/>
    <w:rsid w:val="003B063D"/>
    <w:rsid w:val="003B1166"/>
    <w:rsid w:val="003B3E93"/>
    <w:rsid w:val="003B4E23"/>
    <w:rsid w:val="003C196E"/>
    <w:rsid w:val="003D5A58"/>
    <w:rsid w:val="003E1876"/>
    <w:rsid w:val="003E5CDF"/>
    <w:rsid w:val="003F4CED"/>
    <w:rsid w:val="003F7531"/>
    <w:rsid w:val="00411BA0"/>
    <w:rsid w:val="004163CA"/>
    <w:rsid w:val="004205C9"/>
    <w:rsid w:val="004258AE"/>
    <w:rsid w:val="0042691D"/>
    <w:rsid w:val="00437D2E"/>
    <w:rsid w:val="00442FCC"/>
    <w:rsid w:val="00444836"/>
    <w:rsid w:val="004509D1"/>
    <w:rsid w:val="00457D5C"/>
    <w:rsid w:val="00460987"/>
    <w:rsid w:val="00477267"/>
    <w:rsid w:val="00485176"/>
    <w:rsid w:val="004A02FC"/>
    <w:rsid w:val="004B718E"/>
    <w:rsid w:val="004C0A01"/>
    <w:rsid w:val="004C2451"/>
    <w:rsid w:val="004D0C4F"/>
    <w:rsid w:val="004F1161"/>
    <w:rsid w:val="00525411"/>
    <w:rsid w:val="00575FA4"/>
    <w:rsid w:val="00586E6B"/>
    <w:rsid w:val="00596032"/>
    <w:rsid w:val="005975E5"/>
    <w:rsid w:val="00597B68"/>
    <w:rsid w:val="005A0323"/>
    <w:rsid w:val="005A68E3"/>
    <w:rsid w:val="005B23C6"/>
    <w:rsid w:val="005C362B"/>
    <w:rsid w:val="005C5DE8"/>
    <w:rsid w:val="005D3396"/>
    <w:rsid w:val="005E1D76"/>
    <w:rsid w:val="005E2786"/>
    <w:rsid w:val="005E341B"/>
    <w:rsid w:val="005E6A43"/>
    <w:rsid w:val="005F18C0"/>
    <w:rsid w:val="00605FF0"/>
    <w:rsid w:val="0061113E"/>
    <w:rsid w:val="00611E2A"/>
    <w:rsid w:val="006212BF"/>
    <w:rsid w:val="00621CBD"/>
    <w:rsid w:val="006231E6"/>
    <w:rsid w:val="00623EF2"/>
    <w:rsid w:val="00630940"/>
    <w:rsid w:val="0063361A"/>
    <w:rsid w:val="00634F42"/>
    <w:rsid w:val="0064109C"/>
    <w:rsid w:val="00642021"/>
    <w:rsid w:val="006473EB"/>
    <w:rsid w:val="0065183B"/>
    <w:rsid w:val="00664C7B"/>
    <w:rsid w:val="0067288F"/>
    <w:rsid w:val="00672D42"/>
    <w:rsid w:val="0067648A"/>
    <w:rsid w:val="006813A3"/>
    <w:rsid w:val="00683C15"/>
    <w:rsid w:val="00683CC1"/>
    <w:rsid w:val="00690E75"/>
    <w:rsid w:val="00691145"/>
    <w:rsid w:val="00691482"/>
    <w:rsid w:val="006964F2"/>
    <w:rsid w:val="006A478C"/>
    <w:rsid w:val="006A540B"/>
    <w:rsid w:val="006A5FCB"/>
    <w:rsid w:val="006B0D71"/>
    <w:rsid w:val="006B1B59"/>
    <w:rsid w:val="006B1B8B"/>
    <w:rsid w:val="006B2EE9"/>
    <w:rsid w:val="006B75D7"/>
    <w:rsid w:val="006C3675"/>
    <w:rsid w:val="006C4337"/>
    <w:rsid w:val="006C694F"/>
    <w:rsid w:val="006D65FF"/>
    <w:rsid w:val="006E3913"/>
    <w:rsid w:val="006F0FD5"/>
    <w:rsid w:val="00700C3C"/>
    <w:rsid w:val="00715CE8"/>
    <w:rsid w:val="0072305F"/>
    <w:rsid w:val="00732DFB"/>
    <w:rsid w:val="007421DC"/>
    <w:rsid w:val="0074693D"/>
    <w:rsid w:val="00757A7E"/>
    <w:rsid w:val="00765A2B"/>
    <w:rsid w:val="007820D0"/>
    <w:rsid w:val="007928B2"/>
    <w:rsid w:val="00793773"/>
    <w:rsid w:val="007937DC"/>
    <w:rsid w:val="007A348D"/>
    <w:rsid w:val="007A5155"/>
    <w:rsid w:val="007C1E79"/>
    <w:rsid w:val="007D212B"/>
    <w:rsid w:val="007E3494"/>
    <w:rsid w:val="007E4044"/>
    <w:rsid w:val="007F6556"/>
    <w:rsid w:val="00800447"/>
    <w:rsid w:val="00800C53"/>
    <w:rsid w:val="008209F6"/>
    <w:rsid w:val="00830368"/>
    <w:rsid w:val="00830F6B"/>
    <w:rsid w:val="00834CD5"/>
    <w:rsid w:val="00840BD9"/>
    <w:rsid w:val="00877173"/>
    <w:rsid w:val="0088357D"/>
    <w:rsid w:val="008A6BFD"/>
    <w:rsid w:val="008B42BB"/>
    <w:rsid w:val="008C1EC4"/>
    <w:rsid w:val="008C20D3"/>
    <w:rsid w:val="008C3241"/>
    <w:rsid w:val="008D3367"/>
    <w:rsid w:val="008D44EE"/>
    <w:rsid w:val="008E2922"/>
    <w:rsid w:val="008E324B"/>
    <w:rsid w:val="008F11BC"/>
    <w:rsid w:val="008F5159"/>
    <w:rsid w:val="00900370"/>
    <w:rsid w:val="00902E1E"/>
    <w:rsid w:val="009123DC"/>
    <w:rsid w:val="00913712"/>
    <w:rsid w:val="0092165A"/>
    <w:rsid w:val="009230CE"/>
    <w:rsid w:val="00926252"/>
    <w:rsid w:val="009327E1"/>
    <w:rsid w:val="00935947"/>
    <w:rsid w:val="00935F6E"/>
    <w:rsid w:val="00937B99"/>
    <w:rsid w:val="00940AF4"/>
    <w:rsid w:val="009418CD"/>
    <w:rsid w:val="00942C01"/>
    <w:rsid w:val="00942C7C"/>
    <w:rsid w:val="00943155"/>
    <w:rsid w:val="00946432"/>
    <w:rsid w:val="009467E7"/>
    <w:rsid w:val="009710AC"/>
    <w:rsid w:val="0097335A"/>
    <w:rsid w:val="00975FA1"/>
    <w:rsid w:val="00977244"/>
    <w:rsid w:val="00984405"/>
    <w:rsid w:val="00986896"/>
    <w:rsid w:val="009A21D8"/>
    <w:rsid w:val="009A3C6D"/>
    <w:rsid w:val="009B558B"/>
    <w:rsid w:val="009B590C"/>
    <w:rsid w:val="009C3E7F"/>
    <w:rsid w:val="009C4B77"/>
    <w:rsid w:val="009C5B3A"/>
    <w:rsid w:val="009E0756"/>
    <w:rsid w:val="009E294D"/>
    <w:rsid w:val="009F67F0"/>
    <w:rsid w:val="009F6BEB"/>
    <w:rsid w:val="00A0221D"/>
    <w:rsid w:val="00A03565"/>
    <w:rsid w:val="00A25486"/>
    <w:rsid w:val="00A25E3D"/>
    <w:rsid w:val="00A33A66"/>
    <w:rsid w:val="00A370E9"/>
    <w:rsid w:val="00A376C9"/>
    <w:rsid w:val="00A60CA1"/>
    <w:rsid w:val="00A702E9"/>
    <w:rsid w:val="00A75010"/>
    <w:rsid w:val="00A8290E"/>
    <w:rsid w:val="00AA7CFA"/>
    <w:rsid w:val="00AB3E64"/>
    <w:rsid w:val="00AC70FC"/>
    <w:rsid w:val="00AC710E"/>
    <w:rsid w:val="00AE2F56"/>
    <w:rsid w:val="00AF063F"/>
    <w:rsid w:val="00AF4141"/>
    <w:rsid w:val="00AF5ECD"/>
    <w:rsid w:val="00AF6DC8"/>
    <w:rsid w:val="00AF785E"/>
    <w:rsid w:val="00B056CD"/>
    <w:rsid w:val="00B1338B"/>
    <w:rsid w:val="00B150B3"/>
    <w:rsid w:val="00B303A3"/>
    <w:rsid w:val="00B32467"/>
    <w:rsid w:val="00B32A8A"/>
    <w:rsid w:val="00B33781"/>
    <w:rsid w:val="00B33B0A"/>
    <w:rsid w:val="00B368F9"/>
    <w:rsid w:val="00B4617F"/>
    <w:rsid w:val="00B6204B"/>
    <w:rsid w:val="00B62F46"/>
    <w:rsid w:val="00B63CF6"/>
    <w:rsid w:val="00B71F1C"/>
    <w:rsid w:val="00B821C8"/>
    <w:rsid w:val="00B8234A"/>
    <w:rsid w:val="00B85FEE"/>
    <w:rsid w:val="00BB41D3"/>
    <w:rsid w:val="00BD1836"/>
    <w:rsid w:val="00BD303E"/>
    <w:rsid w:val="00BD5D62"/>
    <w:rsid w:val="00BD7FCD"/>
    <w:rsid w:val="00BF6CB2"/>
    <w:rsid w:val="00C0559B"/>
    <w:rsid w:val="00C1412B"/>
    <w:rsid w:val="00C16631"/>
    <w:rsid w:val="00C2746B"/>
    <w:rsid w:val="00C30EB1"/>
    <w:rsid w:val="00C339A1"/>
    <w:rsid w:val="00C35588"/>
    <w:rsid w:val="00C36DAC"/>
    <w:rsid w:val="00C45247"/>
    <w:rsid w:val="00C5192A"/>
    <w:rsid w:val="00C526BC"/>
    <w:rsid w:val="00C7329D"/>
    <w:rsid w:val="00C75410"/>
    <w:rsid w:val="00C8274C"/>
    <w:rsid w:val="00C8659E"/>
    <w:rsid w:val="00C91AD6"/>
    <w:rsid w:val="00C93576"/>
    <w:rsid w:val="00C946F1"/>
    <w:rsid w:val="00C94D10"/>
    <w:rsid w:val="00CA058C"/>
    <w:rsid w:val="00CB3CB1"/>
    <w:rsid w:val="00CC1090"/>
    <w:rsid w:val="00CD2549"/>
    <w:rsid w:val="00CD286F"/>
    <w:rsid w:val="00CD5334"/>
    <w:rsid w:val="00CD555B"/>
    <w:rsid w:val="00CF2097"/>
    <w:rsid w:val="00CF3305"/>
    <w:rsid w:val="00CF6E75"/>
    <w:rsid w:val="00D00279"/>
    <w:rsid w:val="00D03A8E"/>
    <w:rsid w:val="00D05B87"/>
    <w:rsid w:val="00D067E3"/>
    <w:rsid w:val="00D13148"/>
    <w:rsid w:val="00D24851"/>
    <w:rsid w:val="00D24F3B"/>
    <w:rsid w:val="00D27368"/>
    <w:rsid w:val="00D30669"/>
    <w:rsid w:val="00D34E10"/>
    <w:rsid w:val="00D43835"/>
    <w:rsid w:val="00D44F4B"/>
    <w:rsid w:val="00D57B2E"/>
    <w:rsid w:val="00D649AB"/>
    <w:rsid w:val="00D64D41"/>
    <w:rsid w:val="00D76689"/>
    <w:rsid w:val="00D80CEF"/>
    <w:rsid w:val="00D8466B"/>
    <w:rsid w:val="00D84C52"/>
    <w:rsid w:val="00D85AA5"/>
    <w:rsid w:val="00D97F7A"/>
    <w:rsid w:val="00DA0599"/>
    <w:rsid w:val="00DB6EB3"/>
    <w:rsid w:val="00DC2607"/>
    <w:rsid w:val="00DC50D3"/>
    <w:rsid w:val="00DD0666"/>
    <w:rsid w:val="00DE11B1"/>
    <w:rsid w:val="00DE2976"/>
    <w:rsid w:val="00DE79DC"/>
    <w:rsid w:val="00DF32C7"/>
    <w:rsid w:val="00E03B01"/>
    <w:rsid w:val="00E03C00"/>
    <w:rsid w:val="00E04D3E"/>
    <w:rsid w:val="00E07608"/>
    <w:rsid w:val="00E11E03"/>
    <w:rsid w:val="00E14F32"/>
    <w:rsid w:val="00E228BE"/>
    <w:rsid w:val="00E26075"/>
    <w:rsid w:val="00E4407F"/>
    <w:rsid w:val="00E471CA"/>
    <w:rsid w:val="00E76F8A"/>
    <w:rsid w:val="00E77460"/>
    <w:rsid w:val="00E84AA6"/>
    <w:rsid w:val="00E94C7D"/>
    <w:rsid w:val="00E97FBD"/>
    <w:rsid w:val="00EA5AA7"/>
    <w:rsid w:val="00EC1483"/>
    <w:rsid w:val="00EC3868"/>
    <w:rsid w:val="00EC56CB"/>
    <w:rsid w:val="00EC7DA3"/>
    <w:rsid w:val="00ED11D0"/>
    <w:rsid w:val="00ED18C8"/>
    <w:rsid w:val="00ED3452"/>
    <w:rsid w:val="00ED522A"/>
    <w:rsid w:val="00ED7D75"/>
    <w:rsid w:val="00EE2E94"/>
    <w:rsid w:val="00EE3B7E"/>
    <w:rsid w:val="00EE4DEA"/>
    <w:rsid w:val="00EF234F"/>
    <w:rsid w:val="00EF778C"/>
    <w:rsid w:val="00F0018D"/>
    <w:rsid w:val="00F011DA"/>
    <w:rsid w:val="00F10A6F"/>
    <w:rsid w:val="00F2550A"/>
    <w:rsid w:val="00F25DFB"/>
    <w:rsid w:val="00F51727"/>
    <w:rsid w:val="00F52459"/>
    <w:rsid w:val="00F630D4"/>
    <w:rsid w:val="00F70794"/>
    <w:rsid w:val="00F72BCB"/>
    <w:rsid w:val="00F82790"/>
    <w:rsid w:val="00FA4EEE"/>
    <w:rsid w:val="00FB3D23"/>
    <w:rsid w:val="00FB45C2"/>
    <w:rsid w:val="00FC422A"/>
    <w:rsid w:val="00FC6281"/>
    <w:rsid w:val="00FC694E"/>
    <w:rsid w:val="00FC7CC8"/>
    <w:rsid w:val="00FF08A7"/>
    <w:rsid w:val="00FF24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27EE2A-2800-4AAC-819B-C9729E7C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6E"/>
    <w:rPr>
      <w:sz w:val="24"/>
      <w:szCs w:val="24"/>
    </w:rPr>
  </w:style>
  <w:style w:type="paragraph" w:styleId="Titre1">
    <w:name w:val="heading 1"/>
    <w:basedOn w:val="Normal"/>
    <w:next w:val="Normal"/>
    <w:link w:val="Titre1Car"/>
    <w:qFormat/>
    <w:rsid w:val="000C366E"/>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uiPriority w:val="9"/>
    <w:semiHidden/>
    <w:unhideWhenUsed/>
    <w:qFormat/>
    <w:rsid w:val="000C366E"/>
    <w:pPr>
      <w:keepNext/>
      <w:spacing w:before="240" w:after="60"/>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qFormat/>
    <w:rsid w:val="000C366E"/>
    <w:pPr>
      <w:numPr>
        <w:numId w:val="4"/>
      </w:numPr>
      <w:jc w:val="both"/>
    </w:pPr>
    <w:rPr>
      <w:rFonts w:ascii="Times New Roman" w:eastAsia="Times New Roman" w:hAnsi="Times New Roman"/>
      <w:sz w:val="24"/>
    </w:rPr>
  </w:style>
  <w:style w:type="character" w:customStyle="1" w:styleId="Titre1Car">
    <w:name w:val="Titre 1 Car"/>
    <w:basedOn w:val="Policepardfaut"/>
    <w:link w:val="Titre1"/>
    <w:rsid w:val="000C366E"/>
    <w:rPr>
      <w:rFonts w:ascii="Arial" w:eastAsiaTheme="majorEastAsia" w:hAnsi="Arial" w:cs="Arial"/>
      <w:b/>
      <w:bCs/>
      <w:kern w:val="32"/>
      <w:sz w:val="32"/>
      <w:szCs w:val="32"/>
    </w:rPr>
  </w:style>
  <w:style w:type="paragraph" w:customStyle="1" w:styleId="Style2">
    <w:name w:val="Style2"/>
    <w:basedOn w:val="Style1"/>
    <w:qFormat/>
    <w:rsid w:val="000C366E"/>
    <w:pPr>
      <w:numPr>
        <w:numId w:val="0"/>
      </w:numPr>
    </w:pPr>
    <w:rPr>
      <w:rFonts w:eastAsia="Calibri"/>
      <w:color w:val="000000"/>
      <w:kern w:val="24"/>
    </w:rPr>
  </w:style>
  <w:style w:type="character" w:customStyle="1" w:styleId="Titre2Car">
    <w:name w:val="Titre 2 Car"/>
    <w:basedOn w:val="Policepardfaut"/>
    <w:link w:val="Titre2"/>
    <w:uiPriority w:val="9"/>
    <w:semiHidden/>
    <w:rsid w:val="000C366E"/>
    <w:rPr>
      <w:rFonts w:asciiTheme="majorHAnsi" w:eastAsiaTheme="majorEastAsia" w:hAnsiTheme="majorHAnsi" w:cstheme="majorBidi"/>
      <w:b/>
      <w:bCs/>
      <w:i/>
      <w:iCs/>
      <w:sz w:val="28"/>
      <w:szCs w:val="28"/>
    </w:rPr>
  </w:style>
  <w:style w:type="paragraph" w:styleId="TM1">
    <w:name w:val="toc 1"/>
    <w:basedOn w:val="Normal"/>
    <w:next w:val="Normal"/>
    <w:autoRedefine/>
    <w:uiPriority w:val="39"/>
    <w:qFormat/>
    <w:rsid w:val="000C366E"/>
    <w:pPr>
      <w:tabs>
        <w:tab w:val="right" w:leader="dot" w:pos="9062"/>
      </w:tabs>
      <w:jc w:val="center"/>
      <w:outlineLvl w:val="1"/>
    </w:pPr>
    <w:rPr>
      <w:b/>
      <w:noProof/>
    </w:rPr>
  </w:style>
  <w:style w:type="paragraph" w:styleId="TM2">
    <w:name w:val="toc 2"/>
    <w:basedOn w:val="Normal"/>
    <w:next w:val="Normal"/>
    <w:autoRedefine/>
    <w:uiPriority w:val="39"/>
    <w:qFormat/>
    <w:rsid w:val="000C366E"/>
    <w:pPr>
      <w:tabs>
        <w:tab w:val="right" w:leader="dot" w:pos="9062"/>
      </w:tabs>
    </w:pPr>
  </w:style>
  <w:style w:type="paragraph" w:styleId="TM3">
    <w:name w:val="toc 3"/>
    <w:basedOn w:val="Normal"/>
    <w:next w:val="Normal"/>
    <w:autoRedefine/>
    <w:uiPriority w:val="39"/>
    <w:qFormat/>
    <w:rsid w:val="000C366E"/>
    <w:pPr>
      <w:tabs>
        <w:tab w:val="right" w:leader="dot" w:pos="9062"/>
      </w:tabs>
      <w:jc w:val="both"/>
    </w:pPr>
    <w:rPr>
      <w:b/>
      <w:noProof/>
    </w:rPr>
  </w:style>
  <w:style w:type="paragraph" w:styleId="Titre">
    <w:name w:val="Title"/>
    <w:basedOn w:val="Normal"/>
    <w:link w:val="TitreCar"/>
    <w:qFormat/>
    <w:rsid w:val="000C366E"/>
    <w:pPr>
      <w:jc w:val="center"/>
    </w:pPr>
    <w:rPr>
      <w:b/>
      <w:bCs/>
      <w:sz w:val="28"/>
    </w:rPr>
  </w:style>
  <w:style w:type="character" w:customStyle="1" w:styleId="TitreCar">
    <w:name w:val="Titre Car"/>
    <w:basedOn w:val="Policepardfaut"/>
    <w:link w:val="Titre"/>
    <w:rsid w:val="000C366E"/>
    <w:rPr>
      <w:b/>
      <w:bCs/>
      <w:sz w:val="28"/>
      <w:szCs w:val="24"/>
    </w:rPr>
  </w:style>
  <w:style w:type="character" w:styleId="lev">
    <w:name w:val="Strong"/>
    <w:uiPriority w:val="22"/>
    <w:qFormat/>
    <w:rsid w:val="000C366E"/>
    <w:rPr>
      <w:b/>
      <w:bCs/>
    </w:rPr>
  </w:style>
  <w:style w:type="character" w:styleId="Accentuation">
    <w:name w:val="Emphasis"/>
    <w:qFormat/>
    <w:rsid w:val="000C366E"/>
    <w:rPr>
      <w:i/>
      <w:iCs/>
    </w:rPr>
  </w:style>
  <w:style w:type="paragraph" w:styleId="Sansinterligne">
    <w:name w:val="No Spacing"/>
    <w:uiPriority w:val="1"/>
    <w:qFormat/>
    <w:rsid w:val="000C366E"/>
    <w:rPr>
      <w:sz w:val="24"/>
      <w:szCs w:val="24"/>
    </w:rPr>
  </w:style>
  <w:style w:type="paragraph" w:styleId="Paragraphedeliste">
    <w:name w:val="List Paragraph"/>
    <w:basedOn w:val="Normal"/>
    <w:uiPriority w:val="34"/>
    <w:qFormat/>
    <w:rsid w:val="000C366E"/>
    <w:pPr>
      <w:spacing w:after="200" w:line="276" w:lineRule="auto"/>
      <w:ind w:left="720"/>
      <w:contextualSpacing/>
    </w:pPr>
    <w:rPr>
      <w:rFonts w:ascii="Calibri" w:eastAsia="Calibri" w:hAnsi="Calibri"/>
      <w:sz w:val="22"/>
      <w:szCs w:val="22"/>
    </w:rPr>
  </w:style>
  <w:style w:type="character" w:styleId="Titredulivre">
    <w:name w:val="Book Title"/>
    <w:basedOn w:val="Policepardfaut"/>
    <w:uiPriority w:val="33"/>
    <w:qFormat/>
    <w:rsid w:val="000C366E"/>
    <w:rPr>
      <w:b/>
      <w:bCs/>
      <w:smallCaps/>
      <w:spacing w:val="5"/>
    </w:rPr>
  </w:style>
  <w:style w:type="paragraph" w:styleId="En-ttedetabledesmatires">
    <w:name w:val="TOC Heading"/>
    <w:basedOn w:val="Titre1"/>
    <w:next w:val="Normal"/>
    <w:uiPriority w:val="39"/>
    <w:semiHidden/>
    <w:unhideWhenUsed/>
    <w:qFormat/>
    <w:rsid w:val="000C366E"/>
    <w:pPr>
      <w:keepLines/>
      <w:spacing w:before="480" w:after="0" w:line="276" w:lineRule="auto"/>
      <w:outlineLvl w:val="9"/>
    </w:pPr>
    <w:rPr>
      <w:rFonts w:ascii="Cambria" w:eastAsia="Times New Roman" w:hAnsi="Cambria" w:cs="Times New Roman"/>
      <w:color w:val="365F91"/>
      <w:kern w:val="0"/>
      <w:sz w:val="28"/>
      <w:szCs w:val="28"/>
    </w:rPr>
  </w:style>
  <w:style w:type="table" w:styleId="Grilledutableau">
    <w:name w:val="Table Grid"/>
    <w:basedOn w:val="TableauNormal"/>
    <w:uiPriority w:val="39"/>
    <w:rsid w:val="00EE2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E2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E2E94"/>
    <w:rPr>
      <w:rFonts w:ascii="Tahoma" w:hAnsi="Tahoma" w:cs="Tahoma"/>
      <w:sz w:val="16"/>
      <w:szCs w:val="16"/>
    </w:rPr>
  </w:style>
  <w:style w:type="character" w:customStyle="1" w:styleId="TextedebullesCar">
    <w:name w:val="Texte de bulles Car"/>
    <w:basedOn w:val="Policepardfaut"/>
    <w:link w:val="Textedebulles"/>
    <w:uiPriority w:val="99"/>
    <w:semiHidden/>
    <w:rsid w:val="00EE2E94"/>
    <w:rPr>
      <w:rFonts w:ascii="Tahoma" w:hAnsi="Tahoma" w:cs="Tahoma"/>
      <w:sz w:val="16"/>
      <w:szCs w:val="16"/>
    </w:rPr>
  </w:style>
  <w:style w:type="paragraph" w:styleId="NormalWeb">
    <w:name w:val="Normal (Web)"/>
    <w:basedOn w:val="Normal"/>
    <w:uiPriority w:val="99"/>
    <w:unhideWhenUsed/>
    <w:rsid w:val="00EE2E94"/>
    <w:pPr>
      <w:spacing w:before="100" w:beforeAutospacing="1" w:after="100" w:afterAutospacing="1"/>
    </w:pPr>
    <w:rPr>
      <w:lang w:eastAsia="fr-FR"/>
    </w:rPr>
  </w:style>
  <w:style w:type="character" w:customStyle="1" w:styleId="Normal1">
    <w:name w:val="Normal1"/>
    <w:basedOn w:val="Policepardfaut"/>
    <w:rsid w:val="00052D00"/>
  </w:style>
  <w:style w:type="character" w:styleId="Marquedecommentaire">
    <w:name w:val="annotation reference"/>
    <w:basedOn w:val="Policepardfaut"/>
    <w:uiPriority w:val="99"/>
    <w:semiHidden/>
    <w:unhideWhenUsed/>
    <w:rsid w:val="00052D00"/>
    <w:rPr>
      <w:sz w:val="16"/>
      <w:szCs w:val="16"/>
    </w:rPr>
  </w:style>
  <w:style w:type="paragraph" w:styleId="Commentaire">
    <w:name w:val="annotation text"/>
    <w:basedOn w:val="Normal"/>
    <w:link w:val="CommentaireCar"/>
    <w:uiPriority w:val="99"/>
    <w:unhideWhenUsed/>
    <w:rsid w:val="00052D00"/>
    <w:rPr>
      <w:sz w:val="20"/>
      <w:szCs w:val="20"/>
    </w:rPr>
  </w:style>
  <w:style w:type="character" w:customStyle="1" w:styleId="CommentaireCar">
    <w:name w:val="Commentaire Car"/>
    <w:basedOn w:val="Policepardfaut"/>
    <w:link w:val="Commentaire"/>
    <w:uiPriority w:val="99"/>
    <w:rsid w:val="00052D00"/>
  </w:style>
  <w:style w:type="paragraph" w:styleId="Objetducommentaire">
    <w:name w:val="annotation subject"/>
    <w:basedOn w:val="Commentaire"/>
    <w:next w:val="Commentaire"/>
    <w:link w:val="ObjetducommentaireCar"/>
    <w:uiPriority w:val="99"/>
    <w:semiHidden/>
    <w:unhideWhenUsed/>
    <w:rsid w:val="00052D00"/>
    <w:rPr>
      <w:b/>
      <w:bCs/>
    </w:rPr>
  </w:style>
  <w:style w:type="character" w:customStyle="1" w:styleId="ObjetducommentaireCar">
    <w:name w:val="Objet du commentaire Car"/>
    <w:basedOn w:val="CommentaireCar"/>
    <w:link w:val="Objetducommentaire"/>
    <w:uiPriority w:val="99"/>
    <w:semiHidden/>
    <w:rsid w:val="00052D00"/>
    <w:rPr>
      <w:b/>
      <w:bCs/>
    </w:rPr>
  </w:style>
  <w:style w:type="paragraph" w:customStyle="1" w:styleId="Standard">
    <w:name w:val="Standard"/>
    <w:rsid w:val="00CF3305"/>
    <w:pPr>
      <w:suppressAutoHyphens/>
      <w:autoSpaceDN w:val="0"/>
      <w:spacing w:after="200" w:line="276" w:lineRule="auto"/>
      <w:textAlignment w:val="baseline"/>
    </w:pPr>
    <w:rPr>
      <w:rFonts w:ascii="Calibri" w:eastAsia="Calibri" w:hAnsi="Calibri" w:cs="F"/>
      <w:kern w:val="3"/>
      <w:sz w:val="22"/>
      <w:szCs w:val="22"/>
    </w:rPr>
  </w:style>
  <w:style w:type="character" w:customStyle="1" w:styleId="Normal2">
    <w:name w:val="Normal2"/>
    <w:basedOn w:val="Policepardfaut"/>
    <w:rsid w:val="00CF3305"/>
  </w:style>
  <w:style w:type="paragraph" w:styleId="En-tte">
    <w:name w:val="header"/>
    <w:basedOn w:val="Normal"/>
    <w:link w:val="En-tteCar"/>
    <w:uiPriority w:val="99"/>
    <w:unhideWhenUsed/>
    <w:rsid w:val="00EC3868"/>
    <w:pPr>
      <w:tabs>
        <w:tab w:val="center" w:pos="4536"/>
        <w:tab w:val="right" w:pos="9072"/>
      </w:tabs>
    </w:pPr>
  </w:style>
  <w:style w:type="character" w:customStyle="1" w:styleId="En-tteCar">
    <w:name w:val="En-tête Car"/>
    <w:basedOn w:val="Policepardfaut"/>
    <w:link w:val="En-tte"/>
    <w:uiPriority w:val="99"/>
    <w:rsid w:val="00EC3868"/>
    <w:rPr>
      <w:sz w:val="24"/>
      <w:szCs w:val="24"/>
    </w:rPr>
  </w:style>
  <w:style w:type="paragraph" w:styleId="Pieddepage">
    <w:name w:val="footer"/>
    <w:basedOn w:val="Normal"/>
    <w:link w:val="PieddepageCar"/>
    <w:uiPriority w:val="99"/>
    <w:unhideWhenUsed/>
    <w:rsid w:val="00EC3868"/>
    <w:pPr>
      <w:tabs>
        <w:tab w:val="center" w:pos="4536"/>
        <w:tab w:val="right" w:pos="9072"/>
      </w:tabs>
    </w:pPr>
  </w:style>
  <w:style w:type="character" w:customStyle="1" w:styleId="PieddepageCar">
    <w:name w:val="Pied de page Car"/>
    <w:basedOn w:val="Policepardfaut"/>
    <w:link w:val="Pieddepage"/>
    <w:uiPriority w:val="99"/>
    <w:rsid w:val="00EC3868"/>
    <w:rPr>
      <w:sz w:val="24"/>
      <w:szCs w:val="24"/>
    </w:rPr>
  </w:style>
  <w:style w:type="paragraph" w:customStyle="1" w:styleId="amdexpotitre">
    <w:name w:val="amdexpotitre"/>
    <w:basedOn w:val="Normal"/>
    <w:rsid w:val="002E16E1"/>
    <w:pPr>
      <w:widowControl w:val="0"/>
      <w:spacing w:before="600"/>
    </w:pPr>
    <w:rPr>
      <w:b/>
      <w:bCs/>
      <w:lang w:eastAsia="fr-FR"/>
    </w:rPr>
  </w:style>
  <w:style w:type="character" w:styleId="Lienhypertexte">
    <w:name w:val="Hyperlink"/>
    <w:basedOn w:val="Policepardfaut"/>
    <w:uiPriority w:val="99"/>
    <w:semiHidden/>
    <w:unhideWhenUsed/>
    <w:rsid w:val="00457D5C"/>
    <w:rPr>
      <w:color w:val="0000FF"/>
      <w:u w:val="single"/>
    </w:rPr>
  </w:style>
  <w:style w:type="paragraph" w:styleId="Rvision">
    <w:name w:val="Revision"/>
    <w:hidden/>
    <w:uiPriority w:val="99"/>
    <w:semiHidden/>
    <w:rsid w:val="00A70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205">
      <w:bodyDiv w:val="1"/>
      <w:marLeft w:val="0"/>
      <w:marRight w:val="0"/>
      <w:marTop w:val="0"/>
      <w:marBottom w:val="0"/>
      <w:divBdr>
        <w:top w:val="none" w:sz="0" w:space="0" w:color="auto"/>
        <w:left w:val="none" w:sz="0" w:space="0" w:color="auto"/>
        <w:bottom w:val="none" w:sz="0" w:space="0" w:color="auto"/>
        <w:right w:val="none" w:sz="0" w:space="0" w:color="auto"/>
      </w:divBdr>
    </w:div>
    <w:div w:id="1189752830">
      <w:bodyDiv w:val="1"/>
      <w:marLeft w:val="0"/>
      <w:marRight w:val="0"/>
      <w:marTop w:val="0"/>
      <w:marBottom w:val="0"/>
      <w:divBdr>
        <w:top w:val="none" w:sz="0" w:space="0" w:color="auto"/>
        <w:left w:val="none" w:sz="0" w:space="0" w:color="auto"/>
        <w:bottom w:val="none" w:sz="0" w:space="0" w:color="auto"/>
        <w:right w:val="none" w:sz="0" w:space="0" w:color="auto"/>
      </w:divBdr>
    </w:div>
    <w:div w:id="1199200748">
      <w:bodyDiv w:val="1"/>
      <w:marLeft w:val="0"/>
      <w:marRight w:val="0"/>
      <w:marTop w:val="0"/>
      <w:marBottom w:val="0"/>
      <w:divBdr>
        <w:top w:val="none" w:sz="0" w:space="0" w:color="auto"/>
        <w:left w:val="none" w:sz="0" w:space="0" w:color="auto"/>
        <w:bottom w:val="none" w:sz="0" w:space="0" w:color="auto"/>
        <w:right w:val="none" w:sz="0" w:space="0" w:color="auto"/>
      </w:divBdr>
      <w:divsChild>
        <w:div w:id="916934743">
          <w:marLeft w:val="0"/>
          <w:marRight w:val="0"/>
          <w:marTop w:val="0"/>
          <w:marBottom w:val="0"/>
          <w:divBdr>
            <w:top w:val="none" w:sz="0" w:space="0" w:color="auto"/>
            <w:left w:val="none" w:sz="0" w:space="0" w:color="auto"/>
            <w:bottom w:val="none" w:sz="0" w:space="0" w:color="auto"/>
            <w:right w:val="none" w:sz="0" w:space="0" w:color="auto"/>
          </w:divBdr>
        </w:div>
        <w:div w:id="1720936377">
          <w:marLeft w:val="0"/>
          <w:marRight w:val="0"/>
          <w:marTop w:val="0"/>
          <w:marBottom w:val="0"/>
          <w:divBdr>
            <w:top w:val="none" w:sz="0" w:space="0" w:color="auto"/>
            <w:left w:val="none" w:sz="0" w:space="0" w:color="auto"/>
            <w:bottom w:val="none" w:sz="0" w:space="0" w:color="auto"/>
            <w:right w:val="none" w:sz="0" w:space="0" w:color="auto"/>
          </w:divBdr>
        </w:div>
      </w:divsChild>
    </w:div>
    <w:div w:id="1918787146">
      <w:bodyDiv w:val="1"/>
      <w:marLeft w:val="0"/>
      <w:marRight w:val="0"/>
      <w:marTop w:val="0"/>
      <w:marBottom w:val="0"/>
      <w:divBdr>
        <w:top w:val="none" w:sz="0" w:space="0" w:color="auto"/>
        <w:left w:val="none" w:sz="0" w:space="0" w:color="auto"/>
        <w:bottom w:val="none" w:sz="0" w:space="0" w:color="auto"/>
        <w:right w:val="none" w:sz="0" w:space="0" w:color="auto"/>
      </w:divBdr>
    </w:div>
    <w:div w:id="19843084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57">
          <w:marLeft w:val="0"/>
          <w:marRight w:val="0"/>
          <w:marTop w:val="0"/>
          <w:marBottom w:val="0"/>
          <w:divBdr>
            <w:top w:val="none" w:sz="0" w:space="0" w:color="auto"/>
            <w:left w:val="none" w:sz="0" w:space="0" w:color="auto"/>
            <w:bottom w:val="none" w:sz="0" w:space="0" w:color="auto"/>
            <w:right w:val="none" w:sz="0" w:space="0" w:color="auto"/>
          </w:divBdr>
          <w:divsChild>
            <w:div w:id="1975522192">
              <w:marLeft w:val="0"/>
              <w:marRight w:val="0"/>
              <w:marTop w:val="0"/>
              <w:marBottom w:val="0"/>
              <w:divBdr>
                <w:top w:val="none" w:sz="0" w:space="0" w:color="auto"/>
                <w:left w:val="none" w:sz="0" w:space="0" w:color="auto"/>
                <w:bottom w:val="none" w:sz="0" w:space="0" w:color="auto"/>
                <w:right w:val="none" w:sz="0" w:space="0" w:color="auto"/>
              </w:divBdr>
              <w:divsChild>
                <w:div w:id="334841811">
                  <w:marLeft w:val="0"/>
                  <w:marRight w:val="0"/>
                  <w:marTop w:val="0"/>
                  <w:marBottom w:val="0"/>
                  <w:divBdr>
                    <w:top w:val="none" w:sz="0" w:space="0" w:color="auto"/>
                    <w:left w:val="none" w:sz="0" w:space="0" w:color="auto"/>
                    <w:bottom w:val="none" w:sz="0" w:space="0" w:color="auto"/>
                    <w:right w:val="none" w:sz="0" w:space="0" w:color="auto"/>
                  </w:divBdr>
                  <w:divsChild>
                    <w:div w:id="984434460">
                      <w:marLeft w:val="0"/>
                      <w:marRight w:val="0"/>
                      <w:marTop w:val="0"/>
                      <w:marBottom w:val="0"/>
                      <w:divBdr>
                        <w:top w:val="none" w:sz="0" w:space="0" w:color="auto"/>
                        <w:left w:val="none" w:sz="0" w:space="0" w:color="auto"/>
                        <w:bottom w:val="none" w:sz="0" w:space="0" w:color="auto"/>
                        <w:right w:val="none" w:sz="0" w:space="0" w:color="auto"/>
                      </w:divBdr>
                      <w:divsChild>
                        <w:div w:id="1203249913">
                          <w:marLeft w:val="0"/>
                          <w:marRight w:val="0"/>
                          <w:marTop w:val="0"/>
                          <w:marBottom w:val="0"/>
                          <w:divBdr>
                            <w:top w:val="none" w:sz="0" w:space="0" w:color="auto"/>
                            <w:left w:val="none" w:sz="0" w:space="0" w:color="auto"/>
                            <w:bottom w:val="none" w:sz="0" w:space="0" w:color="auto"/>
                            <w:right w:val="none" w:sz="0" w:space="0" w:color="auto"/>
                          </w:divBdr>
                          <w:divsChild>
                            <w:div w:id="1656182735">
                              <w:marLeft w:val="0"/>
                              <w:marRight w:val="0"/>
                              <w:marTop w:val="0"/>
                              <w:marBottom w:val="0"/>
                              <w:divBdr>
                                <w:top w:val="none" w:sz="0" w:space="0" w:color="auto"/>
                                <w:left w:val="none" w:sz="0" w:space="0" w:color="auto"/>
                                <w:bottom w:val="none" w:sz="0" w:space="0" w:color="auto"/>
                                <w:right w:val="none" w:sz="0" w:space="0" w:color="auto"/>
                              </w:divBdr>
                              <w:divsChild>
                                <w:div w:id="1233734587">
                                  <w:marLeft w:val="0"/>
                                  <w:marRight w:val="0"/>
                                  <w:marTop w:val="0"/>
                                  <w:marBottom w:val="0"/>
                                  <w:divBdr>
                                    <w:top w:val="none" w:sz="0" w:space="0" w:color="auto"/>
                                    <w:left w:val="none" w:sz="0" w:space="0" w:color="auto"/>
                                    <w:bottom w:val="none" w:sz="0" w:space="0" w:color="auto"/>
                                    <w:right w:val="none" w:sz="0" w:space="0" w:color="auto"/>
                                  </w:divBdr>
                                  <w:divsChild>
                                    <w:div w:id="1617524132">
                                      <w:marLeft w:val="0"/>
                                      <w:marRight w:val="0"/>
                                      <w:marTop w:val="0"/>
                                      <w:marBottom w:val="0"/>
                                      <w:divBdr>
                                        <w:top w:val="none" w:sz="0" w:space="0" w:color="auto"/>
                                        <w:left w:val="none" w:sz="0" w:space="0" w:color="auto"/>
                                        <w:bottom w:val="none" w:sz="0" w:space="0" w:color="auto"/>
                                        <w:right w:val="none" w:sz="0" w:space="0" w:color="auto"/>
                                      </w:divBdr>
                                      <w:divsChild>
                                        <w:div w:id="17828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855181">
      <w:bodyDiv w:val="1"/>
      <w:marLeft w:val="0"/>
      <w:marRight w:val="0"/>
      <w:marTop w:val="0"/>
      <w:marBottom w:val="0"/>
      <w:divBdr>
        <w:top w:val="none" w:sz="0" w:space="0" w:color="auto"/>
        <w:left w:val="none" w:sz="0" w:space="0" w:color="auto"/>
        <w:bottom w:val="none" w:sz="0" w:space="0" w:color="auto"/>
        <w:right w:val="none" w:sz="0" w:space="0" w:color="auto"/>
      </w:divBdr>
    </w:div>
    <w:div w:id="20394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A763-42C1-4C3B-BE5C-ECEF0FA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1533</Words>
  <Characters>8432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BASSET</dc:creator>
  <cp:lastModifiedBy>TOUATI Gabrielle</cp:lastModifiedBy>
  <cp:revision>6</cp:revision>
  <cp:lastPrinted>2018-11-21T11:50:00Z</cp:lastPrinted>
  <dcterms:created xsi:type="dcterms:W3CDTF">2019-02-04T16:52:00Z</dcterms:created>
  <dcterms:modified xsi:type="dcterms:W3CDTF">2019-02-12T17:07:00Z</dcterms:modified>
</cp:coreProperties>
</file>