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5E" w:rsidRPr="007E1C5E" w:rsidRDefault="007E1C5E" w:rsidP="007E1C5E">
      <w:pPr>
        <w:jc w:val="both"/>
        <w:rPr>
          <w:rFonts w:ascii="Times New Roman" w:hAnsi="Times New Roman" w:cs="Times New Roman"/>
        </w:rPr>
      </w:pPr>
      <w:r w:rsidRPr="007E1C5E">
        <w:rPr>
          <w:rFonts w:ascii="Times New Roman" w:hAnsi="Times New Roman" w:cs="Times New Roman"/>
        </w:rPr>
        <w:t>ARTICLE 21 – Abaissement contribution CAS Pensions</w:t>
      </w:r>
    </w:p>
    <w:p w:rsidR="007E1C5E" w:rsidRPr="007E1C5E" w:rsidRDefault="007E1C5E" w:rsidP="007E1C5E">
      <w:pPr>
        <w:jc w:val="center"/>
        <w:rPr>
          <w:rFonts w:ascii="Times New Roman" w:hAnsi="Times New Roman" w:cs="Times New Roman"/>
        </w:rPr>
      </w:pPr>
    </w:p>
    <w:p w:rsidR="007E1C5E" w:rsidRDefault="007E1C5E" w:rsidP="007E1C5E">
      <w:pPr>
        <w:jc w:val="center"/>
        <w:rPr>
          <w:rFonts w:ascii="Times New Roman" w:hAnsi="Times New Roman" w:cs="Times New Roman"/>
          <w:b/>
          <w:u w:val="single"/>
        </w:rPr>
      </w:pPr>
      <w:r w:rsidRPr="007E1C5E">
        <w:rPr>
          <w:rFonts w:ascii="Times New Roman" w:hAnsi="Times New Roman" w:cs="Times New Roman"/>
          <w:b/>
          <w:u w:val="single"/>
        </w:rPr>
        <w:t>TABLEAU DE SUIVI DES MODIFICATIONS</w:t>
      </w:r>
    </w:p>
    <w:p w:rsidR="007E1C5E" w:rsidRPr="007E1C5E" w:rsidRDefault="007E1C5E" w:rsidP="007E1C5E">
      <w:pPr>
        <w:jc w:val="center"/>
        <w:rPr>
          <w:rFonts w:ascii="Times New Roman" w:hAnsi="Times New Roman" w:cs="Times New Roman"/>
          <w:b/>
          <w:u w:val="single"/>
        </w:rPr>
      </w:pPr>
    </w:p>
    <w:tbl>
      <w:tblPr>
        <w:tblStyle w:val="Grilledutableau"/>
        <w:tblW w:w="0" w:type="auto"/>
        <w:tblLook w:val="04A0" w:firstRow="1" w:lastRow="0" w:firstColumn="1" w:lastColumn="0" w:noHBand="0" w:noVBand="1"/>
      </w:tblPr>
      <w:tblGrid>
        <w:gridCol w:w="4664"/>
        <w:gridCol w:w="4665"/>
        <w:gridCol w:w="4665"/>
      </w:tblGrid>
      <w:tr w:rsidR="007E1C5E" w:rsidRPr="007E1C5E" w:rsidTr="003D5EA8">
        <w:tc>
          <w:tcPr>
            <w:tcW w:w="4664" w:type="dxa"/>
            <w:shd w:val="clear" w:color="auto" w:fill="D0CECE" w:themeFill="background2" w:themeFillShade="E6"/>
          </w:tcPr>
          <w:p w:rsidR="007E1C5E" w:rsidRDefault="007E1C5E" w:rsidP="00046ADA">
            <w:pPr>
              <w:ind w:firstLine="708"/>
              <w:jc w:val="both"/>
              <w:rPr>
                <w:rFonts w:ascii="Times New Roman" w:hAnsi="Times New Roman" w:cs="Times New Roman"/>
              </w:rPr>
            </w:pPr>
          </w:p>
          <w:p w:rsidR="007E1C5E" w:rsidRDefault="007E1C5E" w:rsidP="00046ADA">
            <w:pPr>
              <w:ind w:firstLine="708"/>
              <w:jc w:val="both"/>
              <w:rPr>
                <w:rFonts w:ascii="Times New Roman" w:hAnsi="Times New Roman" w:cs="Times New Roman"/>
              </w:rPr>
            </w:pPr>
            <w:r w:rsidRPr="007E1C5E">
              <w:rPr>
                <w:rFonts w:ascii="Times New Roman" w:hAnsi="Times New Roman" w:cs="Times New Roman"/>
              </w:rPr>
              <w:t>DISPOSITIONS ACTUELLES</w:t>
            </w:r>
          </w:p>
          <w:p w:rsidR="007E1C5E" w:rsidRPr="007E1C5E" w:rsidRDefault="007E1C5E" w:rsidP="00046ADA">
            <w:pPr>
              <w:ind w:firstLine="708"/>
              <w:jc w:val="both"/>
              <w:rPr>
                <w:rFonts w:ascii="Times New Roman" w:hAnsi="Times New Roman" w:cs="Times New Roman"/>
              </w:rPr>
            </w:pPr>
          </w:p>
        </w:tc>
        <w:tc>
          <w:tcPr>
            <w:tcW w:w="4665" w:type="dxa"/>
            <w:shd w:val="clear" w:color="auto" w:fill="D0CECE" w:themeFill="background2" w:themeFillShade="E6"/>
          </w:tcPr>
          <w:p w:rsidR="007E1C5E" w:rsidRDefault="007E1C5E" w:rsidP="007E1C5E">
            <w:pPr>
              <w:jc w:val="center"/>
              <w:rPr>
                <w:rFonts w:ascii="Times New Roman" w:hAnsi="Times New Roman" w:cs="Times New Roman"/>
              </w:rPr>
            </w:pPr>
          </w:p>
          <w:p w:rsidR="007E1C5E" w:rsidRDefault="007E1C5E" w:rsidP="007E1C5E">
            <w:pPr>
              <w:jc w:val="center"/>
              <w:rPr>
                <w:rFonts w:ascii="Times New Roman" w:hAnsi="Times New Roman" w:cs="Times New Roman"/>
              </w:rPr>
            </w:pPr>
            <w:r w:rsidRPr="007E1C5E">
              <w:rPr>
                <w:rFonts w:ascii="Times New Roman" w:hAnsi="Times New Roman" w:cs="Times New Roman"/>
              </w:rPr>
              <w:t>DISPOSITIONS DU PJL</w:t>
            </w:r>
          </w:p>
          <w:p w:rsidR="007E1C5E" w:rsidRPr="007E1C5E" w:rsidRDefault="007E1C5E" w:rsidP="00046ADA">
            <w:pPr>
              <w:jc w:val="both"/>
              <w:rPr>
                <w:rFonts w:ascii="Times New Roman" w:hAnsi="Times New Roman" w:cs="Times New Roman"/>
              </w:rPr>
            </w:pPr>
          </w:p>
        </w:tc>
        <w:tc>
          <w:tcPr>
            <w:tcW w:w="4665" w:type="dxa"/>
            <w:shd w:val="clear" w:color="auto" w:fill="D0CECE" w:themeFill="background2" w:themeFillShade="E6"/>
          </w:tcPr>
          <w:p w:rsidR="007E1C5E" w:rsidRDefault="007E1C5E" w:rsidP="007E1C5E">
            <w:pPr>
              <w:jc w:val="center"/>
              <w:rPr>
                <w:rFonts w:ascii="Times New Roman" w:hAnsi="Times New Roman" w:cs="Times New Roman"/>
              </w:rPr>
            </w:pPr>
          </w:p>
          <w:p w:rsidR="007E1C5E" w:rsidRDefault="00100325" w:rsidP="007E1C5E">
            <w:pPr>
              <w:jc w:val="center"/>
              <w:rPr>
                <w:rFonts w:ascii="Times New Roman" w:hAnsi="Times New Roman" w:cs="Times New Roman"/>
              </w:rPr>
            </w:pPr>
            <w:r>
              <w:rPr>
                <w:rFonts w:ascii="Times New Roman" w:hAnsi="Times New Roman" w:cs="Times New Roman"/>
              </w:rPr>
              <w:t>DISPOSITIONS CONSOLIDEES</w:t>
            </w:r>
          </w:p>
          <w:p w:rsidR="007E1C5E" w:rsidRPr="007E1C5E" w:rsidRDefault="007E1C5E" w:rsidP="00046ADA">
            <w:pPr>
              <w:jc w:val="both"/>
              <w:rPr>
                <w:rFonts w:ascii="Times New Roman" w:hAnsi="Times New Roman" w:cs="Times New Roman"/>
              </w:rPr>
            </w:pPr>
          </w:p>
        </w:tc>
      </w:tr>
      <w:tr w:rsidR="007E1C5E" w:rsidRPr="007E1C5E" w:rsidTr="003D5EA8">
        <w:trPr>
          <w:trHeight w:val="425"/>
        </w:trPr>
        <w:tc>
          <w:tcPr>
            <w:tcW w:w="13994" w:type="dxa"/>
            <w:gridSpan w:val="3"/>
            <w:tcBorders>
              <w:bottom w:val="nil"/>
            </w:tcBorders>
            <w:shd w:val="clear" w:color="auto" w:fill="ED7D31" w:themeFill="accent2"/>
          </w:tcPr>
          <w:p w:rsidR="007E1C5E" w:rsidRPr="007E1C5E" w:rsidRDefault="007E1C5E" w:rsidP="007E1C5E">
            <w:pPr>
              <w:jc w:val="center"/>
              <w:rPr>
                <w:rFonts w:ascii="Times New Roman" w:hAnsi="Times New Roman" w:cs="Times New Roman"/>
                <w:b/>
              </w:rPr>
            </w:pPr>
            <w:r w:rsidRPr="007E1C5E">
              <w:rPr>
                <w:rFonts w:ascii="Times New Roman" w:hAnsi="Times New Roman" w:cs="Times New Roman"/>
                <w:b/>
              </w:rPr>
              <w:t>Loi n°84-16 du 11 janvier 1984</w:t>
            </w:r>
          </w:p>
        </w:tc>
      </w:tr>
      <w:tr w:rsidR="007E1C5E" w:rsidRPr="007E1C5E" w:rsidTr="003D5EA8">
        <w:trPr>
          <w:trHeight w:val="425"/>
        </w:trPr>
        <w:tc>
          <w:tcPr>
            <w:tcW w:w="4664" w:type="dxa"/>
            <w:tcBorders>
              <w:bottom w:val="nil"/>
            </w:tcBorders>
          </w:tcPr>
          <w:p w:rsidR="007E1C5E" w:rsidRPr="007E1C5E" w:rsidRDefault="007E1C5E" w:rsidP="007E1C5E">
            <w:pPr>
              <w:rPr>
                <w:rFonts w:ascii="Times New Roman" w:hAnsi="Times New Roman" w:cs="Times New Roman"/>
                <w:b/>
              </w:rPr>
            </w:pPr>
          </w:p>
        </w:tc>
        <w:tc>
          <w:tcPr>
            <w:tcW w:w="4665" w:type="dxa"/>
            <w:tcBorders>
              <w:bottom w:val="nil"/>
            </w:tcBorders>
          </w:tcPr>
          <w:p w:rsidR="007E1C5E" w:rsidRPr="007E1C5E" w:rsidRDefault="007E1C5E" w:rsidP="007E1C5E">
            <w:pPr>
              <w:jc w:val="both"/>
              <w:rPr>
                <w:rFonts w:ascii="Times New Roman" w:hAnsi="Times New Roman" w:cs="Times New Roman"/>
                <w:lang w:eastAsia="fr-FR"/>
              </w:rPr>
            </w:pPr>
            <w:r w:rsidRPr="007E1C5E">
              <w:rPr>
                <w:rFonts w:ascii="Times New Roman" w:hAnsi="Times New Roman" w:cs="Times New Roman"/>
                <w:lang w:eastAsia="fr-FR"/>
              </w:rPr>
              <w:t>La loi n° 84-16 du 11 janvier 1984 précitée est ainsi modifiée :</w:t>
            </w:r>
          </w:p>
        </w:tc>
        <w:tc>
          <w:tcPr>
            <w:tcW w:w="4665" w:type="dxa"/>
            <w:tcBorders>
              <w:bottom w:val="nil"/>
            </w:tcBorders>
          </w:tcPr>
          <w:p w:rsidR="007E1C5E" w:rsidRPr="007E1C5E" w:rsidRDefault="007E1C5E" w:rsidP="00046ADA">
            <w:pPr>
              <w:jc w:val="both"/>
              <w:rPr>
                <w:rFonts w:ascii="Times New Roman" w:hAnsi="Times New Roman" w:cs="Times New Roman"/>
                <w:b/>
              </w:rPr>
            </w:pPr>
          </w:p>
        </w:tc>
      </w:tr>
      <w:tr w:rsidR="00381ACB" w:rsidRPr="007E1C5E" w:rsidTr="003D5EA8">
        <w:trPr>
          <w:trHeight w:val="425"/>
        </w:trPr>
        <w:tc>
          <w:tcPr>
            <w:tcW w:w="4664" w:type="dxa"/>
            <w:tcBorders>
              <w:bottom w:val="nil"/>
            </w:tcBorders>
          </w:tcPr>
          <w:p w:rsidR="00381ACB" w:rsidRPr="00381ACB" w:rsidRDefault="00381ACB" w:rsidP="00381ACB">
            <w:pPr>
              <w:spacing w:before="100" w:beforeAutospacing="1" w:after="100" w:afterAutospacing="1"/>
              <w:jc w:val="both"/>
              <w:rPr>
                <w:rFonts w:ascii="Times New Roman" w:eastAsia="Times New Roman" w:hAnsi="Times New Roman" w:cs="Times New Roman"/>
                <w:b/>
                <w:lang w:eastAsia="fr-FR"/>
              </w:rPr>
            </w:pPr>
            <w:r w:rsidRPr="00381ACB">
              <w:rPr>
                <w:rFonts w:ascii="Times New Roman" w:eastAsia="Times New Roman" w:hAnsi="Times New Roman" w:cs="Times New Roman"/>
                <w:b/>
                <w:lang w:eastAsia="fr-FR"/>
              </w:rPr>
              <w:t>Article 42 de la loi du 11 janvier 1984</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I.- La mise à disposition est possible auprès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1° Des administrations de l'Etat et de ses établissements publics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2° Des collectivités territoriales et de leurs établissements publics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3° Des établissements mentionnés à l'article 2 de la loi n° 86-33 du 9 janvier 1986 portant dispositions statutaires relatives à la fonction publique hospitalière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4° Des groupements d'intérêt public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5° Des organismes contribuant à la mise en œuvre d'une politique de l'Etat, des collectivités territoriales ou de leurs établissements publics </w:t>
            </w:r>
            <w:r w:rsidRPr="007E1C5E">
              <w:rPr>
                <w:rFonts w:ascii="Times New Roman" w:eastAsia="Times New Roman" w:hAnsi="Times New Roman" w:cs="Times New Roman"/>
                <w:lang w:eastAsia="fr-FR"/>
              </w:rPr>
              <w:lastRenderedPageBreak/>
              <w:t>administratifs, pour l'exercice des seules missions de service public confiées à ces organismes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6° Des organisations internationales intergouvernementales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7° D'une institution ou d'un organe de l'Union européenne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8° D'un Etat étranger, de l'administration d'une collectivité publique ou d'un organisme public relevant de cet Etat ou auprès d'un Etat fédéré à la condition que le fonctionnaire mis à disposition conserve, par ses missions, un lien fonctionnel avec son administration d'origine. </w:t>
            </w:r>
          </w:p>
          <w:p w:rsidR="00381ACB"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Par dérogation au deuxième alinéa de l'article 41 de la présente loi, lorsque la mise à disposition est prononcée au titre des 6°, 7° et 8° du présent I, la lettre de mission vaut convention de mise à disposition.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II.- La mise à disposition donne lieu à remboursement. Il peut être dérogé à cette règle lorsque le fonctionnaire est mis à disposition auprès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1° D'une administration ou d'un établissement public administratif de l'Etat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2° D'un groupement d'intérêt public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lastRenderedPageBreak/>
              <w:t xml:space="preserve">3° D'une organisation internationale intergouvernementale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4° D'une institution ou d'un organe de l'Union européenne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5° D'un Etat étranger, de l'administration d'une collectivité publique ou d'un organisme public relevant de cet Etat ou auprès d'un Etat fédéré.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p>
          <w:p w:rsidR="00381ACB" w:rsidRPr="007E1C5E" w:rsidRDefault="00381ACB" w:rsidP="007E1C5E">
            <w:pPr>
              <w:rPr>
                <w:rFonts w:ascii="Times New Roman" w:hAnsi="Times New Roman" w:cs="Times New Roman"/>
                <w:b/>
              </w:rPr>
            </w:pPr>
          </w:p>
        </w:tc>
        <w:tc>
          <w:tcPr>
            <w:tcW w:w="4665" w:type="dxa"/>
            <w:tcBorders>
              <w:bottom w:val="nil"/>
            </w:tcBorders>
          </w:tcPr>
          <w:p w:rsidR="00381ACB" w:rsidRPr="007E1C5E" w:rsidRDefault="00381ACB" w:rsidP="00381ACB">
            <w:pPr>
              <w:jc w:val="both"/>
              <w:rPr>
                <w:rFonts w:ascii="Times New Roman" w:hAnsi="Times New Roman" w:cs="Times New Roman"/>
                <w:lang w:eastAsia="fr-FR"/>
              </w:rPr>
            </w:pPr>
            <w:r w:rsidRPr="007E1C5E">
              <w:rPr>
                <w:rFonts w:ascii="Times New Roman" w:hAnsi="Times New Roman" w:cs="Times New Roman"/>
                <w:lang w:eastAsia="fr-FR"/>
              </w:rPr>
              <w:lastRenderedPageBreak/>
              <w:t>I. – L’article 42 est complété par un III ainsi rédigé :</w:t>
            </w:r>
          </w:p>
          <w:p w:rsidR="00381ACB" w:rsidRPr="007E1C5E" w:rsidRDefault="00381ACB" w:rsidP="00381ACB">
            <w:pPr>
              <w:jc w:val="both"/>
              <w:rPr>
                <w:rFonts w:ascii="Times New Roman" w:hAnsi="Times New Roman" w:cs="Times New Roman"/>
                <w:lang w:eastAsia="fr-FR"/>
              </w:rPr>
            </w:pPr>
          </w:p>
          <w:p w:rsidR="00381ACB" w:rsidRPr="007E1C5E" w:rsidRDefault="00381ACB" w:rsidP="00381ACB">
            <w:pPr>
              <w:jc w:val="both"/>
              <w:rPr>
                <w:rFonts w:ascii="Times New Roman" w:hAnsi="Times New Roman" w:cs="Times New Roman"/>
                <w:lang w:eastAsia="fr-FR"/>
              </w:rPr>
            </w:pPr>
            <w:r w:rsidRPr="007E1C5E">
              <w:rPr>
                <w:rFonts w:ascii="Times New Roman" w:hAnsi="Times New Roman" w:cs="Times New Roman"/>
                <w:lang w:eastAsia="fr-FR"/>
              </w:rPr>
              <w:t>« III. – Dans le cas où le fonctionnaire est mis à disposition auprès d’une collectivité ou d’un établissement mentionné à l’arti</w:t>
            </w:r>
            <w:bookmarkStart w:id="0" w:name="_GoBack"/>
            <w:bookmarkEnd w:id="0"/>
            <w:r w:rsidRPr="007E1C5E">
              <w:rPr>
                <w:rFonts w:ascii="Times New Roman" w:hAnsi="Times New Roman" w:cs="Times New Roman"/>
                <w:lang w:eastAsia="fr-FR"/>
              </w:rPr>
              <w:t xml:space="preserve">cle 2 de la loi n° 84-53 du 26 janvier 1984 portant dispositions statutaires relatives à la fonction publique territoriale ou à l’article 2 de la loi n° 86-33 du 9 janvier 1986 portant dispositions statutaires relatives à la fonction publique hospitalière, le remboursement à l’employeur d’origine par la collectivité ou l’établissement d’accueil de la contribution prévue au 1° ou au 3° de l’article L. 61 du code des pensions civiles et militaires de retraite peut être effectué sur la base d’un taux, fixé par décret, inférieur à celui servant au calcul de la contribution due par l’employeur d’origine. » </w:t>
            </w:r>
          </w:p>
          <w:p w:rsidR="00381ACB" w:rsidRPr="007E1C5E" w:rsidRDefault="00381ACB" w:rsidP="007E1C5E">
            <w:pPr>
              <w:jc w:val="both"/>
              <w:rPr>
                <w:rFonts w:ascii="Times New Roman" w:hAnsi="Times New Roman" w:cs="Times New Roman"/>
                <w:lang w:eastAsia="fr-FR"/>
              </w:rPr>
            </w:pPr>
          </w:p>
        </w:tc>
        <w:tc>
          <w:tcPr>
            <w:tcW w:w="4665" w:type="dxa"/>
            <w:tcBorders>
              <w:bottom w:val="nil"/>
            </w:tcBorders>
          </w:tcPr>
          <w:p w:rsidR="00381ACB"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hAnsi="Times New Roman" w:cs="Times New Roman"/>
                <w:b/>
              </w:rPr>
              <w:t>Article 42 de la loi n° 84-16</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I.- La mise à disposition est possible auprès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1° Des administrations de l'Etat et de ses établissements publics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2° Des collectivités territoriales et de leurs établissements publics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3° Des établissements mentionnés à l'article 2 de la loi n° 86-33 du 9 janvier 1986 portant dispositions statutaires relatives à la fonction publique hospitalière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4° Des groupements d'intérêt public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5° Des organismes contribuant à la mise en œuvre d'une politique de l'Etat, des collectivités territoriales ou de leurs établissements publics </w:t>
            </w:r>
            <w:r w:rsidRPr="007E1C5E">
              <w:rPr>
                <w:rFonts w:ascii="Times New Roman" w:eastAsia="Times New Roman" w:hAnsi="Times New Roman" w:cs="Times New Roman"/>
                <w:lang w:eastAsia="fr-FR"/>
              </w:rPr>
              <w:lastRenderedPageBreak/>
              <w:t>administratifs, pour l'exercice des seules missions de service public confiées à ces organismes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6° Des organisations internationales intergouvernementales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7° D'une institution ou d'un organe de l'Union européenne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8° D'un Etat étranger, de l'administration d'une collectivité publique ou d'un organisme public relevant de cet Etat ou auprès d'un Etat fédéré à la condition que le fonctionnaire mis à disposition conserve, par ses missions, un lien fonctionnel avec son administration d'origine.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Par dérogation au deuxième alinéa de l'article 41 de la présente loi, lorsque la mise à disposition est prononcée au titre des 6°, 7° et 8° du présent I, la lettre de mission vaut convention de mise à disposition.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II.- La mise à disposition donne lieu à remboursement. Il peut être dérogé à cette règle lorsque le fonctionnaire est mis à disposition auprès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1° D'une administration ou d'un établissement public administratif de l'Etat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2° D'un groupement d'intérêt public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lastRenderedPageBreak/>
              <w:t xml:space="preserve">3° D'une organisation internationale intergouvernementale ; </w:t>
            </w:r>
          </w:p>
          <w:p w:rsidR="00381ACB" w:rsidRPr="007E1C5E" w:rsidRDefault="00381ACB" w:rsidP="00381ACB">
            <w:pPr>
              <w:spacing w:before="100" w:beforeAutospacing="1" w:after="100" w:afterAutospacing="1"/>
              <w:jc w:val="both"/>
              <w:rPr>
                <w:rFonts w:ascii="Times New Roman" w:eastAsia="Times New Roman" w:hAnsi="Times New Roman" w:cs="Times New Roman"/>
                <w:lang w:eastAsia="fr-FR"/>
              </w:rPr>
            </w:pPr>
            <w:r w:rsidRPr="007E1C5E">
              <w:rPr>
                <w:rFonts w:ascii="Times New Roman" w:eastAsia="Times New Roman" w:hAnsi="Times New Roman" w:cs="Times New Roman"/>
                <w:lang w:eastAsia="fr-FR"/>
              </w:rPr>
              <w:t xml:space="preserve">4° D'une institution ou d'un organe de l'Union européenne ; </w:t>
            </w:r>
          </w:p>
          <w:p w:rsidR="00381ACB" w:rsidRPr="007E1C5E" w:rsidRDefault="00381ACB" w:rsidP="00381ACB">
            <w:pPr>
              <w:pStyle w:val="NormalWeb"/>
              <w:jc w:val="both"/>
              <w:rPr>
                <w:sz w:val="22"/>
                <w:szCs w:val="22"/>
              </w:rPr>
            </w:pPr>
            <w:r w:rsidRPr="007E1C5E">
              <w:rPr>
                <w:sz w:val="22"/>
                <w:szCs w:val="22"/>
              </w:rPr>
              <w:t>5° D'un Etat étranger, de l'administration d'une collectivité publique ou d'un organisme public relevant de cet Etat ou auprès d'un Etat fédéré.</w:t>
            </w:r>
          </w:p>
          <w:p w:rsidR="00381ACB" w:rsidRPr="007E1C5E" w:rsidRDefault="00381ACB" w:rsidP="00046ADA">
            <w:pPr>
              <w:jc w:val="both"/>
              <w:rPr>
                <w:rFonts w:ascii="Times New Roman" w:hAnsi="Times New Roman" w:cs="Times New Roman"/>
                <w:b/>
              </w:rPr>
            </w:pPr>
            <w:r w:rsidRPr="007E1C5E">
              <w:rPr>
                <w:rFonts w:ascii="Times New Roman" w:hAnsi="Times New Roman" w:cs="Times New Roman"/>
                <w:b/>
              </w:rPr>
              <w:t>III. - Dans le cas où le fonctionnaire est mis à disposition auprès d’une collectivité ou d’un établissement mentionné à l’article 2 de la loi n° 84-53 du 26 janvier 1984 portant dispositions statutaires relatives à la fonction publique territoriale ou à l’article 2 de la loi n° 86-33 du 9 janvier 1986 portant dispositions statutaires relatives à la fonction publique hospitalière, le remboursement à l’employeur d’origine par la collectivité ou l’établissement d’accueil de la contribution prévue au 1° ou au 3° de l’article L. 61 du code des pensions civiles et militaires de retraite peut être effectué sur la base d’un taux, fixé par décret, inférieur à celui servant au calcul de la contribution due</w:t>
            </w:r>
            <w:r>
              <w:rPr>
                <w:rFonts w:ascii="Times New Roman" w:hAnsi="Times New Roman" w:cs="Times New Roman"/>
                <w:b/>
              </w:rPr>
              <w:t xml:space="preserve"> par l’employeur d’orig</w:t>
            </w:r>
            <w:r w:rsidRPr="007E1C5E">
              <w:rPr>
                <w:rFonts w:ascii="Times New Roman" w:hAnsi="Times New Roman" w:cs="Times New Roman"/>
                <w:b/>
              </w:rPr>
              <w:t>ine.</w:t>
            </w:r>
          </w:p>
        </w:tc>
      </w:tr>
      <w:tr w:rsidR="007E1C5E" w:rsidRPr="007E1C5E" w:rsidTr="00381ACB">
        <w:trPr>
          <w:trHeight w:val="1682"/>
        </w:trPr>
        <w:tc>
          <w:tcPr>
            <w:tcW w:w="4664" w:type="dxa"/>
            <w:tcBorders>
              <w:bottom w:val="nil"/>
            </w:tcBorders>
          </w:tcPr>
          <w:p w:rsidR="00924067" w:rsidRPr="007E1C5E" w:rsidRDefault="00924067" w:rsidP="00924067">
            <w:pPr>
              <w:rPr>
                <w:rFonts w:ascii="Times New Roman" w:hAnsi="Times New Roman" w:cs="Times New Roman"/>
                <w:b/>
              </w:rPr>
            </w:pPr>
            <w:r w:rsidRPr="007E1C5E">
              <w:rPr>
                <w:rFonts w:ascii="Times New Roman" w:hAnsi="Times New Roman" w:cs="Times New Roman"/>
                <w:b/>
              </w:rPr>
              <w:lastRenderedPageBreak/>
              <w:t>Article 46 de la loi n° 84-16</w:t>
            </w:r>
          </w:p>
          <w:p w:rsidR="00924067" w:rsidRPr="007E1C5E" w:rsidRDefault="00924067" w:rsidP="00924067">
            <w:pPr>
              <w:pStyle w:val="NormalWeb"/>
              <w:jc w:val="both"/>
              <w:rPr>
                <w:sz w:val="22"/>
                <w:szCs w:val="22"/>
              </w:rPr>
            </w:pPr>
            <w:r w:rsidRPr="007E1C5E">
              <w:rPr>
                <w:sz w:val="22"/>
                <w:szCs w:val="22"/>
              </w:rPr>
              <w:t xml:space="preserve">Le fonctionnaire détaché ne peut, sauf dans le cas où le détachement a été prononcé dans une administration ou un organisme implanté sur le territoire d'un Etat étranger ou auprès d'organismes internationaux ou pour exercer une fonction publique élective, être affilié au régime de retraite dont relève la fonction de détachement, ni acquérir, </w:t>
            </w:r>
            <w:r w:rsidRPr="007E1C5E">
              <w:rPr>
                <w:sz w:val="22"/>
                <w:szCs w:val="22"/>
              </w:rPr>
              <w:lastRenderedPageBreak/>
              <w:t>à ce titre, des droits quelconques à pensions ou allocations, sous peine de la suspension de la pension de l'Etat.</w:t>
            </w:r>
          </w:p>
          <w:p w:rsidR="00924067" w:rsidRPr="007E1C5E" w:rsidRDefault="00924067" w:rsidP="00924067">
            <w:pPr>
              <w:pStyle w:val="NormalWeb"/>
              <w:jc w:val="both"/>
              <w:rPr>
                <w:sz w:val="22"/>
                <w:szCs w:val="22"/>
              </w:rPr>
            </w:pPr>
            <w:r w:rsidRPr="007E1C5E">
              <w:rPr>
                <w:sz w:val="22"/>
                <w:szCs w:val="22"/>
              </w:rPr>
              <w:t>Sous réserve des dérogations fixées par décret en Conseil d'Etat, la collectivité ou l'organisme auprès duquel un fonctionnaire est détaché est redevable, envers le Trésor, d'une contribution pour la constitution des droits à pension de l'intéressé. Le taux de cette contribution est fixé par décret en Conseil d'Etat.</w:t>
            </w:r>
          </w:p>
          <w:p w:rsidR="00924067" w:rsidRPr="007E1C5E" w:rsidRDefault="00924067" w:rsidP="00924067">
            <w:pPr>
              <w:pStyle w:val="NormalWeb"/>
              <w:jc w:val="both"/>
              <w:rPr>
                <w:sz w:val="22"/>
                <w:szCs w:val="22"/>
              </w:rPr>
            </w:pPr>
            <w:r w:rsidRPr="007E1C5E">
              <w:rPr>
                <w:sz w:val="22"/>
                <w:szCs w:val="22"/>
              </w:rPr>
              <w:t>Dans le cas de fonctionnaires détachés auprès de députés ou de sénateurs, la contribution est versée par le député ou le sénateur intéressé. Si ces fonctionnaires sont remis à la disposition de leur administration d'origine pour une cause autre qu'une faute commise dans l'exercice de leurs fonctions, ils sont réintégrés de plein droit dans leur corps d'origine, au besoin en surnombre.</w:t>
            </w:r>
          </w:p>
          <w:p w:rsidR="007E1C5E" w:rsidRPr="007E1C5E" w:rsidRDefault="007E1C5E" w:rsidP="007E1C5E">
            <w:pPr>
              <w:rPr>
                <w:rFonts w:ascii="Times New Roman" w:hAnsi="Times New Roman" w:cs="Times New Roman"/>
                <w:b/>
              </w:rPr>
            </w:pPr>
          </w:p>
        </w:tc>
        <w:tc>
          <w:tcPr>
            <w:tcW w:w="4665" w:type="dxa"/>
            <w:tcBorders>
              <w:bottom w:val="nil"/>
            </w:tcBorders>
          </w:tcPr>
          <w:p w:rsidR="00924067" w:rsidRPr="007E1C5E" w:rsidRDefault="00924067" w:rsidP="00924067">
            <w:pPr>
              <w:jc w:val="both"/>
              <w:rPr>
                <w:rFonts w:ascii="Times New Roman" w:hAnsi="Times New Roman" w:cs="Times New Roman"/>
                <w:lang w:eastAsia="fr-FR"/>
              </w:rPr>
            </w:pPr>
            <w:r w:rsidRPr="007E1C5E">
              <w:rPr>
                <w:rFonts w:ascii="Times New Roman" w:hAnsi="Times New Roman" w:cs="Times New Roman"/>
                <w:lang w:eastAsia="fr-FR"/>
              </w:rPr>
              <w:lastRenderedPageBreak/>
              <w:t>II. –</w:t>
            </w:r>
            <w:r>
              <w:rPr>
                <w:rFonts w:ascii="Times New Roman" w:hAnsi="Times New Roman" w:cs="Times New Roman"/>
                <w:lang w:eastAsia="fr-FR"/>
              </w:rPr>
              <w:t xml:space="preserve"> L’a</w:t>
            </w:r>
            <w:r w:rsidRPr="007E1C5E">
              <w:rPr>
                <w:rFonts w:ascii="Times New Roman" w:hAnsi="Times New Roman" w:cs="Times New Roman"/>
                <w:lang w:eastAsia="fr-FR"/>
              </w:rPr>
              <w:t>rticle 46 est ainsi modifié :</w:t>
            </w:r>
          </w:p>
          <w:p w:rsidR="00924067" w:rsidRPr="007E1C5E" w:rsidRDefault="00924067" w:rsidP="00924067">
            <w:pPr>
              <w:jc w:val="both"/>
              <w:rPr>
                <w:rFonts w:ascii="Times New Roman" w:hAnsi="Times New Roman" w:cs="Times New Roman"/>
                <w:lang w:eastAsia="fr-FR"/>
              </w:rPr>
            </w:pPr>
          </w:p>
          <w:p w:rsidR="00924067" w:rsidRPr="007E1C5E" w:rsidRDefault="00924067" w:rsidP="00924067">
            <w:pPr>
              <w:jc w:val="both"/>
              <w:rPr>
                <w:rFonts w:ascii="Times New Roman" w:hAnsi="Times New Roman" w:cs="Times New Roman"/>
                <w:lang w:eastAsia="fr-FR"/>
              </w:rPr>
            </w:pPr>
            <w:r w:rsidRPr="007E1C5E">
              <w:rPr>
                <w:rFonts w:ascii="Times New Roman" w:hAnsi="Times New Roman" w:cs="Times New Roman"/>
                <w:lang w:eastAsia="fr-FR"/>
              </w:rPr>
              <w:t>1° A la deuxième phrase du deuxième alinéa, les mots : « en Conseil d'Etat » sont supprimés ;</w:t>
            </w:r>
          </w:p>
          <w:p w:rsidR="00924067" w:rsidRPr="007E1C5E" w:rsidRDefault="00924067" w:rsidP="00924067">
            <w:pPr>
              <w:jc w:val="both"/>
              <w:rPr>
                <w:rFonts w:ascii="Times New Roman" w:hAnsi="Times New Roman" w:cs="Times New Roman"/>
                <w:lang w:eastAsia="fr-FR"/>
              </w:rPr>
            </w:pPr>
          </w:p>
          <w:p w:rsidR="00924067" w:rsidRPr="007E1C5E" w:rsidRDefault="00924067" w:rsidP="00924067">
            <w:pPr>
              <w:jc w:val="both"/>
              <w:rPr>
                <w:rFonts w:ascii="Times New Roman" w:hAnsi="Times New Roman" w:cs="Times New Roman"/>
                <w:lang w:eastAsia="fr-FR"/>
              </w:rPr>
            </w:pPr>
            <w:r w:rsidRPr="007E1C5E">
              <w:rPr>
                <w:rFonts w:ascii="Times New Roman" w:hAnsi="Times New Roman" w:cs="Times New Roman"/>
                <w:lang w:eastAsia="fr-FR"/>
              </w:rPr>
              <w:t>2° Après le deuxième alinéa, il est inséré un alinéa ainsi rédigé :</w:t>
            </w:r>
          </w:p>
          <w:p w:rsidR="00924067" w:rsidRPr="007E1C5E" w:rsidRDefault="00924067" w:rsidP="00924067">
            <w:pPr>
              <w:jc w:val="both"/>
              <w:rPr>
                <w:rFonts w:ascii="Times New Roman" w:hAnsi="Times New Roman" w:cs="Times New Roman"/>
                <w:lang w:eastAsia="fr-FR"/>
              </w:rPr>
            </w:pPr>
          </w:p>
          <w:p w:rsidR="00924067" w:rsidRPr="007E1C5E" w:rsidRDefault="00924067" w:rsidP="00924067">
            <w:pPr>
              <w:jc w:val="both"/>
              <w:rPr>
                <w:rFonts w:ascii="Times New Roman" w:hAnsi="Times New Roman" w:cs="Times New Roman"/>
                <w:lang w:eastAsia="fr-FR"/>
              </w:rPr>
            </w:pPr>
            <w:r w:rsidRPr="007E1C5E">
              <w:rPr>
                <w:rFonts w:ascii="Times New Roman" w:hAnsi="Times New Roman" w:cs="Times New Roman"/>
                <w:lang w:eastAsia="fr-FR"/>
              </w:rPr>
              <w:lastRenderedPageBreak/>
              <w:t>« Dans le cas où le fonctionnaire est détaché auprès d’une collectivité ou d’un établissement mentionné à l’article 2 de la loi n° 84-53 du 26 janvier 1984 portant dispositions statutaires relatives à la fonction publique territoriale ou à l’article 2 de la loi n° 86-33 du 9 janvier 1986 portant dispositions statutaires relatives à la fonction publique hospitalière, le taux de la contribution prévue à l’alinéa précédent peut être abaissé par décret. »</w:t>
            </w:r>
          </w:p>
          <w:p w:rsidR="007E1C5E" w:rsidRPr="007E1C5E" w:rsidRDefault="007E1C5E" w:rsidP="00046ADA">
            <w:pPr>
              <w:pStyle w:val="NormalWeb"/>
              <w:jc w:val="both"/>
              <w:rPr>
                <w:sz w:val="22"/>
                <w:szCs w:val="22"/>
              </w:rPr>
            </w:pPr>
          </w:p>
        </w:tc>
        <w:tc>
          <w:tcPr>
            <w:tcW w:w="4665" w:type="dxa"/>
            <w:tcBorders>
              <w:bottom w:val="nil"/>
            </w:tcBorders>
          </w:tcPr>
          <w:p w:rsidR="00924067" w:rsidRPr="007E1C5E" w:rsidRDefault="00924067" w:rsidP="00924067">
            <w:pPr>
              <w:rPr>
                <w:rFonts w:ascii="Times New Roman" w:hAnsi="Times New Roman" w:cs="Times New Roman"/>
                <w:b/>
              </w:rPr>
            </w:pPr>
            <w:r w:rsidRPr="007E1C5E">
              <w:rPr>
                <w:rFonts w:ascii="Times New Roman" w:hAnsi="Times New Roman" w:cs="Times New Roman"/>
                <w:b/>
              </w:rPr>
              <w:lastRenderedPageBreak/>
              <w:t>Article 46 de la loi n° 84-16</w:t>
            </w:r>
          </w:p>
          <w:p w:rsidR="00924067" w:rsidRPr="007E1C5E" w:rsidRDefault="00924067" w:rsidP="00924067">
            <w:pPr>
              <w:pStyle w:val="NormalWeb"/>
              <w:jc w:val="both"/>
              <w:rPr>
                <w:sz w:val="22"/>
                <w:szCs w:val="22"/>
              </w:rPr>
            </w:pPr>
            <w:r w:rsidRPr="007E1C5E">
              <w:rPr>
                <w:sz w:val="22"/>
                <w:szCs w:val="22"/>
              </w:rPr>
              <w:t xml:space="preserve">Le fonctionnaire détaché ne peut, sauf dans le cas où le détachement a été prononcé dans une administration ou un organisme implanté sur le territoire d'un Etat étranger ou auprès d'organismes internationaux ou pour exercer une fonction publique élective, être affilié au régime de retraite dont relève la fonction de détachement, ni acquérir, </w:t>
            </w:r>
            <w:r w:rsidRPr="007E1C5E">
              <w:rPr>
                <w:sz w:val="22"/>
                <w:szCs w:val="22"/>
              </w:rPr>
              <w:lastRenderedPageBreak/>
              <w:t>à ce titre, des droits quelconques à pensions ou allocations, sous peine de la suspension de la pension de l'Etat.</w:t>
            </w:r>
          </w:p>
          <w:p w:rsidR="00924067" w:rsidRPr="007E1C5E" w:rsidRDefault="00924067" w:rsidP="00924067">
            <w:pPr>
              <w:pStyle w:val="NormalWeb"/>
              <w:jc w:val="both"/>
              <w:rPr>
                <w:sz w:val="22"/>
                <w:szCs w:val="22"/>
              </w:rPr>
            </w:pPr>
            <w:r w:rsidRPr="007E1C5E">
              <w:rPr>
                <w:sz w:val="22"/>
                <w:szCs w:val="22"/>
              </w:rPr>
              <w:t>Sous réserve des dérogations fixées par décret en Conseil d'Etat, la collectivité ou l'organisme auprès duquel un fonctionnaire est détaché est redevable, envers le Trésor, d'une contribution pour la constitution des droits à pension de l'intéressé. Le taux de cette contribution est fixé par décret</w:t>
            </w:r>
            <w:r w:rsidRPr="007E1C5E">
              <w:rPr>
                <w:b/>
                <w:strike/>
                <w:sz w:val="22"/>
                <w:szCs w:val="22"/>
              </w:rPr>
              <w:t xml:space="preserve"> </w:t>
            </w:r>
            <w:r w:rsidRPr="007E1C5E">
              <w:rPr>
                <w:strike/>
                <w:sz w:val="22"/>
                <w:szCs w:val="22"/>
              </w:rPr>
              <w:t>en Conseil d'Etat</w:t>
            </w:r>
            <w:r w:rsidRPr="007E1C5E">
              <w:rPr>
                <w:sz w:val="22"/>
                <w:szCs w:val="22"/>
              </w:rPr>
              <w:t>.</w:t>
            </w:r>
          </w:p>
          <w:p w:rsidR="00924067" w:rsidRPr="007E1C5E" w:rsidRDefault="00924067" w:rsidP="00924067">
            <w:pPr>
              <w:pStyle w:val="NormalWeb"/>
              <w:jc w:val="both"/>
              <w:rPr>
                <w:b/>
                <w:sz w:val="22"/>
                <w:szCs w:val="22"/>
              </w:rPr>
            </w:pPr>
            <w:r w:rsidRPr="007E1C5E">
              <w:rPr>
                <w:b/>
                <w:sz w:val="22"/>
                <w:szCs w:val="22"/>
              </w:rPr>
              <w:t>Dans le cas où le fonctionnaire est détaché auprès d’une collectivité ou d’un établissement mentionné à l’article 2 de la loi n° 84-53 du 26 janvier 1984 portant dispositions statutaires relatives à la fonction publique territoriale ou à l’article 2 de la loi n° 86-33 du 9 janvier 1986 portant dispositions statutaires relatives à la fonction publique hospitalière, le taux de la contribution prévue à l’alinéa précédent peut être abaissé par décret.</w:t>
            </w:r>
          </w:p>
          <w:p w:rsidR="007E1C5E" w:rsidRPr="007E1C5E" w:rsidRDefault="00924067" w:rsidP="00924067">
            <w:pPr>
              <w:jc w:val="both"/>
              <w:rPr>
                <w:rFonts w:ascii="Times New Roman" w:hAnsi="Times New Roman" w:cs="Times New Roman"/>
              </w:rPr>
            </w:pPr>
            <w:r w:rsidRPr="007E1C5E">
              <w:rPr>
                <w:rFonts w:ascii="Times New Roman" w:hAnsi="Times New Roman" w:cs="Times New Roman"/>
              </w:rPr>
              <w:t>Dans le cas de fonctionnaires détachés auprès de députés ou de sénateurs, la contribution est versée par le député ou le sénateur intéressé. Si ces fonctionnaires sont remis à la disposition de leur administration d'origine pour une cause autre qu'une faute commise dans l'exercice de leurs fonctions, ils sont réintégrés de plein droit dans leur corps d'origine, au besoin en surnombre.</w:t>
            </w:r>
          </w:p>
        </w:tc>
      </w:tr>
      <w:tr w:rsidR="007E1C5E" w:rsidRPr="007E1C5E" w:rsidTr="00924067">
        <w:trPr>
          <w:trHeight w:val="80"/>
        </w:trPr>
        <w:tc>
          <w:tcPr>
            <w:tcW w:w="4664" w:type="dxa"/>
            <w:tcBorders>
              <w:top w:val="nil"/>
              <w:bottom w:val="nil"/>
            </w:tcBorders>
          </w:tcPr>
          <w:p w:rsidR="00381ACB" w:rsidRPr="007E1C5E" w:rsidRDefault="00381ACB" w:rsidP="007E1C5E">
            <w:pPr>
              <w:rPr>
                <w:rFonts w:ascii="Times New Roman" w:hAnsi="Times New Roman" w:cs="Times New Roman"/>
              </w:rPr>
            </w:pPr>
          </w:p>
        </w:tc>
        <w:tc>
          <w:tcPr>
            <w:tcW w:w="4665" w:type="dxa"/>
            <w:tcBorders>
              <w:top w:val="nil"/>
              <w:bottom w:val="nil"/>
            </w:tcBorders>
          </w:tcPr>
          <w:p w:rsidR="007E1C5E" w:rsidRPr="007E1C5E" w:rsidRDefault="007E1C5E" w:rsidP="00381ACB">
            <w:pPr>
              <w:jc w:val="both"/>
              <w:rPr>
                <w:rFonts w:ascii="Times New Roman" w:hAnsi="Times New Roman" w:cs="Times New Roman"/>
                <w:b/>
              </w:rPr>
            </w:pPr>
          </w:p>
        </w:tc>
        <w:tc>
          <w:tcPr>
            <w:tcW w:w="4665" w:type="dxa"/>
            <w:tcBorders>
              <w:top w:val="nil"/>
              <w:bottom w:val="nil"/>
            </w:tcBorders>
          </w:tcPr>
          <w:p w:rsidR="007E1C5E" w:rsidRPr="007E1C5E" w:rsidRDefault="007E1C5E" w:rsidP="00046ADA">
            <w:pPr>
              <w:jc w:val="both"/>
              <w:rPr>
                <w:rFonts w:ascii="Times New Roman" w:hAnsi="Times New Roman" w:cs="Times New Roman"/>
              </w:rPr>
            </w:pPr>
          </w:p>
        </w:tc>
      </w:tr>
      <w:tr w:rsidR="003D5EA8" w:rsidRPr="007E1C5E" w:rsidTr="00924067">
        <w:trPr>
          <w:trHeight w:val="80"/>
        </w:trPr>
        <w:tc>
          <w:tcPr>
            <w:tcW w:w="4664" w:type="dxa"/>
            <w:tcBorders>
              <w:top w:val="nil"/>
              <w:bottom w:val="single" w:sz="4" w:space="0" w:color="auto"/>
            </w:tcBorders>
          </w:tcPr>
          <w:p w:rsidR="003D5EA8" w:rsidRPr="007E1C5E" w:rsidRDefault="003D5EA8" w:rsidP="00924067">
            <w:pPr>
              <w:pStyle w:val="NormalWeb"/>
              <w:jc w:val="both"/>
            </w:pPr>
          </w:p>
        </w:tc>
        <w:tc>
          <w:tcPr>
            <w:tcW w:w="4665" w:type="dxa"/>
            <w:tcBorders>
              <w:top w:val="nil"/>
            </w:tcBorders>
          </w:tcPr>
          <w:p w:rsidR="003D5EA8" w:rsidRPr="007E1C5E" w:rsidRDefault="003D5EA8" w:rsidP="00924067">
            <w:pPr>
              <w:jc w:val="both"/>
              <w:rPr>
                <w:rFonts w:ascii="Times New Roman" w:hAnsi="Times New Roman" w:cs="Times New Roman"/>
                <w:lang w:eastAsia="fr-FR"/>
              </w:rPr>
            </w:pPr>
          </w:p>
        </w:tc>
        <w:tc>
          <w:tcPr>
            <w:tcW w:w="4665" w:type="dxa"/>
            <w:tcBorders>
              <w:top w:val="nil"/>
              <w:bottom w:val="nil"/>
            </w:tcBorders>
          </w:tcPr>
          <w:p w:rsidR="003D5EA8" w:rsidRPr="003D5EA8" w:rsidRDefault="003D5EA8" w:rsidP="003D5EA8">
            <w:pPr>
              <w:spacing w:before="100" w:beforeAutospacing="1" w:after="100" w:afterAutospacing="1"/>
              <w:jc w:val="both"/>
              <w:rPr>
                <w:rFonts w:ascii="Times New Roman" w:hAnsi="Times New Roman" w:cs="Times New Roman"/>
              </w:rPr>
            </w:pPr>
          </w:p>
        </w:tc>
      </w:tr>
    </w:tbl>
    <w:p w:rsidR="00924067" w:rsidRDefault="00924067"/>
    <w:sectPr w:rsidR="00924067" w:rsidSect="007A2B61">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0325">
      <w:pPr>
        <w:spacing w:after="0" w:line="240" w:lineRule="auto"/>
      </w:pPr>
      <w:r>
        <w:separator/>
      </w:r>
    </w:p>
  </w:endnote>
  <w:endnote w:type="continuationSeparator" w:id="0">
    <w:p w:rsidR="00000000" w:rsidRDefault="0010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B4" w:rsidRPr="008C2FB4" w:rsidRDefault="004972EC" w:rsidP="008C2FB4">
    <w:pPr>
      <w:pStyle w:val="Pieddepage"/>
      <w:jc w:val="right"/>
      <w:rPr>
        <w:rFonts w:ascii="Arial Narrow" w:hAnsi="Arial Narrow"/>
        <w:b/>
        <w:color w:val="808080" w:themeColor="background1" w:themeShade="80"/>
        <w:sz w:val="18"/>
      </w:rPr>
    </w:pPr>
    <w:r w:rsidRPr="008C2FB4">
      <w:rPr>
        <w:rFonts w:ascii="Arial Narrow" w:hAnsi="Arial Narrow"/>
        <w:b/>
        <w:color w:val="808080" w:themeColor="background1" w:themeShade="80"/>
        <w:sz w:val="18"/>
      </w:rPr>
      <w:t xml:space="preserve">Page </w:t>
    </w:r>
    <w:r w:rsidRPr="008C2FB4">
      <w:rPr>
        <w:rFonts w:ascii="Arial Narrow" w:hAnsi="Arial Narrow"/>
        <w:b/>
        <w:color w:val="808080" w:themeColor="background1" w:themeShade="80"/>
        <w:sz w:val="18"/>
      </w:rPr>
      <w:fldChar w:fldCharType="begin"/>
    </w:r>
    <w:r w:rsidRPr="008C2FB4">
      <w:rPr>
        <w:rFonts w:ascii="Arial Narrow" w:hAnsi="Arial Narrow"/>
        <w:b/>
        <w:color w:val="808080" w:themeColor="background1" w:themeShade="80"/>
        <w:sz w:val="18"/>
      </w:rPr>
      <w:instrText>PAGE  \* Arabic  \* MERGEFORMAT</w:instrText>
    </w:r>
    <w:r w:rsidRPr="008C2FB4">
      <w:rPr>
        <w:rFonts w:ascii="Arial Narrow" w:hAnsi="Arial Narrow"/>
        <w:b/>
        <w:color w:val="808080" w:themeColor="background1" w:themeShade="80"/>
        <w:sz w:val="18"/>
      </w:rPr>
      <w:fldChar w:fldCharType="separate"/>
    </w:r>
    <w:r w:rsidR="00100325">
      <w:rPr>
        <w:rFonts w:ascii="Arial Narrow" w:hAnsi="Arial Narrow"/>
        <w:b/>
        <w:noProof/>
        <w:color w:val="808080" w:themeColor="background1" w:themeShade="80"/>
        <w:sz w:val="18"/>
      </w:rPr>
      <w:t>4</w:t>
    </w:r>
    <w:r w:rsidRPr="008C2FB4">
      <w:rPr>
        <w:rFonts w:ascii="Arial Narrow" w:hAnsi="Arial Narrow"/>
        <w:b/>
        <w:color w:val="808080" w:themeColor="background1" w:themeShade="80"/>
        <w:sz w:val="18"/>
      </w:rPr>
      <w:fldChar w:fldCharType="end"/>
    </w:r>
    <w:r w:rsidRPr="008C2FB4">
      <w:rPr>
        <w:rFonts w:ascii="Arial Narrow" w:hAnsi="Arial Narrow"/>
        <w:b/>
        <w:color w:val="808080" w:themeColor="background1" w:themeShade="80"/>
        <w:sz w:val="18"/>
      </w:rPr>
      <w:t xml:space="preserve"> sur </w:t>
    </w:r>
    <w:r w:rsidRPr="008C2FB4">
      <w:rPr>
        <w:rFonts w:ascii="Arial Narrow" w:hAnsi="Arial Narrow"/>
        <w:b/>
        <w:color w:val="808080" w:themeColor="background1" w:themeShade="80"/>
        <w:sz w:val="18"/>
      </w:rPr>
      <w:fldChar w:fldCharType="begin"/>
    </w:r>
    <w:r w:rsidRPr="008C2FB4">
      <w:rPr>
        <w:rFonts w:ascii="Arial Narrow" w:hAnsi="Arial Narrow"/>
        <w:b/>
        <w:color w:val="808080" w:themeColor="background1" w:themeShade="80"/>
        <w:sz w:val="18"/>
      </w:rPr>
      <w:instrText>NUMPAGES  \* Arabic  \* MERGEFORMAT</w:instrText>
    </w:r>
    <w:r w:rsidRPr="008C2FB4">
      <w:rPr>
        <w:rFonts w:ascii="Arial Narrow" w:hAnsi="Arial Narrow"/>
        <w:b/>
        <w:color w:val="808080" w:themeColor="background1" w:themeShade="80"/>
        <w:sz w:val="18"/>
      </w:rPr>
      <w:fldChar w:fldCharType="separate"/>
    </w:r>
    <w:r w:rsidR="00100325">
      <w:rPr>
        <w:rFonts w:ascii="Arial Narrow" w:hAnsi="Arial Narrow"/>
        <w:b/>
        <w:noProof/>
        <w:color w:val="808080" w:themeColor="background1" w:themeShade="80"/>
        <w:sz w:val="18"/>
      </w:rPr>
      <w:t>4</w:t>
    </w:r>
    <w:r w:rsidRPr="008C2FB4">
      <w:rPr>
        <w:rFonts w:ascii="Arial Narrow" w:hAnsi="Arial Narrow"/>
        <w:b/>
        <w:color w:val="808080" w:themeColor="background1" w:themeShade="8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0325">
      <w:pPr>
        <w:spacing w:after="0" w:line="240" w:lineRule="auto"/>
      </w:pPr>
      <w:r>
        <w:separator/>
      </w:r>
    </w:p>
  </w:footnote>
  <w:footnote w:type="continuationSeparator" w:id="0">
    <w:p w:rsidR="00000000" w:rsidRDefault="00100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5E"/>
    <w:rsid w:val="00100325"/>
    <w:rsid w:val="00381ACB"/>
    <w:rsid w:val="003D5EA8"/>
    <w:rsid w:val="004972EC"/>
    <w:rsid w:val="0055651C"/>
    <w:rsid w:val="00742462"/>
    <w:rsid w:val="007E1C5E"/>
    <w:rsid w:val="00924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0E42-9433-4A82-9F7A-0B51589F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E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C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E1C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AAD23-E31A-4A54-A6B7-6124AF9D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1378</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5</cp:revision>
  <dcterms:created xsi:type="dcterms:W3CDTF">2019-02-04T14:17:00Z</dcterms:created>
  <dcterms:modified xsi:type="dcterms:W3CDTF">2019-02-04T14:43:00Z</dcterms:modified>
</cp:coreProperties>
</file>