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65" w:rsidRPr="001B1765" w:rsidRDefault="001B1765">
      <w:pPr>
        <w:rPr>
          <w:rFonts w:ascii="Times New Roman" w:hAnsi="Times New Roman" w:cs="Times New Roman"/>
        </w:rPr>
      </w:pPr>
      <w:r>
        <w:rPr>
          <w:rFonts w:ascii="Times New Roman" w:hAnsi="Times New Roman" w:cs="Times New Roman"/>
        </w:rPr>
        <w:t>ARTICLE 22</w:t>
      </w:r>
    </w:p>
    <w:p w:rsidR="001B1765" w:rsidRDefault="001B1765" w:rsidP="001B1765">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D50A0E" w:rsidRPr="001B1765" w:rsidRDefault="00D50A0E" w:rsidP="001B1765">
      <w:pPr>
        <w:jc w:val="center"/>
        <w:rPr>
          <w:rFonts w:ascii="Times New Roman" w:hAnsi="Times New Roman" w:cs="Times New Roman"/>
          <w:b/>
          <w:u w:val="single"/>
        </w:rPr>
      </w:pPr>
    </w:p>
    <w:tbl>
      <w:tblPr>
        <w:tblStyle w:val="Grilledutableau"/>
        <w:tblW w:w="0" w:type="auto"/>
        <w:tblLook w:val="04A0" w:firstRow="1" w:lastRow="0" w:firstColumn="1" w:lastColumn="0" w:noHBand="0" w:noVBand="1"/>
      </w:tblPr>
      <w:tblGrid>
        <w:gridCol w:w="4664"/>
        <w:gridCol w:w="4665"/>
        <w:gridCol w:w="4665"/>
      </w:tblGrid>
      <w:tr w:rsidR="001B1765" w:rsidRPr="001B1765" w:rsidTr="001B1765">
        <w:tc>
          <w:tcPr>
            <w:tcW w:w="4664" w:type="dxa"/>
            <w:shd w:val="clear" w:color="auto" w:fill="D0CECE" w:themeFill="background2" w:themeFillShade="E6"/>
          </w:tcPr>
          <w:p w:rsidR="001B1765" w:rsidRPr="001B1765" w:rsidRDefault="001B1765" w:rsidP="00D50A0E">
            <w:pPr>
              <w:spacing w:before="100" w:after="100"/>
              <w:jc w:val="center"/>
              <w:rPr>
                <w:rFonts w:ascii="Times New Roman" w:hAnsi="Times New Roman" w:cs="Times New Roman"/>
              </w:rPr>
            </w:pPr>
            <w:r>
              <w:rPr>
                <w:rFonts w:ascii="Times New Roman" w:hAnsi="Times New Roman" w:cs="Times New Roman"/>
              </w:rPr>
              <w:t>DISPOSITIONS ACTUELLES</w:t>
            </w:r>
          </w:p>
        </w:tc>
        <w:tc>
          <w:tcPr>
            <w:tcW w:w="4665" w:type="dxa"/>
            <w:shd w:val="clear" w:color="auto" w:fill="D0CECE" w:themeFill="background2" w:themeFillShade="E6"/>
          </w:tcPr>
          <w:p w:rsidR="001B1765" w:rsidRPr="001B1765" w:rsidRDefault="001B1765" w:rsidP="00D50A0E">
            <w:pPr>
              <w:spacing w:before="100" w:after="100"/>
              <w:jc w:val="center"/>
              <w:rPr>
                <w:rFonts w:ascii="Times New Roman" w:hAnsi="Times New Roman" w:cs="Times New Roman"/>
              </w:rPr>
            </w:pPr>
            <w:r>
              <w:rPr>
                <w:rFonts w:ascii="Times New Roman" w:hAnsi="Times New Roman" w:cs="Times New Roman"/>
              </w:rPr>
              <w:t>DISPOSITIONS DU PJL</w:t>
            </w:r>
          </w:p>
        </w:tc>
        <w:tc>
          <w:tcPr>
            <w:tcW w:w="4665" w:type="dxa"/>
            <w:shd w:val="clear" w:color="auto" w:fill="D0CECE" w:themeFill="background2" w:themeFillShade="E6"/>
          </w:tcPr>
          <w:p w:rsidR="001B1765" w:rsidRPr="001B1765" w:rsidRDefault="001B1765" w:rsidP="00D50A0E">
            <w:pPr>
              <w:spacing w:before="100" w:after="100"/>
              <w:jc w:val="center"/>
              <w:rPr>
                <w:rFonts w:ascii="Times New Roman" w:hAnsi="Times New Roman" w:cs="Times New Roman"/>
              </w:rPr>
            </w:pPr>
            <w:r w:rsidRPr="001B1765">
              <w:rPr>
                <w:rFonts w:ascii="Times New Roman" w:hAnsi="Times New Roman" w:cs="Times New Roman"/>
              </w:rPr>
              <w:t>DISPOSITIONS CONSOLIDEES</w:t>
            </w:r>
          </w:p>
        </w:tc>
      </w:tr>
      <w:tr w:rsidR="00D50A0E" w:rsidRPr="001B1765" w:rsidTr="00D50A0E">
        <w:tc>
          <w:tcPr>
            <w:tcW w:w="13994" w:type="dxa"/>
            <w:gridSpan w:val="3"/>
            <w:shd w:val="clear" w:color="auto" w:fill="ED7D31" w:themeFill="accent2"/>
          </w:tcPr>
          <w:p w:rsidR="00D50A0E" w:rsidRPr="00D50A0E" w:rsidRDefault="00D50A0E" w:rsidP="00D50A0E">
            <w:pPr>
              <w:spacing w:before="100" w:after="100"/>
              <w:jc w:val="center"/>
              <w:rPr>
                <w:rFonts w:ascii="Times New Roman" w:hAnsi="Times New Roman" w:cs="Times New Roman"/>
                <w:b/>
              </w:rPr>
            </w:pPr>
            <w:r w:rsidRPr="00D50A0E">
              <w:rPr>
                <w:rFonts w:ascii="Times New Roman" w:hAnsi="Times New Roman" w:cs="Times New Roman"/>
                <w:b/>
              </w:rPr>
              <w:t>Loi n°84-16 du 11 janvier 1984</w:t>
            </w:r>
          </w:p>
        </w:tc>
      </w:tr>
      <w:tr w:rsidR="001B1765" w:rsidRPr="001B1765" w:rsidTr="00B12BDF">
        <w:tc>
          <w:tcPr>
            <w:tcW w:w="4664" w:type="dxa"/>
          </w:tcPr>
          <w:p w:rsidR="001B1765" w:rsidRPr="001B1765" w:rsidRDefault="001B1765" w:rsidP="001B1765">
            <w:pPr>
              <w:spacing w:before="100" w:after="100"/>
              <w:rPr>
                <w:rFonts w:ascii="Times New Roman" w:hAnsi="Times New Roman" w:cs="Times New Roman"/>
              </w:rPr>
            </w:pPr>
            <w:bookmarkStart w:id="0" w:name="_GoBack"/>
            <w:bookmarkEnd w:id="0"/>
          </w:p>
        </w:tc>
        <w:tc>
          <w:tcPr>
            <w:tcW w:w="4665" w:type="dxa"/>
          </w:tcPr>
          <w:p w:rsidR="001B1765" w:rsidRPr="001B1765" w:rsidRDefault="001B1765" w:rsidP="001B1765">
            <w:pPr>
              <w:keepNext/>
              <w:keepLines/>
              <w:jc w:val="both"/>
              <w:outlineLvl w:val="1"/>
              <w:rPr>
                <w:rFonts w:ascii="Times New Roman" w:eastAsiaTheme="majorEastAsia" w:hAnsi="Times New Roman" w:cs="Times New Roman"/>
              </w:rPr>
            </w:pPr>
          </w:p>
          <w:p w:rsidR="001B1765" w:rsidRPr="001B1765" w:rsidRDefault="001B1765" w:rsidP="001B1765">
            <w:pPr>
              <w:keepNext/>
              <w:keepLines/>
              <w:jc w:val="both"/>
              <w:outlineLvl w:val="1"/>
              <w:rPr>
                <w:rFonts w:ascii="Times New Roman" w:eastAsiaTheme="majorEastAsia" w:hAnsi="Times New Roman" w:cs="Times New Roman"/>
                <w:color w:val="FF0000"/>
              </w:rPr>
            </w:pPr>
            <w:r w:rsidRPr="001B1765">
              <w:rPr>
                <w:rFonts w:ascii="Times New Roman" w:eastAsiaTheme="majorEastAsia" w:hAnsi="Times New Roman" w:cs="Times New Roman"/>
                <w:color w:val="FF0000"/>
              </w:rPr>
              <w:t xml:space="preserve">Après l’article 36 de la loi n° 84-16 du 11 janvier 1984 précitée, il est inséré un article 36 </w:t>
            </w:r>
            <w:r w:rsidRPr="001B1765">
              <w:rPr>
                <w:rFonts w:ascii="Times New Roman" w:eastAsiaTheme="majorEastAsia" w:hAnsi="Times New Roman" w:cs="Times New Roman"/>
                <w:i/>
                <w:color w:val="FF0000"/>
              </w:rPr>
              <w:t>bis</w:t>
            </w:r>
            <w:r w:rsidRPr="001B1765">
              <w:rPr>
                <w:rFonts w:ascii="Times New Roman" w:eastAsiaTheme="majorEastAsia" w:hAnsi="Times New Roman" w:cs="Times New Roman"/>
                <w:color w:val="FF0000"/>
              </w:rPr>
              <w:t xml:space="preserve"> ainsi rédigé : </w:t>
            </w:r>
          </w:p>
          <w:p w:rsidR="001B1765" w:rsidRPr="001B1765" w:rsidRDefault="001B1765" w:rsidP="001B1765">
            <w:pPr>
              <w:keepNext/>
              <w:keepLines/>
              <w:jc w:val="both"/>
              <w:outlineLvl w:val="1"/>
              <w:rPr>
                <w:rFonts w:ascii="Times New Roman" w:eastAsiaTheme="majorEastAsia" w:hAnsi="Times New Roman" w:cs="Times New Roman"/>
                <w:color w:val="FF0000"/>
              </w:rPr>
            </w:pPr>
          </w:p>
          <w:p w:rsidR="001B1765" w:rsidRDefault="001B1765" w:rsidP="001B1765">
            <w:pPr>
              <w:keepNext/>
              <w:keepLines/>
              <w:jc w:val="both"/>
              <w:outlineLvl w:val="1"/>
              <w:rPr>
                <w:rFonts w:ascii="Times New Roman" w:eastAsiaTheme="majorEastAsia" w:hAnsi="Times New Roman" w:cs="Times New Roman"/>
                <w:color w:val="FF0000"/>
              </w:rPr>
            </w:pPr>
            <w:r w:rsidRPr="001B1765">
              <w:rPr>
                <w:rFonts w:ascii="Times New Roman" w:eastAsiaTheme="majorEastAsia" w:hAnsi="Times New Roman" w:cs="Times New Roman"/>
                <w:color w:val="FF0000"/>
              </w:rPr>
              <w:t>« </w:t>
            </w:r>
            <w:r w:rsidRPr="001B1765">
              <w:rPr>
                <w:rFonts w:ascii="Times New Roman" w:eastAsiaTheme="majorEastAsia" w:hAnsi="Times New Roman" w:cs="Times New Roman"/>
                <w:i/>
                <w:color w:val="FF0000"/>
              </w:rPr>
              <w:t xml:space="preserve">Art. 36 </w:t>
            </w:r>
            <w:r w:rsidRPr="001B1765">
              <w:rPr>
                <w:rFonts w:ascii="Times New Roman" w:eastAsiaTheme="majorEastAsia" w:hAnsi="Times New Roman" w:cs="Times New Roman"/>
                <w:color w:val="FF0000"/>
              </w:rPr>
              <w:t xml:space="preserve">bis. </w:t>
            </w:r>
            <w:r w:rsidR="00781699" w:rsidRPr="00781699">
              <w:rPr>
                <w:rFonts w:ascii="Times New Roman" w:eastAsiaTheme="majorEastAsia" w:hAnsi="Times New Roman" w:cs="Times New Roman"/>
                <w:color w:val="FF0000"/>
              </w:rPr>
              <w:t xml:space="preserve">Lorsqu’un fonctionnaire est affecté,, pour lui permettre à un fonctionnaire de pourvoir un emploi correspondant à son grade, soit au sein d’une administration ou service mentionné à l’article 2 du présent titre mais qui ne relève pas du périmètre d’affectation défini par le statut particulier dont il relève, soit au sein d’un établissement public, il ne peut occuper cet emploi que pour une durée renouvelable fixée par décret. A l’issue de cette période, le fonctionnaire réintègre son administration d’origine au besoin en surnombre provisoire. </w:t>
            </w:r>
          </w:p>
          <w:p w:rsidR="00781699" w:rsidRPr="001B1765" w:rsidRDefault="00781699" w:rsidP="001B1765">
            <w:pPr>
              <w:keepNext/>
              <w:keepLines/>
              <w:jc w:val="both"/>
              <w:outlineLvl w:val="1"/>
              <w:rPr>
                <w:rFonts w:ascii="Times New Roman" w:eastAsiaTheme="majorEastAsia" w:hAnsi="Times New Roman" w:cs="Times New Roman"/>
                <w:color w:val="FF0000"/>
              </w:rPr>
            </w:pPr>
          </w:p>
          <w:p w:rsidR="001B1765" w:rsidRPr="001B1765" w:rsidRDefault="001B1765" w:rsidP="001B1765">
            <w:pPr>
              <w:keepNext/>
              <w:keepLines/>
              <w:jc w:val="both"/>
              <w:outlineLvl w:val="1"/>
              <w:rPr>
                <w:rFonts w:ascii="Times New Roman" w:eastAsia="Times New Roman" w:hAnsi="Times New Roman" w:cs="Times New Roman"/>
                <w:color w:val="FF0000"/>
              </w:rPr>
            </w:pPr>
            <w:r w:rsidRPr="001B1765">
              <w:rPr>
                <w:rFonts w:ascii="Times New Roman" w:eastAsiaTheme="majorEastAsia" w:hAnsi="Times New Roman" w:cs="Times New Roman"/>
                <w:color w:val="FF0000"/>
              </w:rPr>
              <w:t xml:space="preserve">« Les dispositions du présent article ne sont pas applicables aux établissements publics dont </w:t>
            </w:r>
            <w:r w:rsidRPr="001B1765">
              <w:rPr>
                <w:rFonts w:ascii="Times New Roman" w:eastAsia="Times New Roman" w:hAnsi="Times New Roman" w:cs="Times New Roman"/>
                <w:color w:val="FF0000"/>
              </w:rPr>
              <w:t xml:space="preserve">l’exécutif constitue l’autorité de nomination et de gestion des fonctionnaires qui y sont affectés. </w:t>
            </w:r>
          </w:p>
          <w:p w:rsidR="001B1765" w:rsidRPr="001B1765" w:rsidRDefault="001B1765" w:rsidP="001B1765">
            <w:pPr>
              <w:keepNext/>
              <w:keepLines/>
              <w:jc w:val="both"/>
              <w:outlineLvl w:val="1"/>
              <w:rPr>
                <w:rFonts w:ascii="Times New Roman" w:eastAsiaTheme="majorEastAsia" w:hAnsi="Times New Roman" w:cs="Times New Roman"/>
                <w:color w:val="FF0000"/>
              </w:rPr>
            </w:pPr>
          </w:p>
          <w:p w:rsidR="001B1765" w:rsidRPr="001B1765" w:rsidRDefault="001B1765" w:rsidP="001B1765">
            <w:pPr>
              <w:keepNext/>
              <w:keepLines/>
              <w:jc w:val="both"/>
              <w:outlineLvl w:val="1"/>
              <w:rPr>
                <w:rFonts w:ascii="Times New Roman" w:eastAsiaTheme="majorEastAsia" w:hAnsi="Times New Roman" w:cs="Times New Roman"/>
                <w:color w:val="FF0000"/>
              </w:rPr>
            </w:pPr>
            <w:r w:rsidRPr="001B1765">
              <w:rPr>
                <w:rFonts w:ascii="Times New Roman" w:eastAsiaTheme="majorEastAsia" w:hAnsi="Times New Roman" w:cs="Times New Roman"/>
                <w:color w:val="FF0000"/>
              </w:rPr>
              <w:t>« Un décret en Conseil d’Etat précise les modalités d’application du présent article. »</w:t>
            </w:r>
          </w:p>
          <w:p w:rsidR="001B1765" w:rsidRPr="001B1765" w:rsidRDefault="001B1765" w:rsidP="001B1765">
            <w:pPr>
              <w:keepNext/>
              <w:keepLines/>
              <w:jc w:val="both"/>
              <w:outlineLvl w:val="1"/>
              <w:rPr>
                <w:rFonts w:ascii="Times New Roman" w:eastAsiaTheme="majorEastAsia" w:hAnsi="Times New Roman" w:cs="Times New Roman"/>
                <w:color w:val="2E74B5" w:themeColor="accent1" w:themeShade="BF"/>
                <w:sz w:val="26"/>
                <w:szCs w:val="26"/>
              </w:rPr>
            </w:pPr>
          </w:p>
        </w:tc>
        <w:tc>
          <w:tcPr>
            <w:tcW w:w="4665" w:type="dxa"/>
          </w:tcPr>
          <w:p w:rsidR="001B1765" w:rsidRDefault="001B1765" w:rsidP="001B1765">
            <w:pPr>
              <w:spacing w:before="100" w:after="100"/>
              <w:rPr>
                <w:rFonts w:ascii="Times New Roman" w:hAnsi="Times New Roman" w:cs="Times New Roman"/>
                <w:b/>
              </w:rPr>
            </w:pPr>
            <w:r w:rsidRPr="001B1765">
              <w:rPr>
                <w:rFonts w:ascii="Times New Roman" w:hAnsi="Times New Roman" w:cs="Times New Roman"/>
                <w:b/>
              </w:rPr>
              <w:t>Nouvel article 36 bis</w:t>
            </w:r>
          </w:p>
          <w:p w:rsidR="001B1765" w:rsidRDefault="001B1765" w:rsidP="001B1765">
            <w:pPr>
              <w:spacing w:before="100" w:after="100"/>
              <w:rPr>
                <w:rFonts w:ascii="Times New Roman" w:hAnsi="Times New Roman" w:cs="Times New Roman"/>
                <w:b/>
              </w:rPr>
            </w:pPr>
          </w:p>
          <w:p w:rsidR="00D50A0E" w:rsidRDefault="00781699" w:rsidP="001B1765">
            <w:pPr>
              <w:keepNext/>
              <w:keepLines/>
              <w:jc w:val="both"/>
              <w:outlineLvl w:val="1"/>
              <w:rPr>
                <w:rFonts w:ascii="Times New Roman" w:eastAsiaTheme="majorEastAsia" w:hAnsi="Times New Roman" w:cs="Times New Roman"/>
                <w:b/>
              </w:rPr>
            </w:pPr>
            <w:r w:rsidRPr="00781699">
              <w:rPr>
                <w:rFonts w:ascii="Times New Roman" w:eastAsiaTheme="majorEastAsia" w:hAnsi="Times New Roman" w:cs="Times New Roman"/>
                <w:b/>
              </w:rPr>
              <w:t xml:space="preserve">Lorsqu’un fonctionnaire est affecté,, pour lui permettre à un fonctionnaire de pourvoir un emploi correspondant à son grade, soit au sein d’une administration ou service mentionné à l’article 2 du présent titre mais qui ne relève pas du périmètre d’affectation défini par le statut particulier dont il relève, soit au sein d’un établissement public, il ne peut occuper cet emploi que pour une durée renouvelable fixée par décret. A l’issue de cette période, le fonctionnaire réintègre son administration d’origine au besoin en surnombre provisoire. </w:t>
            </w:r>
          </w:p>
          <w:p w:rsidR="00781699" w:rsidRPr="001B1765" w:rsidRDefault="00781699" w:rsidP="001B1765">
            <w:pPr>
              <w:keepNext/>
              <w:keepLines/>
              <w:jc w:val="both"/>
              <w:outlineLvl w:val="1"/>
              <w:rPr>
                <w:rFonts w:ascii="Times New Roman" w:eastAsiaTheme="majorEastAsia" w:hAnsi="Times New Roman" w:cs="Times New Roman"/>
                <w:b/>
              </w:rPr>
            </w:pPr>
          </w:p>
          <w:p w:rsidR="001B1765" w:rsidRPr="001B1765" w:rsidRDefault="001B1765" w:rsidP="001B1765">
            <w:pPr>
              <w:keepNext/>
              <w:keepLines/>
              <w:jc w:val="both"/>
              <w:outlineLvl w:val="1"/>
              <w:rPr>
                <w:rFonts w:ascii="Times New Roman" w:eastAsia="Times New Roman" w:hAnsi="Times New Roman" w:cs="Times New Roman"/>
                <w:b/>
              </w:rPr>
            </w:pPr>
            <w:r w:rsidRPr="001B1765">
              <w:rPr>
                <w:rFonts w:ascii="Times New Roman" w:eastAsiaTheme="majorEastAsia" w:hAnsi="Times New Roman" w:cs="Times New Roman"/>
                <w:b/>
              </w:rPr>
              <w:t xml:space="preserve">Les dispositions du présent article ne sont pas applicables aux établissements publics dont </w:t>
            </w:r>
            <w:r w:rsidRPr="001B1765">
              <w:rPr>
                <w:rFonts w:ascii="Times New Roman" w:eastAsia="Times New Roman" w:hAnsi="Times New Roman" w:cs="Times New Roman"/>
                <w:b/>
              </w:rPr>
              <w:t xml:space="preserve">l’exécutif constitue l’autorité de nomination et de gestion des fonctionnaires qui y sont affectés. </w:t>
            </w:r>
          </w:p>
          <w:p w:rsidR="001B1765" w:rsidRPr="001B1765" w:rsidRDefault="001B1765" w:rsidP="001B1765">
            <w:pPr>
              <w:keepNext/>
              <w:keepLines/>
              <w:jc w:val="both"/>
              <w:outlineLvl w:val="1"/>
              <w:rPr>
                <w:rFonts w:ascii="Times New Roman" w:eastAsiaTheme="majorEastAsia" w:hAnsi="Times New Roman" w:cs="Times New Roman"/>
                <w:b/>
              </w:rPr>
            </w:pPr>
          </w:p>
          <w:p w:rsidR="001B1765" w:rsidRPr="001B1765" w:rsidRDefault="001B1765" w:rsidP="001B1765">
            <w:pPr>
              <w:keepNext/>
              <w:keepLines/>
              <w:jc w:val="both"/>
              <w:outlineLvl w:val="1"/>
              <w:rPr>
                <w:rFonts w:ascii="Times New Roman" w:eastAsiaTheme="majorEastAsia" w:hAnsi="Times New Roman" w:cs="Times New Roman"/>
                <w:b/>
              </w:rPr>
            </w:pPr>
            <w:r w:rsidRPr="001B1765">
              <w:rPr>
                <w:rFonts w:ascii="Times New Roman" w:eastAsiaTheme="majorEastAsia" w:hAnsi="Times New Roman" w:cs="Times New Roman"/>
                <w:b/>
              </w:rPr>
              <w:t> Un décret en conseil d’Etat précise les modalités d’application du présent article. »</w:t>
            </w:r>
          </w:p>
          <w:p w:rsidR="001B1765" w:rsidRPr="001B1765" w:rsidRDefault="001B1765" w:rsidP="001B1765">
            <w:pPr>
              <w:spacing w:before="100" w:after="100"/>
              <w:rPr>
                <w:rFonts w:ascii="Times New Roman" w:hAnsi="Times New Roman" w:cs="Times New Roman"/>
              </w:rPr>
            </w:pPr>
          </w:p>
        </w:tc>
      </w:tr>
    </w:tbl>
    <w:p w:rsidR="00FA0D9B" w:rsidRDefault="00FA0D9B"/>
    <w:sectPr w:rsidR="00FA0D9B" w:rsidSect="001B17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65"/>
    <w:rsid w:val="001B1765"/>
    <w:rsid w:val="00504A3C"/>
    <w:rsid w:val="00781699"/>
    <w:rsid w:val="00D50A0E"/>
    <w:rsid w:val="00EF513D"/>
    <w:rsid w:val="00FA0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6661F-3FC1-42DB-A6B2-E107778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4</cp:revision>
  <dcterms:created xsi:type="dcterms:W3CDTF">2019-02-06T13:35:00Z</dcterms:created>
  <dcterms:modified xsi:type="dcterms:W3CDTF">2019-02-12T17:10:00Z</dcterms:modified>
</cp:coreProperties>
</file>