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07" w:rsidRPr="007A2B61" w:rsidRDefault="00941905" w:rsidP="00580B07">
      <w:pPr>
        <w:rPr>
          <w:rFonts w:ascii="Times New Roman" w:hAnsi="Times New Roman" w:cs="Times New Roman"/>
        </w:rPr>
      </w:pPr>
      <w:bookmarkStart w:id="0" w:name="_GoBack"/>
      <w:bookmarkEnd w:id="0"/>
      <w:r>
        <w:rPr>
          <w:rFonts w:ascii="Times New Roman" w:hAnsi="Times New Roman" w:cs="Times New Roman"/>
        </w:rPr>
        <w:t>ARTICLE 9</w:t>
      </w:r>
    </w:p>
    <w:p w:rsidR="00580B07" w:rsidRPr="007A2B61" w:rsidRDefault="00580B07" w:rsidP="00580B07">
      <w:pPr>
        <w:rPr>
          <w:rFonts w:ascii="Times New Roman" w:hAnsi="Times New Roman" w:cs="Times New Roman"/>
        </w:rPr>
      </w:pPr>
    </w:p>
    <w:p w:rsidR="00580B07" w:rsidRPr="007A2B61" w:rsidRDefault="00580B07" w:rsidP="00580B07">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580B07" w:rsidRPr="007A2B61" w:rsidRDefault="00580B07" w:rsidP="00580B07">
      <w:pPr>
        <w:rPr>
          <w:rFonts w:ascii="Times New Roman" w:hAnsi="Times New Roman" w:cs="Times New Roman"/>
        </w:rPr>
      </w:pPr>
    </w:p>
    <w:tbl>
      <w:tblPr>
        <w:tblStyle w:val="Grilledutableau"/>
        <w:tblW w:w="0" w:type="auto"/>
        <w:tblLook w:val="04A0" w:firstRow="1" w:lastRow="0" w:firstColumn="1" w:lastColumn="0" w:noHBand="0" w:noVBand="1"/>
      </w:tblPr>
      <w:tblGrid>
        <w:gridCol w:w="4664"/>
        <w:gridCol w:w="4665"/>
        <w:gridCol w:w="4665"/>
      </w:tblGrid>
      <w:tr w:rsidR="00580B07" w:rsidRPr="007A2B61" w:rsidTr="00046ADA">
        <w:tc>
          <w:tcPr>
            <w:tcW w:w="4664" w:type="dxa"/>
            <w:shd w:val="clear" w:color="auto" w:fill="D0CECE" w:themeFill="background2" w:themeFillShade="E6"/>
          </w:tcPr>
          <w:p w:rsidR="00580B07" w:rsidRPr="007A2B61" w:rsidRDefault="00580B07" w:rsidP="00046ADA">
            <w:pPr>
              <w:spacing w:before="100" w:after="100"/>
              <w:ind w:firstLine="708"/>
              <w:jc w:val="center"/>
              <w:rPr>
                <w:rFonts w:ascii="Times New Roman" w:hAnsi="Times New Roman" w:cs="Times New Roman"/>
              </w:rPr>
            </w:pPr>
            <w:r w:rsidRPr="007A2B61">
              <w:rPr>
                <w:rFonts w:ascii="Times New Roman" w:hAnsi="Times New Roman" w:cs="Times New Roman"/>
              </w:rPr>
              <w:t>DISPOSITIONS ACTUELLES</w:t>
            </w:r>
          </w:p>
        </w:tc>
        <w:tc>
          <w:tcPr>
            <w:tcW w:w="4665" w:type="dxa"/>
            <w:shd w:val="clear" w:color="auto" w:fill="D0CECE" w:themeFill="background2" w:themeFillShade="E6"/>
          </w:tcPr>
          <w:p w:rsidR="00580B07" w:rsidRPr="007A2B61" w:rsidRDefault="00580B07" w:rsidP="00046ADA">
            <w:pPr>
              <w:spacing w:before="100" w:after="100"/>
              <w:jc w:val="center"/>
              <w:rPr>
                <w:rFonts w:ascii="Times New Roman" w:hAnsi="Times New Roman" w:cs="Times New Roman"/>
              </w:rPr>
            </w:pPr>
            <w:r w:rsidRPr="007A2B61">
              <w:rPr>
                <w:rFonts w:ascii="Times New Roman" w:hAnsi="Times New Roman" w:cs="Times New Roman"/>
              </w:rPr>
              <w:t>DISPOSITIONS DU PJL</w:t>
            </w:r>
          </w:p>
        </w:tc>
        <w:tc>
          <w:tcPr>
            <w:tcW w:w="4665" w:type="dxa"/>
            <w:shd w:val="clear" w:color="auto" w:fill="D0CECE" w:themeFill="background2" w:themeFillShade="E6"/>
          </w:tcPr>
          <w:p w:rsidR="00580B07" w:rsidRPr="007A2B61" w:rsidRDefault="00580B07" w:rsidP="00046ADA">
            <w:pPr>
              <w:spacing w:before="100" w:after="100"/>
              <w:jc w:val="center"/>
              <w:rPr>
                <w:rFonts w:ascii="Times New Roman" w:hAnsi="Times New Roman" w:cs="Times New Roman"/>
              </w:rPr>
            </w:pPr>
            <w:r>
              <w:rPr>
                <w:rFonts w:ascii="Times New Roman" w:hAnsi="Times New Roman" w:cs="Times New Roman"/>
              </w:rPr>
              <w:t>DISPOSITIONS CONSOLIDEES</w:t>
            </w:r>
          </w:p>
        </w:tc>
      </w:tr>
      <w:tr w:rsidR="00580B07" w:rsidRPr="007A2B61" w:rsidTr="00580B07">
        <w:tc>
          <w:tcPr>
            <w:tcW w:w="13994" w:type="dxa"/>
            <w:gridSpan w:val="3"/>
            <w:shd w:val="clear" w:color="auto" w:fill="ED7D31" w:themeFill="accent2"/>
          </w:tcPr>
          <w:p w:rsidR="00580B07" w:rsidRPr="007A2B61" w:rsidRDefault="00580B07" w:rsidP="00580B07">
            <w:pPr>
              <w:spacing w:before="100" w:after="100"/>
              <w:jc w:val="center"/>
              <w:rPr>
                <w:rFonts w:ascii="Times New Roman" w:hAnsi="Times New Roman" w:cs="Times New Roman"/>
              </w:rPr>
            </w:pPr>
            <w:r>
              <w:rPr>
                <w:rFonts w:ascii="Times New Roman" w:hAnsi="Times New Roman" w:cs="Times New Roman"/>
                <w:b/>
              </w:rPr>
              <w:t>Loi n°84-16 du 11 janvier 1984</w:t>
            </w:r>
          </w:p>
        </w:tc>
      </w:tr>
      <w:tr w:rsidR="00580B07" w:rsidRPr="007A2B61" w:rsidTr="00046ADA">
        <w:tc>
          <w:tcPr>
            <w:tcW w:w="4664" w:type="dxa"/>
          </w:tcPr>
          <w:p w:rsidR="0058336B" w:rsidRDefault="0058336B" w:rsidP="00046ADA">
            <w:pPr>
              <w:spacing w:before="100" w:after="100"/>
              <w:rPr>
                <w:rFonts w:ascii="Times New Roman" w:hAnsi="Times New Roman" w:cs="Times New Roman"/>
              </w:rPr>
            </w:pPr>
            <w:r>
              <w:rPr>
                <w:rFonts w:ascii="Times New Roman" w:hAnsi="Times New Roman" w:cs="Times New Roman"/>
                <w:b/>
              </w:rPr>
              <w:t>Article 60 de la loi du 11 janvier 1984</w:t>
            </w:r>
          </w:p>
          <w:p w:rsidR="0058336B" w:rsidRDefault="0058336B" w:rsidP="00046ADA">
            <w:pPr>
              <w:spacing w:before="100" w:after="100"/>
              <w:rPr>
                <w:rFonts w:ascii="Times New Roman" w:hAnsi="Times New Roman" w:cs="Times New Roman"/>
              </w:rPr>
            </w:pPr>
          </w:p>
          <w:p w:rsidR="00580B07" w:rsidRPr="00AC1A0F" w:rsidRDefault="00580B07" w:rsidP="00046ADA">
            <w:pPr>
              <w:spacing w:before="100" w:after="100"/>
              <w:rPr>
                <w:rFonts w:ascii="Times New Roman" w:hAnsi="Times New Roman" w:cs="Times New Roman"/>
              </w:rPr>
            </w:pPr>
            <w:r w:rsidRPr="00AC1A0F">
              <w:rPr>
                <w:rFonts w:ascii="Times New Roman" w:hAnsi="Times New Roman" w:cs="Times New Roman"/>
              </w:rPr>
              <w:t>L</w:t>
            </w:r>
            <w:r>
              <w:rPr>
                <w:rFonts w:ascii="Times New Roman" w:hAnsi="Times New Roman" w:cs="Times New Roman"/>
              </w:rPr>
              <w:t>’</w:t>
            </w:r>
            <w:r w:rsidRPr="00AC1A0F">
              <w:rPr>
                <w:rFonts w:ascii="Times New Roman" w:hAnsi="Times New Roman" w:cs="Times New Roman"/>
              </w:rPr>
              <w:t>autorité compétente procède aux mouvements des fonctionnaires après avis des commissions administratives paritaires.</w:t>
            </w:r>
          </w:p>
          <w:p w:rsidR="00580B07" w:rsidRPr="00AC1A0F" w:rsidRDefault="00580B07" w:rsidP="00046ADA">
            <w:pPr>
              <w:spacing w:before="100" w:after="100"/>
              <w:rPr>
                <w:rFonts w:ascii="Times New Roman" w:hAnsi="Times New Roman" w:cs="Times New Roman"/>
              </w:rPr>
            </w:pPr>
            <w:r w:rsidRPr="00AC1A0F">
              <w:rPr>
                <w:rFonts w:ascii="Times New Roman" w:hAnsi="Times New Roman" w:cs="Times New Roman"/>
              </w:rPr>
              <w:t>Dans les administrations ou services où sont dressés des tableaux périodiques de mutations, l</w:t>
            </w:r>
            <w:r>
              <w:rPr>
                <w:rFonts w:ascii="Times New Roman" w:hAnsi="Times New Roman" w:cs="Times New Roman"/>
              </w:rPr>
              <w:t>’</w:t>
            </w:r>
            <w:r w:rsidRPr="00AC1A0F">
              <w:rPr>
                <w:rFonts w:ascii="Times New Roman" w:hAnsi="Times New Roman" w:cs="Times New Roman"/>
              </w:rPr>
              <w:t>avis des commissions est donné au moment de l</w:t>
            </w:r>
            <w:r>
              <w:rPr>
                <w:rFonts w:ascii="Times New Roman" w:hAnsi="Times New Roman" w:cs="Times New Roman"/>
              </w:rPr>
              <w:t>’</w:t>
            </w:r>
            <w:r w:rsidRPr="00AC1A0F">
              <w:rPr>
                <w:rFonts w:ascii="Times New Roman" w:hAnsi="Times New Roman" w:cs="Times New Roman"/>
              </w:rPr>
              <w:t>établissement de ces tableaux.</w:t>
            </w:r>
          </w:p>
          <w:p w:rsidR="00580B07" w:rsidRPr="00AC1A0F" w:rsidRDefault="00580B07" w:rsidP="00046ADA">
            <w:pPr>
              <w:spacing w:before="100" w:after="100"/>
              <w:rPr>
                <w:rFonts w:ascii="Times New Roman" w:hAnsi="Times New Roman" w:cs="Times New Roman"/>
              </w:rPr>
            </w:pPr>
            <w:r w:rsidRPr="00AC1A0F">
              <w:rPr>
                <w:rFonts w:ascii="Times New Roman" w:hAnsi="Times New Roman" w:cs="Times New Roman"/>
              </w:rPr>
              <w:t>Toutefois, lorsqu</w:t>
            </w:r>
            <w:r>
              <w:rPr>
                <w:rFonts w:ascii="Times New Roman" w:hAnsi="Times New Roman" w:cs="Times New Roman"/>
              </w:rPr>
              <w:t>’</w:t>
            </w:r>
            <w:r w:rsidRPr="00AC1A0F">
              <w:rPr>
                <w:rFonts w:ascii="Times New Roman" w:hAnsi="Times New Roman" w:cs="Times New Roman"/>
              </w:rPr>
              <w:t>il n</w:t>
            </w:r>
            <w:r>
              <w:rPr>
                <w:rFonts w:ascii="Times New Roman" w:hAnsi="Times New Roman" w:cs="Times New Roman"/>
              </w:rPr>
              <w:t>’</w:t>
            </w:r>
            <w:r w:rsidRPr="00AC1A0F">
              <w:rPr>
                <w:rFonts w:ascii="Times New Roman" w:hAnsi="Times New Roman" w:cs="Times New Roman"/>
              </w:rPr>
              <w:t>existe pas de tableaux de mutation, seules les mutations comportant changement de résidence ou modification de la situation de l</w:t>
            </w:r>
            <w:r>
              <w:rPr>
                <w:rFonts w:ascii="Times New Roman" w:hAnsi="Times New Roman" w:cs="Times New Roman"/>
              </w:rPr>
              <w:t>’</w:t>
            </w:r>
            <w:r w:rsidRPr="00AC1A0F">
              <w:rPr>
                <w:rFonts w:ascii="Times New Roman" w:hAnsi="Times New Roman" w:cs="Times New Roman"/>
              </w:rPr>
              <w:t>intéressé sont soumises à l</w:t>
            </w:r>
            <w:r>
              <w:rPr>
                <w:rFonts w:ascii="Times New Roman" w:hAnsi="Times New Roman" w:cs="Times New Roman"/>
              </w:rPr>
              <w:t>’</w:t>
            </w:r>
            <w:r w:rsidRPr="00AC1A0F">
              <w:rPr>
                <w:rFonts w:ascii="Times New Roman" w:hAnsi="Times New Roman" w:cs="Times New Roman"/>
              </w:rPr>
              <w:t>avis des commissions.</w:t>
            </w:r>
          </w:p>
          <w:p w:rsidR="00580B07" w:rsidRPr="00AC1A0F" w:rsidRDefault="00580B07" w:rsidP="00046ADA">
            <w:pPr>
              <w:spacing w:before="100" w:after="100"/>
              <w:rPr>
                <w:rFonts w:ascii="Times New Roman" w:hAnsi="Times New Roman" w:cs="Times New Roman"/>
              </w:rPr>
            </w:pPr>
            <w:r w:rsidRPr="00AC1A0F">
              <w:rPr>
                <w:rFonts w:ascii="Times New Roman" w:hAnsi="Times New Roman" w:cs="Times New Roman"/>
              </w:rPr>
              <w:t xml:space="preserve">Dans toute la mesure compatible avec le bon fonctionnement du service, les affectations prononcées doivent tenir compte des demandes formulées par les intéressés et de leur situation de famille. Priorité est donnée aux fonctionnaires séparés de leur conjoint pour des raisons professionnelles, aux fonctionnaires séparés pour des raisons professionnelles du partenaire avec lequel ils sont liés par un pacte civil de solidarité </w:t>
            </w:r>
            <w:r w:rsidRPr="00AC1A0F">
              <w:rPr>
                <w:rFonts w:ascii="Times New Roman" w:hAnsi="Times New Roman" w:cs="Times New Roman"/>
              </w:rPr>
              <w:lastRenderedPageBreak/>
              <w:t>lorsqu</w:t>
            </w:r>
            <w:r>
              <w:rPr>
                <w:rFonts w:ascii="Times New Roman" w:hAnsi="Times New Roman" w:cs="Times New Roman"/>
              </w:rPr>
              <w:t>’</w:t>
            </w:r>
            <w:r w:rsidRPr="00AC1A0F">
              <w:rPr>
                <w:rFonts w:ascii="Times New Roman" w:hAnsi="Times New Roman" w:cs="Times New Roman"/>
              </w:rPr>
              <w:t>ils produisent la preuve qu</w:t>
            </w:r>
            <w:r>
              <w:rPr>
                <w:rFonts w:ascii="Times New Roman" w:hAnsi="Times New Roman" w:cs="Times New Roman"/>
              </w:rPr>
              <w:t>’</w:t>
            </w:r>
            <w:r w:rsidRPr="00AC1A0F">
              <w:rPr>
                <w:rFonts w:ascii="Times New Roman" w:hAnsi="Times New Roman" w:cs="Times New Roman"/>
              </w:rPr>
              <w:t>ils se soumettent à l</w:t>
            </w:r>
            <w:r>
              <w:rPr>
                <w:rFonts w:ascii="Times New Roman" w:hAnsi="Times New Roman" w:cs="Times New Roman"/>
              </w:rPr>
              <w:t>’</w:t>
            </w:r>
            <w:r w:rsidRPr="00AC1A0F">
              <w:rPr>
                <w:rFonts w:ascii="Times New Roman" w:hAnsi="Times New Roman" w:cs="Times New Roman"/>
              </w:rPr>
              <w:t>obligation d</w:t>
            </w:r>
            <w:r>
              <w:rPr>
                <w:rFonts w:ascii="Times New Roman" w:hAnsi="Times New Roman" w:cs="Times New Roman"/>
              </w:rPr>
              <w:t>’</w:t>
            </w:r>
            <w:r w:rsidRPr="00AC1A0F">
              <w:rPr>
                <w:rFonts w:ascii="Times New Roman" w:hAnsi="Times New Roman" w:cs="Times New Roman"/>
              </w:rPr>
              <w:t>imposition commune prévue par le code général des impôts, aux fonctionnaires handicapés relevant de l</w:t>
            </w:r>
            <w:r>
              <w:rPr>
                <w:rFonts w:ascii="Times New Roman" w:hAnsi="Times New Roman" w:cs="Times New Roman"/>
              </w:rPr>
              <w:t>’</w:t>
            </w:r>
            <w:r w:rsidRPr="00AC1A0F">
              <w:rPr>
                <w:rFonts w:ascii="Times New Roman" w:hAnsi="Times New Roman" w:cs="Times New Roman"/>
              </w:rPr>
              <w:t>une des catégories mentionnées aux 1°, 2°, 3°, 4°, 9°, 10° et 11° de l</w:t>
            </w:r>
            <w:r>
              <w:rPr>
                <w:rFonts w:ascii="Times New Roman" w:hAnsi="Times New Roman" w:cs="Times New Roman"/>
              </w:rPr>
              <w:t>’</w:t>
            </w:r>
            <w:r w:rsidRPr="00AC1A0F">
              <w:rPr>
                <w:rFonts w:ascii="Times New Roman" w:hAnsi="Times New Roman" w:cs="Times New Roman"/>
              </w:rPr>
              <w:t>article L. 5212-13 du code du travail et aux fonctionnaires qui exercent leurs fonctions, pendant une durée et selon des modalités fixées par décret en Conseil d</w:t>
            </w:r>
            <w:r>
              <w:rPr>
                <w:rFonts w:ascii="Times New Roman" w:hAnsi="Times New Roman" w:cs="Times New Roman"/>
              </w:rPr>
              <w:t>’État</w:t>
            </w:r>
            <w:r w:rsidRPr="00AC1A0F">
              <w:rPr>
                <w:rFonts w:ascii="Times New Roman" w:hAnsi="Times New Roman" w:cs="Times New Roman"/>
              </w:rPr>
              <w:t>, dans un quartier urbain où se posent des problèmes sociaux et de sécurité particulièrement difficiles, ainsi qu</w:t>
            </w:r>
            <w:r>
              <w:rPr>
                <w:rFonts w:ascii="Times New Roman" w:hAnsi="Times New Roman" w:cs="Times New Roman"/>
              </w:rPr>
              <w:t>’</w:t>
            </w:r>
            <w:r w:rsidRPr="00AC1A0F">
              <w:rPr>
                <w:rFonts w:ascii="Times New Roman" w:hAnsi="Times New Roman" w:cs="Times New Roman"/>
              </w:rPr>
              <w:t>aux fonctionnaires qui justifient du centre de leurs intérêts matériels et moraux dans une des collectivités régies par les articles 73 et 74 de la Constitution ainsi qu</w:t>
            </w:r>
            <w:r>
              <w:rPr>
                <w:rFonts w:ascii="Times New Roman" w:hAnsi="Times New Roman" w:cs="Times New Roman"/>
              </w:rPr>
              <w:t>’</w:t>
            </w:r>
            <w:r w:rsidRPr="00AC1A0F">
              <w:rPr>
                <w:rFonts w:ascii="Times New Roman" w:hAnsi="Times New Roman" w:cs="Times New Roman"/>
              </w:rPr>
              <w:t>en Nouvelle-Calédonie. Lorsqu</w:t>
            </w:r>
            <w:r>
              <w:rPr>
                <w:rFonts w:ascii="Times New Roman" w:hAnsi="Times New Roman" w:cs="Times New Roman"/>
              </w:rPr>
              <w:t>’</w:t>
            </w:r>
            <w:r w:rsidRPr="00AC1A0F">
              <w:rPr>
                <w:rFonts w:ascii="Times New Roman" w:hAnsi="Times New Roman" w:cs="Times New Roman"/>
              </w:rPr>
              <w:t>un service ou une administration ne peut offrir au fonctionnaire affecté sur un emploi supprimé un autre emploi correspondant à son grade, le fonctionnaire bénéficie, sur sa demande, dans des conditions fixées par décret en Conseil d</w:t>
            </w:r>
            <w:r>
              <w:rPr>
                <w:rFonts w:ascii="Times New Roman" w:hAnsi="Times New Roman" w:cs="Times New Roman"/>
              </w:rPr>
              <w:t>’État</w:t>
            </w:r>
            <w:r w:rsidRPr="00AC1A0F">
              <w:rPr>
                <w:rFonts w:ascii="Times New Roman" w:hAnsi="Times New Roman" w:cs="Times New Roman"/>
              </w:rPr>
              <w:t>, d</w:t>
            </w:r>
            <w:r>
              <w:rPr>
                <w:rFonts w:ascii="Times New Roman" w:hAnsi="Times New Roman" w:cs="Times New Roman"/>
              </w:rPr>
              <w:t>’</w:t>
            </w:r>
            <w:r w:rsidRPr="00AC1A0F">
              <w:rPr>
                <w:rFonts w:ascii="Times New Roman" w:hAnsi="Times New Roman" w:cs="Times New Roman"/>
              </w:rPr>
              <w:t>une priorité d</w:t>
            </w:r>
            <w:r>
              <w:rPr>
                <w:rFonts w:ascii="Times New Roman" w:hAnsi="Times New Roman" w:cs="Times New Roman"/>
              </w:rPr>
              <w:t>’</w:t>
            </w:r>
            <w:r w:rsidRPr="00AC1A0F">
              <w:rPr>
                <w:rFonts w:ascii="Times New Roman" w:hAnsi="Times New Roman" w:cs="Times New Roman"/>
              </w:rPr>
              <w:t>affectation sur tout emploi correspondant à son grade et vacant dans un service ou une administration situé dans la même zone géographique, après avis de la commission administrative paritaire compétente.</w:t>
            </w:r>
          </w:p>
          <w:p w:rsidR="00580B07" w:rsidRPr="00AC1A0F" w:rsidRDefault="00580B07" w:rsidP="00046ADA">
            <w:pPr>
              <w:spacing w:before="100" w:after="100"/>
              <w:rPr>
                <w:rFonts w:ascii="Times New Roman" w:hAnsi="Times New Roman" w:cs="Times New Roman"/>
              </w:rPr>
            </w:pPr>
            <w:r w:rsidRPr="00AC1A0F">
              <w:rPr>
                <w:rFonts w:ascii="Times New Roman" w:hAnsi="Times New Roman" w:cs="Times New Roman"/>
              </w:rPr>
              <w:t>Dans le cas où il s</w:t>
            </w:r>
            <w:r>
              <w:rPr>
                <w:rFonts w:ascii="Times New Roman" w:hAnsi="Times New Roman" w:cs="Times New Roman"/>
              </w:rPr>
              <w:t>’</w:t>
            </w:r>
            <w:r w:rsidRPr="00AC1A0F">
              <w:rPr>
                <w:rFonts w:ascii="Times New Roman" w:hAnsi="Times New Roman" w:cs="Times New Roman"/>
              </w:rPr>
              <w:t>agit de remplir une vacance d</w:t>
            </w:r>
            <w:r>
              <w:rPr>
                <w:rFonts w:ascii="Times New Roman" w:hAnsi="Times New Roman" w:cs="Times New Roman"/>
              </w:rPr>
              <w:t>’</w:t>
            </w:r>
            <w:r w:rsidRPr="00AC1A0F">
              <w:rPr>
                <w:rFonts w:ascii="Times New Roman" w:hAnsi="Times New Roman" w:cs="Times New Roman"/>
              </w:rPr>
              <w:t>emploi compromettant le fonctionnement du service et à laquelle il n</w:t>
            </w:r>
            <w:r>
              <w:rPr>
                <w:rFonts w:ascii="Times New Roman" w:hAnsi="Times New Roman" w:cs="Times New Roman"/>
              </w:rPr>
              <w:t>’</w:t>
            </w:r>
            <w:r w:rsidRPr="00AC1A0F">
              <w:rPr>
                <w:rFonts w:ascii="Times New Roman" w:hAnsi="Times New Roman" w:cs="Times New Roman"/>
              </w:rPr>
              <w:t>est pas possible de pourvoir par un autre moyen, même provisoirement, la mutation peut être prononcée sous réserve d</w:t>
            </w:r>
            <w:r>
              <w:rPr>
                <w:rFonts w:ascii="Times New Roman" w:hAnsi="Times New Roman" w:cs="Times New Roman"/>
              </w:rPr>
              <w:t>’</w:t>
            </w:r>
            <w:r w:rsidRPr="00AC1A0F">
              <w:rPr>
                <w:rFonts w:ascii="Times New Roman" w:hAnsi="Times New Roman" w:cs="Times New Roman"/>
              </w:rPr>
              <w:t>examen ultérieur par la commission compétente.</w:t>
            </w:r>
          </w:p>
          <w:p w:rsidR="00580B07" w:rsidRPr="007A2B61" w:rsidRDefault="00580B07" w:rsidP="00046ADA">
            <w:pPr>
              <w:spacing w:before="100" w:after="100"/>
              <w:rPr>
                <w:rFonts w:ascii="Times New Roman" w:hAnsi="Times New Roman" w:cs="Times New Roman"/>
              </w:rPr>
            </w:pPr>
            <w:r w:rsidRPr="00AC1A0F">
              <w:rPr>
                <w:rFonts w:ascii="Times New Roman" w:hAnsi="Times New Roman" w:cs="Times New Roman"/>
              </w:rPr>
              <w:t>Dans les administrations ou services mentionnés au deuxième alinéa du présent article, l</w:t>
            </w:r>
            <w:r>
              <w:rPr>
                <w:rFonts w:ascii="Times New Roman" w:hAnsi="Times New Roman" w:cs="Times New Roman"/>
              </w:rPr>
              <w:t>’</w:t>
            </w:r>
            <w:r w:rsidRPr="00AC1A0F">
              <w:rPr>
                <w:rFonts w:ascii="Times New Roman" w:hAnsi="Times New Roman" w:cs="Times New Roman"/>
              </w:rPr>
              <w:t xml:space="preserve">autorité compétente peut procéder à un classement </w:t>
            </w:r>
            <w:r w:rsidRPr="00AC1A0F">
              <w:rPr>
                <w:rFonts w:ascii="Times New Roman" w:hAnsi="Times New Roman" w:cs="Times New Roman"/>
              </w:rPr>
              <w:lastRenderedPageBreak/>
              <w:t>préalable des demandes de mutation à l</w:t>
            </w:r>
            <w:r>
              <w:rPr>
                <w:rFonts w:ascii="Times New Roman" w:hAnsi="Times New Roman" w:cs="Times New Roman"/>
              </w:rPr>
              <w:t>’</w:t>
            </w:r>
            <w:r w:rsidRPr="00AC1A0F">
              <w:rPr>
                <w:rFonts w:ascii="Times New Roman" w:hAnsi="Times New Roman" w:cs="Times New Roman"/>
              </w:rPr>
              <w:t>aide d</w:t>
            </w:r>
            <w:r>
              <w:rPr>
                <w:rFonts w:ascii="Times New Roman" w:hAnsi="Times New Roman" w:cs="Times New Roman"/>
              </w:rPr>
              <w:t>’</w:t>
            </w:r>
            <w:r w:rsidRPr="00AC1A0F">
              <w:rPr>
                <w:rFonts w:ascii="Times New Roman" w:hAnsi="Times New Roman" w:cs="Times New Roman"/>
              </w:rPr>
              <w:t>un barème rendu public. Le recours à un tel barème constitue une mesure préparatoire et ne se substitue pas à l</w:t>
            </w:r>
            <w:r>
              <w:rPr>
                <w:rFonts w:ascii="Times New Roman" w:hAnsi="Times New Roman" w:cs="Times New Roman"/>
              </w:rPr>
              <w:t>’</w:t>
            </w:r>
            <w:r w:rsidRPr="00AC1A0F">
              <w:rPr>
                <w:rFonts w:ascii="Times New Roman" w:hAnsi="Times New Roman" w:cs="Times New Roman"/>
              </w:rPr>
              <w:t>examen de la situation individuelle des agents. Ce classement est établi dans le respect des priorités figurant au quatrième alinéa du présent article. Toutefois, l</w:t>
            </w:r>
            <w:r>
              <w:rPr>
                <w:rFonts w:ascii="Times New Roman" w:hAnsi="Times New Roman" w:cs="Times New Roman"/>
              </w:rPr>
              <w:t>’</w:t>
            </w:r>
            <w:r w:rsidRPr="00AC1A0F">
              <w:rPr>
                <w:rFonts w:ascii="Times New Roman" w:hAnsi="Times New Roman" w:cs="Times New Roman"/>
              </w:rPr>
              <w:t>autorité compétente peut édicter des lignes directrices par lesquelles elle définit, sans renoncer à son pouvoir d</w:t>
            </w:r>
            <w:r>
              <w:rPr>
                <w:rFonts w:ascii="Times New Roman" w:hAnsi="Times New Roman" w:cs="Times New Roman"/>
              </w:rPr>
              <w:t>’</w:t>
            </w:r>
            <w:r w:rsidRPr="00AC1A0F">
              <w:rPr>
                <w:rFonts w:ascii="Times New Roman" w:hAnsi="Times New Roman" w:cs="Times New Roman"/>
              </w:rPr>
              <w:t>appréciation, des critères supplémentaires établis à titre subsidiaire dans des conditions prévues par décret en Conseil d</w:t>
            </w:r>
            <w:r>
              <w:rPr>
                <w:rFonts w:ascii="Times New Roman" w:hAnsi="Times New Roman" w:cs="Times New Roman"/>
              </w:rPr>
              <w:t>’État</w:t>
            </w:r>
            <w:r w:rsidRPr="00AC1A0F">
              <w:rPr>
                <w:rFonts w:ascii="Times New Roman" w:hAnsi="Times New Roman" w:cs="Times New Roman"/>
              </w:rPr>
              <w:t>.</w:t>
            </w:r>
          </w:p>
        </w:tc>
        <w:tc>
          <w:tcPr>
            <w:tcW w:w="4665" w:type="dxa"/>
          </w:tcPr>
          <w:p w:rsidR="00580B07" w:rsidRPr="00580B07" w:rsidRDefault="00580B07" w:rsidP="0058336B">
            <w:pPr>
              <w:ind w:firstLine="66"/>
              <w:jc w:val="both"/>
              <w:rPr>
                <w:rFonts w:ascii="Times New Roman" w:hAnsi="Times New Roman" w:cs="Times New Roman"/>
              </w:rPr>
            </w:pPr>
            <w:r w:rsidRPr="00741CB7">
              <w:rPr>
                <w:rFonts w:ascii="Times New Roman" w:hAnsi="Times New Roman" w:cs="Times New Roman"/>
              </w:rPr>
              <w:lastRenderedPageBreak/>
              <w:t> </w:t>
            </w:r>
            <w:r w:rsidRPr="00580B07">
              <w:rPr>
                <w:rFonts w:ascii="Times New Roman" w:hAnsi="Times New Roman" w:cs="Times New Roman"/>
                <w:bCs/>
              </w:rPr>
              <w:t>I.</w:t>
            </w:r>
            <w:r w:rsidRPr="00580B07">
              <w:t xml:space="preserve"> –</w:t>
            </w:r>
            <w:r w:rsidRPr="00580B07">
              <w:rPr>
                <w:rFonts w:ascii="Times New Roman" w:hAnsi="Times New Roman" w:cs="Times New Roman"/>
                <w:bCs/>
              </w:rPr>
              <w:t xml:space="preserve">Les dispositions de l’article 60 </w:t>
            </w:r>
            <w:r w:rsidRPr="00580B07">
              <w:rPr>
                <w:rFonts w:ascii="Times New Roman" w:hAnsi="Times New Roman" w:cs="Times New Roman"/>
              </w:rPr>
              <w:t xml:space="preserve">de la </w:t>
            </w:r>
            <w:r w:rsidRPr="00580B07">
              <w:rPr>
                <w:rFonts w:ascii="Times New Roman" w:hAnsi="Times New Roman" w:cs="Times New Roman"/>
                <w:bCs/>
              </w:rPr>
              <w:t>loi °84-16 du 11 janvier 1984 précitée sont remplacées par les dispositions suivantes :</w:t>
            </w:r>
            <w:r w:rsidRPr="00580B07">
              <w:rPr>
                <w:rFonts w:ascii="Times New Roman" w:hAnsi="Times New Roman" w:cs="Times New Roman"/>
              </w:rPr>
              <w:t xml:space="preserve"> </w:t>
            </w:r>
          </w:p>
          <w:p w:rsidR="00580B07" w:rsidRPr="00580B07" w:rsidRDefault="00580B07" w:rsidP="00580B07">
            <w:pPr>
              <w:ind w:firstLine="66"/>
              <w:jc w:val="both"/>
              <w:rPr>
                <w:rFonts w:ascii="Times New Roman" w:hAnsi="Times New Roman" w:cs="Times New Roman"/>
              </w:rPr>
            </w:pPr>
          </w:p>
          <w:p w:rsidR="00580B07" w:rsidRPr="00580B07" w:rsidRDefault="00580B07" w:rsidP="00580B07">
            <w:pPr>
              <w:ind w:firstLine="66"/>
              <w:jc w:val="both"/>
              <w:rPr>
                <w:rFonts w:ascii="Times New Roman" w:hAnsi="Times New Roman" w:cs="Times New Roman"/>
              </w:rPr>
            </w:pPr>
            <w:r w:rsidRPr="00580B07">
              <w:rPr>
                <w:rFonts w:ascii="Times New Roman" w:hAnsi="Times New Roman" w:cs="Times New Roman"/>
              </w:rPr>
              <w:t xml:space="preserve">« I. </w:t>
            </w:r>
            <w:r w:rsidRPr="00580B07">
              <w:t xml:space="preserve">– </w:t>
            </w:r>
            <w:r w:rsidRPr="00580B07">
              <w:rPr>
                <w:rFonts w:ascii="Times New Roman" w:hAnsi="Times New Roman" w:cs="Times New Roman"/>
                <w:bCs/>
              </w:rPr>
              <w:t>L’autorité compétente procède aux mutations des fonctionnaires</w:t>
            </w:r>
            <w:r w:rsidR="007F6019">
              <w:rPr>
                <w:rFonts w:ascii="Times New Roman" w:hAnsi="Times New Roman" w:cs="Times New Roman"/>
                <w:bCs/>
              </w:rPr>
              <w:t xml:space="preserve"> </w:t>
            </w:r>
            <w:r w:rsidR="007F6019" w:rsidRPr="007F6019">
              <w:rPr>
                <w:rFonts w:ascii="Times New Roman" w:hAnsi="Times New Roman" w:cs="Times New Roman"/>
                <w:bCs/>
              </w:rPr>
              <w:t>en tenant compte des besoins des services</w:t>
            </w:r>
            <w:r w:rsidRPr="00580B07">
              <w:rPr>
                <w:rFonts w:ascii="Times New Roman" w:hAnsi="Times New Roman" w:cs="Times New Roman"/>
                <w:bCs/>
              </w:rPr>
              <w:t>.</w:t>
            </w:r>
          </w:p>
          <w:p w:rsidR="00580B07" w:rsidRPr="00580B07" w:rsidRDefault="00580B07" w:rsidP="00580B07">
            <w:pPr>
              <w:ind w:firstLine="66"/>
              <w:jc w:val="both"/>
              <w:rPr>
                <w:rFonts w:ascii="Times New Roman" w:hAnsi="Times New Roman" w:cs="Times New Roman"/>
                <w:bCs/>
              </w:rPr>
            </w:pPr>
          </w:p>
          <w:p w:rsidR="00580B07" w:rsidRPr="00580B07" w:rsidRDefault="00580B07" w:rsidP="00580B07">
            <w:pPr>
              <w:ind w:firstLine="66"/>
              <w:jc w:val="both"/>
              <w:rPr>
                <w:rFonts w:ascii="Times New Roman" w:hAnsi="Times New Roman" w:cs="Times New Roman"/>
                <w:bCs/>
              </w:rPr>
            </w:pPr>
            <w:r w:rsidRPr="00580B07">
              <w:rPr>
                <w:rFonts w:ascii="Times New Roman" w:hAnsi="Times New Roman" w:cs="Times New Roman"/>
                <w:bCs/>
              </w:rPr>
              <w:t xml:space="preserve">« II. </w:t>
            </w:r>
            <w:r w:rsidRPr="00580B07">
              <w:t xml:space="preserve">– </w:t>
            </w:r>
            <w:r w:rsidRPr="00580B07">
              <w:rPr>
                <w:rFonts w:ascii="Times New Roman" w:hAnsi="Times New Roman" w:cs="Times New Roman"/>
                <w:bCs/>
              </w:rPr>
              <w:t>Dans toute la mesure compatible avec le bon fonctionnement du service, les affectations prononcées doivent tenir compte des demandes formulées par les intéressés et de leur situation de famille. Priorité est donnée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1° Au fonctionnaire séparé de son conjoint pour des raisons professionnelles, au fonctionnaire séparé pour des raisons professionnelles du partenaire avec lequel il est lié par un pacte civil de solidarité lorsqu’ils produisent la preuve qu’ils se soumettent à l’obligation d’imposition commune prévue par le code général des impôts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xml:space="preserve">« 2° Au fonctionnaire en situation de handicap relevant de l’une des catégories mentionnées aux </w:t>
            </w:r>
            <w:r w:rsidRPr="00580B07">
              <w:rPr>
                <w:rFonts w:ascii="Times New Roman" w:hAnsi="Times New Roman" w:cs="Times New Roman"/>
                <w:bCs/>
              </w:rPr>
              <w:lastRenderedPageBreak/>
              <w:t>1°, 2°, 3°, 4°, 9°, 10° et 11° de l’article L. 5212-13 du code du travail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3 Au fonctionnaire qui exerce ses fonctions, pendant une durée et selon des modalités fixées par décret en Conseil d’État, dans un quartier urbain où se posent des problèmes sociaux et de sécurité particulièrement difficiles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4° Au fonctionnaire qui justifie du centre de ses intérêts matériels et moraux dans une des collectivités régies par les articles 73 et 74 de la Constitution ainsi qu’en Nouvelle-Calédonie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xml:space="preserve">« III. </w:t>
            </w:r>
            <w:r w:rsidRPr="00580B07">
              <w:t xml:space="preserve">– </w:t>
            </w:r>
            <w:r w:rsidRPr="00580B07">
              <w:rPr>
                <w:rFonts w:ascii="Times New Roman" w:hAnsi="Times New Roman" w:cs="Times New Roman"/>
                <w:bCs/>
              </w:rPr>
              <w:t>L’autorité compétente peut définir, dans des conditions prévues par décret en Conseil d’Etat, des durées minimales et maximales d’occupation de certains emplois.</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xml:space="preserve">« IV. </w:t>
            </w:r>
            <w:r w:rsidRPr="00580B07">
              <w:t xml:space="preserve">– </w:t>
            </w:r>
            <w:r w:rsidRPr="00580B07">
              <w:rPr>
                <w:rFonts w:ascii="Times New Roman" w:hAnsi="Times New Roman" w:cs="Times New Roman"/>
                <w:bCs/>
              </w:rPr>
              <w:t>L’autorité compétente édicte, dans le respect des priorités énumérées au présent article, et après avis du comité prévu à l’article 15 de la présente loi, des lignes directrices</w:t>
            </w:r>
            <w:r w:rsidR="001B35E7">
              <w:rPr>
                <w:rFonts w:ascii="Times New Roman" w:hAnsi="Times New Roman" w:cs="Times New Roman"/>
                <w:bCs/>
              </w:rPr>
              <w:t xml:space="preserve"> qui fixent les orientations et les grandes priorités en matière de mobilité, de promotion et de valorisation des parcours</w:t>
            </w:r>
            <w:r w:rsidRPr="00580B07">
              <w:rPr>
                <w:rFonts w:ascii="Times New Roman" w:hAnsi="Times New Roman" w:cs="Times New Roman"/>
                <w:bCs/>
              </w:rPr>
              <w:t xml:space="preserve"> </w:t>
            </w:r>
            <w:r w:rsidR="001B35E7">
              <w:rPr>
                <w:rFonts w:ascii="Times New Roman" w:hAnsi="Times New Roman" w:cs="Times New Roman"/>
                <w:bCs/>
              </w:rPr>
              <w:t>sans préjudice de son pouvoir d’appréciation. L’autorité est tenue de faire connaître ces lignes directrices de gestion aux agents.</w:t>
            </w:r>
            <w:r w:rsidRPr="00580B07">
              <w:rPr>
                <w:rFonts w:ascii="Times New Roman" w:hAnsi="Times New Roman" w:cs="Times New Roman"/>
                <w:bCs/>
              </w:rPr>
              <w:t xml:space="preserve"> Un décret en Conseil d’État définit les conditions d’application du présent alinéa.</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Cs/>
              </w:rPr>
              <w:t xml:space="preserve">« V. </w:t>
            </w:r>
            <w:r w:rsidRPr="00580B07">
              <w:t xml:space="preserve">– </w:t>
            </w:r>
            <w:r w:rsidRPr="00580B07">
              <w:rPr>
                <w:rFonts w:ascii="Times New Roman" w:hAnsi="Times New Roman" w:cs="Times New Roman"/>
                <w:bCs/>
              </w:rPr>
              <w:t xml:space="preserve">Dans certaines administrations ou services </w:t>
            </w:r>
            <w:r w:rsidR="00977F26">
              <w:rPr>
                <w:rFonts w:ascii="Times New Roman" w:hAnsi="Times New Roman" w:cs="Times New Roman"/>
                <w:bCs/>
              </w:rPr>
              <w:t xml:space="preserve">recensés </w:t>
            </w:r>
            <w:r w:rsidRPr="00580B07">
              <w:rPr>
                <w:rFonts w:ascii="Times New Roman" w:hAnsi="Times New Roman" w:cs="Times New Roman"/>
                <w:bCs/>
              </w:rPr>
              <w:t xml:space="preserve">par un décret en Conseil d’Etat, les mutations peuvent être prononcées dans le cadre de tableaux périodiques de mutations. Dans les administrations ou services où sont dressés des </w:t>
            </w:r>
            <w:r w:rsidRPr="00580B07">
              <w:rPr>
                <w:rFonts w:ascii="Times New Roman" w:hAnsi="Times New Roman" w:cs="Times New Roman"/>
                <w:bCs/>
              </w:rPr>
              <w:lastRenderedPageBreak/>
              <w:t>tableaux périodiques de mutations, l’autorité compétente peut procéder à un classement préalable des demandes de mutation à l’aide d’un barème rendu public. Le recours à un tel barème constitue une mesure préparatoire et ne se substitue pas à l’examen de la situation individuelle des agents. Ce classement est établi dans le respect des priorités figurant au II du présent article. »</w:t>
            </w:r>
          </w:p>
          <w:p w:rsidR="00580B07" w:rsidRPr="00741CB7" w:rsidRDefault="00580B07" w:rsidP="00580B07">
            <w:pPr>
              <w:jc w:val="both"/>
              <w:rPr>
                <w:rFonts w:ascii="Times New Roman" w:hAnsi="Times New Roman" w:cs="Times New Roman"/>
              </w:rPr>
            </w:pPr>
          </w:p>
          <w:p w:rsidR="00580B07" w:rsidRPr="007A2B61" w:rsidRDefault="00580B07" w:rsidP="00580B07">
            <w:pPr>
              <w:jc w:val="both"/>
              <w:rPr>
                <w:rFonts w:ascii="Times New Roman" w:hAnsi="Times New Roman" w:cs="Times New Roman"/>
              </w:rPr>
            </w:pPr>
          </w:p>
        </w:tc>
        <w:tc>
          <w:tcPr>
            <w:tcW w:w="4665" w:type="dxa"/>
          </w:tcPr>
          <w:p w:rsidR="0058336B" w:rsidRDefault="0058336B" w:rsidP="00580B07">
            <w:pPr>
              <w:ind w:firstLine="66"/>
              <w:jc w:val="both"/>
              <w:rPr>
                <w:rFonts w:ascii="Times New Roman" w:hAnsi="Times New Roman" w:cs="Times New Roman"/>
                <w:b/>
              </w:rPr>
            </w:pPr>
          </w:p>
          <w:p w:rsidR="0058336B" w:rsidRPr="0058336B" w:rsidRDefault="0058336B" w:rsidP="00580B07">
            <w:pPr>
              <w:ind w:firstLine="66"/>
              <w:jc w:val="both"/>
              <w:rPr>
                <w:rFonts w:ascii="Times New Roman" w:hAnsi="Times New Roman" w:cs="Times New Roman"/>
                <w:b/>
              </w:rPr>
            </w:pPr>
            <w:r w:rsidRPr="0058336B">
              <w:rPr>
                <w:rFonts w:ascii="Times New Roman" w:hAnsi="Times New Roman" w:cs="Times New Roman"/>
                <w:b/>
              </w:rPr>
              <w:t>Article 60 de la loi du 11 janvier 1984</w:t>
            </w:r>
          </w:p>
          <w:p w:rsidR="0058336B" w:rsidRDefault="0058336B" w:rsidP="00580B07">
            <w:pPr>
              <w:ind w:firstLine="66"/>
              <w:jc w:val="both"/>
              <w:rPr>
                <w:rFonts w:ascii="Times New Roman" w:hAnsi="Times New Roman" w:cs="Times New Roman"/>
                <w:b/>
              </w:rPr>
            </w:pPr>
          </w:p>
          <w:p w:rsidR="00580B07" w:rsidRPr="00580B07" w:rsidRDefault="00580B07" w:rsidP="00580B07">
            <w:pPr>
              <w:ind w:firstLine="66"/>
              <w:jc w:val="both"/>
              <w:rPr>
                <w:rFonts w:ascii="Times New Roman" w:hAnsi="Times New Roman" w:cs="Times New Roman"/>
              </w:rPr>
            </w:pPr>
            <w:r w:rsidRPr="00580B07">
              <w:rPr>
                <w:rFonts w:ascii="Times New Roman" w:hAnsi="Times New Roman" w:cs="Times New Roman"/>
                <w:b/>
              </w:rPr>
              <w:t xml:space="preserve">I. </w:t>
            </w:r>
            <w:r w:rsidRPr="00580B07">
              <w:rPr>
                <w:b/>
              </w:rPr>
              <w:t xml:space="preserve">– </w:t>
            </w:r>
            <w:r w:rsidRPr="00580B07">
              <w:rPr>
                <w:rFonts w:ascii="Times New Roman" w:hAnsi="Times New Roman" w:cs="Times New Roman"/>
                <w:bCs/>
              </w:rPr>
              <w:t>L’autorité compétente procède aux mutations des fonctionnaires</w:t>
            </w:r>
            <w:r w:rsidR="007F6019">
              <w:rPr>
                <w:rFonts w:ascii="Times New Roman" w:hAnsi="Times New Roman" w:cs="Times New Roman"/>
                <w:bCs/>
              </w:rPr>
              <w:t xml:space="preserve"> </w:t>
            </w:r>
            <w:r w:rsidR="007F6019" w:rsidRPr="007F6019">
              <w:rPr>
                <w:rFonts w:ascii="Times New Roman" w:hAnsi="Times New Roman" w:cs="Times New Roman"/>
                <w:bCs/>
              </w:rPr>
              <w:t>en tenant compte des besoins des services</w:t>
            </w:r>
            <w:r w:rsidRPr="00580B07">
              <w:rPr>
                <w:rFonts w:ascii="Times New Roman" w:hAnsi="Times New Roman" w:cs="Times New Roman"/>
                <w:bCs/>
              </w:rPr>
              <w:t>.</w:t>
            </w:r>
          </w:p>
          <w:p w:rsidR="00580B07" w:rsidRDefault="00580B07" w:rsidP="00580B07">
            <w:pPr>
              <w:ind w:firstLine="66"/>
              <w:jc w:val="both"/>
              <w:rPr>
                <w:rFonts w:ascii="Times New Roman" w:hAnsi="Times New Roman" w:cs="Times New Roman"/>
                <w:bCs/>
              </w:rPr>
            </w:pPr>
          </w:p>
          <w:p w:rsidR="00580B07" w:rsidRPr="00580B07" w:rsidRDefault="00580B07" w:rsidP="00580B07">
            <w:pPr>
              <w:spacing w:before="100" w:after="100"/>
              <w:jc w:val="both"/>
              <w:rPr>
                <w:rFonts w:ascii="Times New Roman" w:hAnsi="Times New Roman" w:cs="Times New Roman"/>
                <w:strike/>
              </w:rPr>
            </w:pPr>
            <w:r w:rsidRPr="00580B07">
              <w:rPr>
                <w:rFonts w:ascii="Times New Roman" w:hAnsi="Times New Roman" w:cs="Times New Roman"/>
                <w:strike/>
              </w:rPr>
              <w:t>Dans les administrations ou services où sont dressés des tableaux périodiques de mutations, l’avis des commissions est donné au moment de l’établissement de ces tableaux.</w:t>
            </w:r>
          </w:p>
          <w:p w:rsidR="00580B07" w:rsidRPr="00580B07" w:rsidRDefault="00580B07" w:rsidP="00580B07">
            <w:pPr>
              <w:spacing w:before="100" w:after="100"/>
              <w:rPr>
                <w:rFonts w:ascii="Times New Roman" w:hAnsi="Times New Roman" w:cs="Times New Roman"/>
                <w:strike/>
              </w:rPr>
            </w:pPr>
            <w:r w:rsidRPr="00580B07">
              <w:rPr>
                <w:rFonts w:ascii="Times New Roman" w:hAnsi="Times New Roman" w:cs="Times New Roman"/>
                <w:strike/>
              </w:rPr>
              <w:t>Toutefois, lorsqu’il n’existe pas de tableaux de mutation, seules les mutations comportant changement de résidence ou modification de la situation de l’intéressé sont soumises à l’avis des commissions.</w:t>
            </w:r>
          </w:p>
          <w:p w:rsidR="00580B07" w:rsidRDefault="00580B07" w:rsidP="00580B07">
            <w:pPr>
              <w:ind w:firstLine="66"/>
              <w:jc w:val="both"/>
              <w:rPr>
                <w:rFonts w:ascii="Times New Roman" w:hAnsi="Times New Roman" w:cs="Times New Roman"/>
                <w:bCs/>
              </w:rPr>
            </w:pPr>
          </w:p>
          <w:p w:rsidR="00580B07" w:rsidRPr="00580B07" w:rsidRDefault="00580B07" w:rsidP="00580B07">
            <w:pPr>
              <w:ind w:firstLine="66"/>
              <w:jc w:val="both"/>
              <w:rPr>
                <w:rFonts w:ascii="Times New Roman" w:hAnsi="Times New Roman" w:cs="Times New Roman"/>
                <w:bCs/>
              </w:rPr>
            </w:pPr>
            <w:r w:rsidRPr="00580B07">
              <w:rPr>
                <w:rFonts w:ascii="Times New Roman" w:hAnsi="Times New Roman" w:cs="Times New Roman"/>
                <w:b/>
                <w:bCs/>
              </w:rPr>
              <w:t xml:space="preserve">II. </w:t>
            </w:r>
            <w:r w:rsidRPr="00580B07">
              <w:rPr>
                <w:b/>
              </w:rPr>
              <w:t>–</w:t>
            </w:r>
            <w:r w:rsidRPr="00580B07">
              <w:t xml:space="preserve"> </w:t>
            </w:r>
            <w:r w:rsidRPr="00580B07">
              <w:rPr>
                <w:rFonts w:ascii="Times New Roman" w:hAnsi="Times New Roman" w:cs="Times New Roman"/>
                <w:bCs/>
              </w:rPr>
              <w:t>Dans toute la mesure compatible avec le bon fonctionnement du service, les affectations prononcées doivent tenir compte des demandes formulées par les intéressés et de leur situation de famille. Priorité est donnée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
                <w:bCs/>
              </w:rPr>
              <w:lastRenderedPageBreak/>
              <w:t>1°</w:t>
            </w:r>
            <w:r w:rsidRPr="00580B07">
              <w:rPr>
                <w:rFonts w:ascii="Times New Roman" w:hAnsi="Times New Roman" w:cs="Times New Roman"/>
                <w:bCs/>
              </w:rPr>
              <w:t xml:space="preserve"> </w:t>
            </w:r>
            <w:r w:rsidRPr="00580B07">
              <w:rPr>
                <w:rFonts w:ascii="Times New Roman" w:hAnsi="Times New Roman" w:cs="Times New Roman"/>
                <w:b/>
                <w:bCs/>
              </w:rPr>
              <w:t>Au fonctionnaire séparé de son</w:t>
            </w:r>
            <w:r w:rsidRPr="00580B07">
              <w:rPr>
                <w:rFonts w:ascii="Times New Roman" w:hAnsi="Times New Roman" w:cs="Times New Roman"/>
                <w:bCs/>
              </w:rPr>
              <w:t xml:space="preserve"> conjoint pour des raisons professionnelles, </w:t>
            </w:r>
            <w:r w:rsidRPr="00580B07">
              <w:rPr>
                <w:rFonts w:ascii="Times New Roman" w:hAnsi="Times New Roman" w:cs="Times New Roman"/>
                <w:b/>
                <w:bCs/>
              </w:rPr>
              <w:t>au fonctionnaire séparé</w:t>
            </w:r>
            <w:r w:rsidRPr="00580B07">
              <w:rPr>
                <w:rFonts w:ascii="Times New Roman" w:hAnsi="Times New Roman" w:cs="Times New Roman"/>
                <w:bCs/>
              </w:rPr>
              <w:t xml:space="preserve"> pour des raisons professionnelles du partenaire avec lequel il est lié par un pacte civil de solidarité lorsqu’ils produisent la preuve qu’ils se soumettent à l’obligation d’imposition commune prévue par le code général des impôts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
                <w:bCs/>
              </w:rPr>
              <w:t>2°</w:t>
            </w:r>
            <w:r w:rsidRPr="00580B07">
              <w:rPr>
                <w:rFonts w:ascii="Times New Roman" w:hAnsi="Times New Roman" w:cs="Times New Roman"/>
                <w:bCs/>
              </w:rPr>
              <w:t xml:space="preserve"> </w:t>
            </w:r>
            <w:r w:rsidRPr="00580B07">
              <w:rPr>
                <w:rFonts w:ascii="Times New Roman" w:hAnsi="Times New Roman" w:cs="Times New Roman"/>
                <w:b/>
                <w:bCs/>
              </w:rPr>
              <w:t>Au fonctionnaire</w:t>
            </w:r>
            <w:r w:rsidRPr="00580B07">
              <w:rPr>
                <w:rFonts w:ascii="Times New Roman" w:hAnsi="Times New Roman" w:cs="Times New Roman"/>
                <w:bCs/>
              </w:rPr>
              <w:t xml:space="preserve"> </w:t>
            </w:r>
            <w:r w:rsidRPr="00580B07">
              <w:rPr>
                <w:rFonts w:ascii="Times New Roman" w:hAnsi="Times New Roman" w:cs="Times New Roman"/>
                <w:b/>
                <w:bCs/>
              </w:rPr>
              <w:t>en situation de handicap</w:t>
            </w:r>
            <w:r w:rsidRPr="00580B07">
              <w:rPr>
                <w:rFonts w:ascii="Times New Roman" w:hAnsi="Times New Roman" w:cs="Times New Roman"/>
                <w:bCs/>
              </w:rPr>
              <w:t xml:space="preserve"> relevant de l’une des catégories mentionnées aux 1°, 2°, 3°, 4°, 9°, 10° et 11° de l’article L. 5212-13 du code du travail ;</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Cs/>
              </w:rPr>
            </w:pPr>
            <w:r w:rsidRPr="00580B07">
              <w:rPr>
                <w:rFonts w:ascii="Times New Roman" w:hAnsi="Times New Roman" w:cs="Times New Roman"/>
                <w:b/>
                <w:bCs/>
              </w:rPr>
              <w:t>3</w:t>
            </w:r>
            <w:r w:rsidR="00275E70" w:rsidRPr="00275E70">
              <w:rPr>
                <w:rFonts w:ascii="Times New Roman" w:hAnsi="Times New Roman" w:cs="Times New Roman"/>
                <w:b/>
                <w:bCs/>
              </w:rPr>
              <w:t>°</w:t>
            </w:r>
            <w:r w:rsidRPr="00580B07">
              <w:rPr>
                <w:rFonts w:ascii="Times New Roman" w:hAnsi="Times New Roman" w:cs="Times New Roman"/>
                <w:bCs/>
              </w:rPr>
              <w:t xml:space="preserve"> </w:t>
            </w:r>
            <w:r w:rsidRPr="00580B07">
              <w:rPr>
                <w:rFonts w:ascii="Times New Roman" w:hAnsi="Times New Roman" w:cs="Times New Roman"/>
                <w:b/>
                <w:bCs/>
              </w:rPr>
              <w:t>Au fonctionnaire qui exerce ses</w:t>
            </w:r>
            <w:r w:rsidRPr="00580B07">
              <w:rPr>
                <w:rFonts w:ascii="Times New Roman" w:hAnsi="Times New Roman" w:cs="Times New Roman"/>
                <w:bCs/>
              </w:rPr>
              <w:t xml:space="preserve"> fonctions, pendant une durée et selon des modalités fixées par décret en Conseil d’État, dans un quartier urbain où se posent des problèmes sociaux et de sécurité particulièrement difficiles ;</w:t>
            </w:r>
          </w:p>
          <w:p w:rsidR="00580B07" w:rsidRPr="00580B07" w:rsidRDefault="00580B07" w:rsidP="00580B07">
            <w:pPr>
              <w:jc w:val="both"/>
              <w:rPr>
                <w:rFonts w:ascii="Times New Roman" w:hAnsi="Times New Roman" w:cs="Times New Roman"/>
                <w:bCs/>
              </w:rPr>
            </w:pPr>
          </w:p>
          <w:p w:rsidR="00275E70" w:rsidRDefault="00580B07" w:rsidP="00275E70">
            <w:pPr>
              <w:spacing w:before="100" w:after="100"/>
              <w:rPr>
                <w:rFonts w:ascii="Times New Roman" w:hAnsi="Times New Roman" w:cs="Times New Roman"/>
                <w:b/>
                <w:bCs/>
              </w:rPr>
            </w:pPr>
            <w:r w:rsidRPr="00580B07">
              <w:rPr>
                <w:rFonts w:ascii="Times New Roman" w:hAnsi="Times New Roman" w:cs="Times New Roman"/>
                <w:b/>
                <w:bCs/>
              </w:rPr>
              <w:t>4°</w:t>
            </w:r>
            <w:r w:rsidRPr="00580B07">
              <w:rPr>
                <w:rFonts w:ascii="Times New Roman" w:hAnsi="Times New Roman" w:cs="Times New Roman"/>
                <w:bCs/>
              </w:rPr>
              <w:t xml:space="preserve"> Au fonctionnaire qui justifie du centre de ses intérêts matériels et moraux dans une des collectivités régies par les articles 73 et 74 de la Constitution ainsi qu’en Nouvelle-Calédonie </w:t>
            </w:r>
            <w:r w:rsidRPr="00580B07">
              <w:rPr>
                <w:rFonts w:ascii="Times New Roman" w:hAnsi="Times New Roman" w:cs="Times New Roman"/>
                <w:b/>
                <w:bCs/>
              </w:rPr>
              <w:t>;</w:t>
            </w:r>
            <w:r w:rsidR="00275E70" w:rsidRPr="00275E70">
              <w:rPr>
                <w:rFonts w:ascii="Times New Roman" w:hAnsi="Times New Roman" w:cs="Times New Roman"/>
                <w:b/>
                <w:bCs/>
              </w:rPr>
              <w:t xml:space="preserve"> </w:t>
            </w:r>
          </w:p>
          <w:p w:rsidR="00275E70" w:rsidRPr="00275E70" w:rsidRDefault="00275E70" w:rsidP="00275E70">
            <w:pPr>
              <w:spacing w:before="100" w:after="100"/>
              <w:rPr>
                <w:rFonts w:ascii="Times New Roman" w:hAnsi="Times New Roman" w:cs="Times New Roman"/>
                <w:strike/>
              </w:rPr>
            </w:pPr>
            <w:r w:rsidRPr="00275E70">
              <w:rPr>
                <w:rFonts w:ascii="Times New Roman" w:hAnsi="Times New Roman" w:cs="Times New Roman"/>
                <w:strike/>
              </w:rPr>
              <w:t>Lorsqu’un service ou une administration ne peut offrir au fonctionnaire affecté sur un emploi supprimé un autre emploi correspondant à son grade, le fonctionnaire bénéficie, sur sa demande, dans des conditions fixées par décret en Conseil d’État, d’une priorité d’affectation sur tout emploi correspondant à son grade et vacant dans un service ou une administration situé dans la même zone géographique, après avis de la commission administrative paritaire compétente.</w:t>
            </w:r>
          </w:p>
          <w:p w:rsidR="00275E70" w:rsidRPr="00275E70" w:rsidRDefault="00275E70" w:rsidP="00275E70">
            <w:pPr>
              <w:spacing w:before="100" w:after="100"/>
              <w:rPr>
                <w:rFonts w:ascii="Times New Roman" w:hAnsi="Times New Roman" w:cs="Times New Roman"/>
                <w:strike/>
              </w:rPr>
            </w:pPr>
            <w:r w:rsidRPr="00275E70">
              <w:rPr>
                <w:rFonts w:ascii="Times New Roman" w:hAnsi="Times New Roman" w:cs="Times New Roman"/>
                <w:strike/>
              </w:rPr>
              <w:t xml:space="preserve">Dans le cas où il s’agit de remplir une vacance d’emploi compromettant le fonctionnement du </w:t>
            </w:r>
            <w:r w:rsidRPr="00275E70">
              <w:rPr>
                <w:rFonts w:ascii="Times New Roman" w:hAnsi="Times New Roman" w:cs="Times New Roman"/>
                <w:strike/>
              </w:rPr>
              <w:lastRenderedPageBreak/>
              <w:t>service et à laquelle il n’est pas possible de pourvoir par un autre moyen, même provisoirement, la mutation peut être prononcée sous réserve d’examen ultérieur par la commission compétente.</w:t>
            </w:r>
          </w:p>
          <w:p w:rsidR="00580B07" w:rsidRPr="00580B07" w:rsidRDefault="00580B07" w:rsidP="00580B07">
            <w:pPr>
              <w:jc w:val="both"/>
              <w:rPr>
                <w:rFonts w:ascii="Times New Roman" w:hAnsi="Times New Roman" w:cs="Times New Roman"/>
                <w:bCs/>
              </w:rPr>
            </w:pPr>
          </w:p>
          <w:p w:rsidR="00580B07" w:rsidRPr="00580B07" w:rsidRDefault="00580B07" w:rsidP="00580B07">
            <w:pPr>
              <w:jc w:val="both"/>
              <w:rPr>
                <w:rFonts w:ascii="Times New Roman" w:hAnsi="Times New Roman" w:cs="Times New Roman"/>
                <w:b/>
                <w:bCs/>
              </w:rPr>
            </w:pPr>
            <w:r w:rsidRPr="00580B07">
              <w:rPr>
                <w:rFonts w:ascii="Times New Roman" w:hAnsi="Times New Roman" w:cs="Times New Roman"/>
                <w:b/>
                <w:bCs/>
              </w:rPr>
              <w:t xml:space="preserve">III. </w:t>
            </w:r>
            <w:r w:rsidRPr="00580B07">
              <w:rPr>
                <w:b/>
              </w:rPr>
              <w:t xml:space="preserve">– </w:t>
            </w:r>
            <w:r w:rsidRPr="00580B07">
              <w:rPr>
                <w:rFonts w:ascii="Times New Roman" w:hAnsi="Times New Roman" w:cs="Times New Roman"/>
                <w:b/>
                <w:bCs/>
              </w:rPr>
              <w:t>L’autorité compétente peut définir, dans des conditions prévues par décret en Conseil d’Etat, des durées minimales et maximales d’occupation de certains emplois.</w:t>
            </w:r>
          </w:p>
          <w:p w:rsidR="00580B07" w:rsidRPr="00580B07" w:rsidRDefault="00580B07" w:rsidP="00580B07">
            <w:pPr>
              <w:jc w:val="both"/>
              <w:rPr>
                <w:rFonts w:ascii="Times New Roman" w:hAnsi="Times New Roman" w:cs="Times New Roman"/>
                <w:bCs/>
              </w:rPr>
            </w:pPr>
          </w:p>
          <w:p w:rsidR="00580B07" w:rsidRPr="001B35E7" w:rsidRDefault="001B35E7" w:rsidP="00580B07">
            <w:pPr>
              <w:jc w:val="both"/>
              <w:rPr>
                <w:rFonts w:ascii="Times New Roman" w:hAnsi="Times New Roman" w:cs="Times New Roman"/>
                <w:b/>
                <w:bCs/>
              </w:rPr>
            </w:pPr>
            <w:r w:rsidRPr="001B35E7">
              <w:rPr>
                <w:rFonts w:ascii="Times New Roman" w:hAnsi="Times New Roman" w:cs="Times New Roman"/>
                <w:b/>
                <w:bCs/>
              </w:rPr>
              <w:t xml:space="preserve">IV. </w:t>
            </w:r>
            <w:r w:rsidRPr="001B35E7">
              <w:rPr>
                <w:b/>
              </w:rPr>
              <w:t xml:space="preserve">– </w:t>
            </w:r>
            <w:r w:rsidRPr="001B35E7">
              <w:rPr>
                <w:rFonts w:ascii="Times New Roman" w:hAnsi="Times New Roman" w:cs="Times New Roman"/>
                <w:b/>
                <w:bCs/>
              </w:rPr>
              <w:t>L’autorité compétente édicte, dans le respect des priorités énumérées au présent article, et après avis du comité prévu à l’article 15 de la présente loi, des lignes directrices qui fixent les orientations et les grandes priorités en matière de mobilité, de promotion et de valorisation des parcours sans préjudice de son pouvoir d’appréciation. L’autorité est tenue de faire connaître ces lignes directrices de gestion aux agents. Un décret en Conseil d’État définit les conditions d’application du présent alinéa.</w:t>
            </w:r>
          </w:p>
          <w:p w:rsidR="001B35E7" w:rsidRPr="00580B07" w:rsidRDefault="001B35E7" w:rsidP="00580B07">
            <w:pPr>
              <w:jc w:val="both"/>
              <w:rPr>
                <w:rFonts w:ascii="Times New Roman" w:hAnsi="Times New Roman" w:cs="Times New Roman"/>
                <w:bCs/>
              </w:rPr>
            </w:pPr>
          </w:p>
          <w:p w:rsidR="00580B07" w:rsidRPr="0058336B" w:rsidRDefault="00580B07" w:rsidP="00977F26">
            <w:pPr>
              <w:jc w:val="both"/>
              <w:rPr>
                <w:rFonts w:ascii="Times New Roman" w:hAnsi="Times New Roman" w:cs="Times New Roman"/>
                <w:bCs/>
              </w:rPr>
            </w:pPr>
            <w:r w:rsidRPr="00580B07">
              <w:rPr>
                <w:rFonts w:ascii="Times New Roman" w:hAnsi="Times New Roman" w:cs="Times New Roman"/>
                <w:b/>
                <w:bCs/>
              </w:rPr>
              <w:t xml:space="preserve">V. </w:t>
            </w:r>
            <w:r w:rsidRPr="00580B07">
              <w:rPr>
                <w:b/>
              </w:rPr>
              <w:t xml:space="preserve">– </w:t>
            </w:r>
            <w:r w:rsidRPr="00580B07">
              <w:rPr>
                <w:rFonts w:ascii="Times New Roman" w:hAnsi="Times New Roman" w:cs="Times New Roman"/>
                <w:b/>
                <w:bCs/>
              </w:rPr>
              <w:t xml:space="preserve">Dans certaines administrations ou services </w:t>
            </w:r>
            <w:r w:rsidR="00977F26">
              <w:rPr>
                <w:rFonts w:ascii="Times New Roman" w:hAnsi="Times New Roman" w:cs="Times New Roman"/>
                <w:b/>
                <w:bCs/>
              </w:rPr>
              <w:t xml:space="preserve">recensés </w:t>
            </w:r>
            <w:r w:rsidRPr="00580B07">
              <w:rPr>
                <w:rFonts w:ascii="Times New Roman" w:hAnsi="Times New Roman" w:cs="Times New Roman"/>
                <w:b/>
                <w:bCs/>
              </w:rPr>
              <w:t>par un décret en Conseil d’Etat, les mutations peuvent être prononcées dans le cadre de tableaux périodiques de mutations. Dans les administrations ou services où sont dressés des tableaux périodiques de mutations</w:t>
            </w:r>
            <w:r w:rsidRPr="00580B07">
              <w:rPr>
                <w:rFonts w:ascii="Times New Roman" w:hAnsi="Times New Roman" w:cs="Times New Roman"/>
                <w:bCs/>
              </w:rPr>
              <w:t xml:space="preserve">, l’autorité compétente peut procéder à un classement préalable des demandes de mutation à l’aide d’un barème rendu public. Le recours à un tel barème constitue une mesure préparatoire et ne se substitue pas à l’examen de la situation individuelle des agents. </w:t>
            </w:r>
            <w:r w:rsidRPr="00580B07">
              <w:rPr>
                <w:rFonts w:ascii="Times New Roman" w:hAnsi="Times New Roman" w:cs="Times New Roman"/>
                <w:b/>
                <w:bCs/>
              </w:rPr>
              <w:t xml:space="preserve">Ce classement est établi </w:t>
            </w:r>
            <w:r w:rsidRPr="00580B07">
              <w:rPr>
                <w:rFonts w:ascii="Times New Roman" w:hAnsi="Times New Roman" w:cs="Times New Roman"/>
                <w:b/>
                <w:bCs/>
              </w:rPr>
              <w:lastRenderedPageBreak/>
              <w:t>dans le respect des priorités figurant au II du présent article</w:t>
            </w:r>
            <w:r w:rsidRPr="00580B07">
              <w:rPr>
                <w:rFonts w:ascii="Times New Roman" w:hAnsi="Times New Roman" w:cs="Times New Roman"/>
                <w:bCs/>
              </w:rPr>
              <w:t>. »</w:t>
            </w:r>
          </w:p>
        </w:tc>
      </w:tr>
      <w:tr w:rsidR="00580B07" w:rsidRPr="007A2B61" w:rsidTr="00046ADA">
        <w:tc>
          <w:tcPr>
            <w:tcW w:w="4664" w:type="dxa"/>
          </w:tcPr>
          <w:p w:rsidR="00275E70" w:rsidRPr="00275E70" w:rsidRDefault="00275E70" w:rsidP="00046ADA">
            <w:pPr>
              <w:spacing w:before="100" w:after="100"/>
              <w:rPr>
                <w:rFonts w:ascii="Times New Roman" w:hAnsi="Times New Roman" w:cs="Times New Roman"/>
                <w:b/>
              </w:rPr>
            </w:pPr>
            <w:r w:rsidRPr="00275E70">
              <w:rPr>
                <w:rFonts w:ascii="Times New Roman" w:hAnsi="Times New Roman" w:cs="Times New Roman"/>
                <w:b/>
              </w:rPr>
              <w:lastRenderedPageBreak/>
              <w:t>Article 62 de la loi n°84-16</w:t>
            </w:r>
          </w:p>
          <w:p w:rsidR="00275E70" w:rsidRDefault="00275E70" w:rsidP="00046ADA">
            <w:pPr>
              <w:spacing w:before="100" w:after="100"/>
              <w:rPr>
                <w:rFonts w:ascii="Times New Roman" w:hAnsi="Times New Roman" w:cs="Times New Roman"/>
              </w:rPr>
            </w:pPr>
          </w:p>
          <w:p w:rsidR="00580B07" w:rsidRPr="00530304" w:rsidRDefault="00580B07" w:rsidP="00046ADA">
            <w:pPr>
              <w:spacing w:before="100" w:after="100"/>
              <w:rPr>
                <w:rFonts w:ascii="Times New Roman" w:hAnsi="Times New Roman" w:cs="Times New Roman"/>
              </w:rPr>
            </w:pPr>
            <w:r w:rsidRPr="00530304">
              <w:rPr>
                <w:rFonts w:ascii="Times New Roman" w:hAnsi="Times New Roman" w:cs="Times New Roman"/>
              </w:rPr>
              <w:t>Si les possibilités de mutation sont insuffisantes dans leurs corps, les fonctionnaires séparés de leur conjoint pour des raisons professionnelles, les fonctionnaires séparés pour des raisons professionnelles du partenaire avec lequel ils sont liés par un pacte civil de solidarité et les fonctionnaires handicapés relevant de l</w:t>
            </w:r>
            <w:r>
              <w:rPr>
                <w:rFonts w:ascii="Times New Roman" w:hAnsi="Times New Roman" w:cs="Times New Roman"/>
              </w:rPr>
              <w:t>’</w:t>
            </w:r>
            <w:r w:rsidRPr="00530304">
              <w:rPr>
                <w:rFonts w:ascii="Times New Roman" w:hAnsi="Times New Roman" w:cs="Times New Roman"/>
              </w:rPr>
              <w:t>une des catégories visées aux 1°, 2°, 3°, 4°, 9°, 10° et 11° de l</w:t>
            </w:r>
            <w:r>
              <w:rPr>
                <w:rFonts w:ascii="Times New Roman" w:hAnsi="Times New Roman" w:cs="Times New Roman"/>
              </w:rPr>
              <w:t>’</w:t>
            </w:r>
            <w:r w:rsidRPr="00530304">
              <w:rPr>
                <w:rFonts w:ascii="Times New Roman" w:hAnsi="Times New Roman" w:cs="Times New Roman"/>
              </w:rPr>
              <w:t>article L. 5212-13 du code du travail peuvent, dans toute la mesure compatible avec les nécessités de fonctionnement du service, compte tenu de leur situation particulière, bénéficier, en priorité, du détachement défini à l</w:t>
            </w:r>
            <w:r>
              <w:rPr>
                <w:rFonts w:ascii="Times New Roman" w:hAnsi="Times New Roman" w:cs="Times New Roman"/>
              </w:rPr>
              <w:t>’</w:t>
            </w:r>
            <w:r w:rsidRPr="00530304">
              <w:rPr>
                <w:rFonts w:ascii="Times New Roman" w:hAnsi="Times New Roman" w:cs="Times New Roman"/>
              </w:rPr>
              <w:t>article 45 et de l</w:t>
            </w:r>
            <w:r>
              <w:rPr>
                <w:rFonts w:ascii="Times New Roman" w:hAnsi="Times New Roman" w:cs="Times New Roman"/>
              </w:rPr>
              <w:t>’</w:t>
            </w:r>
            <w:r w:rsidRPr="00530304">
              <w:rPr>
                <w:rFonts w:ascii="Times New Roman" w:hAnsi="Times New Roman" w:cs="Times New Roman"/>
              </w:rPr>
              <w:t>intégration directe définie à l</w:t>
            </w:r>
            <w:r>
              <w:rPr>
                <w:rFonts w:ascii="Times New Roman" w:hAnsi="Times New Roman" w:cs="Times New Roman"/>
              </w:rPr>
              <w:t>’</w:t>
            </w:r>
            <w:r w:rsidRPr="00530304">
              <w:rPr>
                <w:rFonts w:ascii="Times New Roman" w:hAnsi="Times New Roman" w:cs="Times New Roman"/>
              </w:rPr>
              <w:t>article 63 bis du présent titre et, le cas échéant, de la mise à disposition définie à l</w:t>
            </w:r>
            <w:r>
              <w:rPr>
                <w:rFonts w:ascii="Times New Roman" w:hAnsi="Times New Roman" w:cs="Times New Roman"/>
              </w:rPr>
              <w:t>’</w:t>
            </w:r>
            <w:r w:rsidRPr="00530304">
              <w:rPr>
                <w:rFonts w:ascii="Times New Roman" w:hAnsi="Times New Roman" w:cs="Times New Roman"/>
              </w:rPr>
              <w:t>article 41 de ce même titre.</w:t>
            </w:r>
          </w:p>
          <w:p w:rsidR="00580B07" w:rsidRPr="007A2B61" w:rsidRDefault="00580B07" w:rsidP="00046ADA">
            <w:pPr>
              <w:spacing w:before="100" w:after="100"/>
              <w:rPr>
                <w:rFonts w:ascii="Times New Roman" w:hAnsi="Times New Roman" w:cs="Times New Roman"/>
              </w:rPr>
            </w:pPr>
            <w:r w:rsidRPr="00530304">
              <w:rPr>
                <w:rFonts w:ascii="Times New Roman" w:hAnsi="Times New Roman" w:cs="Times New Roman"/>
              </w:rPr>
              <w:t>Le premier alinéa du présent article est également applicable lorsqu</w:t>
            </w:r>
            <w:r>
              <w:rPr>
                <w:rFonts w:ascii="Times New Roman" w:hAnsi="Times New Roman" w:cs="Times New Roman"/>
              </w:rPr>
              <w:t>’</w:t>
            </w:r>
            <w:r w:rsidRPr="00530304">
              <w:rPr>
                <w:rFonts w:ascii="Times New Roman" w:hAnsi="Times New Roman" w:cs="Times New Roman"/>
              </w:rPr>
              <w:t>un service ou une administration ne peut offrir au fonctionnaire affecté sur un emploi supprimé un autre emploi correspondant à son grade. Dans ce cas, le fonctionnaire bénéficie, sur sa demande, dans des conditions et limites fixées par décret en Conseil d</w:t>
            </w:r>
            <w:r>
              <w:rPr>
                <w:rFonts w:ascii="Times New Roman" w:hAnsi="Times New Roman" w:cs="Times New Roman"/>
              </w:rPr>
              <w:t>’</w:t>
            </w:r>
            <w:r w:rsidRPr="00530304">
              <w:rPr>
                <w:rFonts w:ascii="Times New Roman" w:hAnsi="Times New Roman" w:cs="Times New Roman"/>
              </w:rPr>
              <w:t>État, d</w:t>
            </w:r>
            <w:r>
              <w:rPr>
                <w:rFonts w:ascii="Times New Roman" w:hAnsi="Times New Roman" w:cs="Times New Roman"/>
              </w:rPr>
              <w:t>’</w:t>
            </w:r>
            <w:r w:rsidRPr="00530304">
              <w:rPr>
                <w:rFonts w:ascii="Times New Roman" w:hAnsi="Times New Roman" w:cs="Times New Roman"/>
              </w:rPr>
              <w:t xml:space="preserve">une priorité de détachement sur tout emploi correspondant à son grade et vacant dans un service ou une administration situé dans la même zone géographique, après avis de la commission administrative paritaire compétente. </w:t>
            </w:r>
          </w:p>
        </w:tc>
        <w:tc>
          <w:tcPr>
            <w:tcW w:w="4665" w:type="dxa"/>
          </w:tcPr>
          <w:p w:rsidR="00275E70" w:rsidRPr="00275E70" w:rsidRDefault="00275E70" w:rsidP="00275E70">
            <w:pPr>
              <w:jc w:val="both"/>
              <w:rPr>
                <w:rFonts w:ascii="Times New Roman" w:hAnsi="Times New Roman" w:cs="Times New Roman"/>
                <w:bCs/>
              </w:rPr>
            </w:pPr>
            <w:r w:rsidRPr="00275E70">
              <w:rPr>
                <w:rFonts w:ascii="Times New Roman" w:hAnsi="Times New Roman" w:cs="Times New Roman"/>
              </w:rPr>
              <w:t xml:space="preserve">II. </w:t>
            </w:r>
            <w:r w:rsidRPr="00275E70">
              <w:t xml:space="preserve">– </w:t>
            </w:r>
            <w:r w:rsidRPr="00275E70">
              <w:rPr>
                <w:rFonts w:ascii="Times New Roman" w:hAnsi="Times New Roman" w:cs="Times New Roman"/>
                <w:bCs/>
              </w:rPr>
              <w:t>Le deuxième alinéa de l’article 62</w:t>
            </w:r>
            <w:r w:rsidRPr="00275E70">
              <w:rPr>
                <w:rFonts w:ascii="Times New Roman" w:hAnsi="Times New Roman" w:cs="Times New Roman"/>
              </w:rPr>
              <w:t xml:space="preserve"> </w:t>
            </w:r>
            <w:r w:rsidRPr="00275E70">
              <w:rPr>
                <w:rFonts w:ascii="Times New Roman" w:hAnsi="Times New Roman" w:cs="Times New Roman"/>
                <w:bCs/>
              </w:rPr>
              <w:t>est supprimé.</w:t>
            </w:r>
          </w:p>
          <w:p w:rsidR="00275E70" w:rsidRDefault="00275E70" w:rsidP="00046ADA">
            <w:pPr>
              <w:spacing w:before="100" w:after="100"/>
              <w:rPr>
                <w:rFonts w:ascii="Times New Roman" w:hAnsi="Times New Roman" w:cs="Times New Roman"/>
              </w:rPr>
            </w:pPr>
          </w:p>
          <w:p w:rsidR="00275E70" w:rsidRDefault="00275E70" w:rsidP="00046ADA">
            <w:pPr>
              <w:spacing w:before="100" w:after="100"/>
              <w:rPr>
                <w:rFonts w:ascii="Times New Roman" w:hAnsi="Times New Roman" w:cs="Times New Roman"/>
              </w:rPr>
            </w:pPr>
          </w:p>
          <w:p w:rsidR="00580B07" w:rsidRPr="00956A3E" w:rsidRDefault="00580B07" w:rsidP="00046ADA">
            <w:pPr>
              <w:spacing w:before="100" w:after="100"/>
              <w:rPr>
                <w:rFonts w:ascii="Times New Roman" w:hAnsi="Times New Roman" w:cs="Times New Roman"/>
                <w:strike/>
              </w:rPr>
            </w:pPr>
          </w:p>
        </w:tc>
        <w:tc>
          <w:tcPr>
            <w:tcW w:w="4665" w:type="dxa"/>
          </w:tcPr>
          <w:p w:rsidR="00275E70" w:rsidRPr="00275E70" w:rsidRDefault="00275E70" w:rsidP="00275E70">
            <w:pPr>
              <w:spacing w:before="100" w:after="100"/>
              <w:rPr>
                <w:rFonts w:ascii="Times New Roman" w:hAnsi="Times New Roman" w:cs="Times New Roman"/>
                <w:b/>
              </w:rPr>
            </w:pPr>
            <w:r w:rsidRPr="00275E70">
              <w:rPr>
                <w:rFonts w:ascii="Times New Roman" w:hAnsi="Times New Roman" w:cs="Times New Roman"/>
                <w:b/>
              </w:rPr>
              <w:t>Article 62 de la loi n°84-16</w:t>
            </w:r>
          </w:p>
          <w:p w:rsidR="00580B07" w:rsidRDefault="00580B07" w:rsidP="00046ADA">
            <w:pPr>
              <w:spacing w:before="100" w:after="100"/>
              <w:rPr>
                <w:rFonts w:ascii="Times New Roman" w:hAnsi="Times New Roman" w:cs="Times New Roman"/>
              </w:rPr>
            </w:pPr>
          </w:p>
          <w:p w:rsidR="00275E70" w:rsidRPr="00530304" w:rsidRDefault="00275E70" w:rsidP="00275E70">
            <w:pPr>
              <w:spacing w:before="100" w:after="100"/>
              <w:rPr>
                <w:rFonts w:ascii="Times New Roman" w:hAnsi="Times New Roman" w:cs="Times New Roman"/>
              </w:rPr>
            </w:pPr>
            <w:r w:rsidRPr="00530304">
              <w:rPr>
                <w:rFonts w:ascii="Times New Roman" w:hAnsi="Times New Roman" w:cs="Times New Roman"/>
              </w:rPr>
              <w:t>Si les possibilités de mutation sont insuffisantes dans leurs corps, les fonctionnaires séparés de leur conjoint pour des raisons professionnelles, les fonctionnaires séparés pour des raisons professionnelles du partenaire avec lequel ils sont liés par un pacte civil de solidarité et les fonctionnaires handicapés relevant de l</w:t>
            </w:r>
            <w:r>
              <w:rPr>
                <w:rFonts w:ascii="Times New Roman" w:hAnsi="Times New Roman" w:cs="Times New Roman"/>
              </w:rPr>
              <w:t>’</w:t>
            </w:r>
            <w:r w:rsidRPr="00530304">
              <w:rPr>
                <w:rFonts w:ascii="Times New Roman" w:hAnsi="Times New Roman" w:cs="Times New Roman"/>
              </w:rPr>
              <w:t>une des catégories visées aux 1°, 2°, 3°, 4°, 9°, 10° et 11° de l</w:t>
            </w:r>
            <w:r>
              <w:rPr>
                <w:rFonts w:ascii="Times New Roman" w:hAnsi="Times New Roman" w:cs="Times New Roman"/>
              </w:rPr>
              <w:t>’</w:t>
            </w:r>
            <w:r w:rsidRPr="00530304">
              <w:rPr>
                <w:rFonts w:ascii="Times New Roman" w:hAnsi="Times New Roman" w:cs="Times New Roman"/>
              </w:rPr>
              <w:t>article L. 5212-13 du code du travail peuvent, dans toute la mesure compatible avec les nécessités de fonctionnement du service, compte tenu de leur situation particulière, bénéficier, en priorité, du détachement défini à l</w:t>
            </w:r>
            <w:r>
              <w:rPr>
                <w:rFonts w:ascii="Times New Roman" w:hAnsi="Times New Roman" w:cs="Times New Roman"/>
              </w:rPr>
              <w:t>’</w:t>
            </w:r>
            <w:r w:rsidRPr="00530304">
              <w:rPr>
                <w:rFonts w:ascii="Times New Roman" w:hAnsi="Times New Roman" w:cs="Times New Roman"/>
              </w:rPr>
              <w:t>article 45 et de l</w:t>
            </w:r>
            <w:r>
              <w:rPr>
                <w:rFonts w:ascii="Times New Roman" w:hAnsi="Times New Roman" w:cs="Times New Roman"/>
              </w:rPr>
              <w:t>’</w:t>
            </w:r>
            <w:r w:rsidRPr="00530304">
              <w:rPr>
                <w:rFonts w:ascii="Times New Roman" w:hAnsi="Times New Roman" w:cs="Times New Roman"/>
              </w:rPr>
              <w:t>intégration directe définie à l</w:t>
            </w:r>
            <w:r>
              <w:rPr>
                <w:rFonts w:ascii="Times New Roman" w:hAnsi="Times New Roman" w:cs="Times New Roman"/>
              </w:rPr>
              <w:t>’</w:t>
            </w:r>
            <w:r w:rsidRPr="00530304">
              <w:rPr>
                <w:rFonts w:ascii="Times New Roman" w:hAnsi="Times New Roman" w:cs="Times New Roman"/>
              </w:rPr>
              <w:t>article 63 bis du présent titre et, le cas échéant, de la mise à disposition définie à l</w:t>
            </w:r>
            <w:r>
              <w:rPr>
                <w:rFonts w:ascii="Times New Roman" w:hAnsi="Times New Roman" w:cs="Times New Roman"/>
              </w:rPr>
              <w:t>’</w:t>
            </w:r>
            <w:r w:rsidRPr="00530304">
              <w:rPr>
                <w:rFonts w:ascii="Times New Roman" w:hAnsi="Times New Roman" w:cs="Times New Roman"/>
              </w:rPr>
              <w:t>article 41 de ce même titre.</w:t>
            </w:r>
          </w:p>
          <w:p w:rsidR="00275E70" w:rsidRPr="007A2B61" w:rsidRDefault="00275E70" w:rsidP="00275E70">
            <w:pPr>
              <w:spacing w:before="100" w:after="100"/>
              <w:rPr>
                <w:rFonts w:ascii="Times New Roman" w:hAnsi="Times New Roman" w:cs="Times New Roman"/>
              </w:rPr>
            </w:pPr>
            <w:r w:rsidRPr="00956A3E">
              <w:rPr>
                <w:rFonts w:ascii="Times New Roman" w:hAnsi="Times New Roman" w:cs="Times New Roman"/>
                <w:strike/>
              </w:rPr>
              <w:t>Le premier alinéa du présent article est également applicable lorsqu’un service ou une administration ne peut offrir au fonctionnaire affecté sur un emploi supprimé un autre emploi correspondant à son grade. Dans ce cas, le fonctionnaire bénéficie, sur sa demande, dans des conditions et limites fixées par décret en Conseil d’État, d’une priorité de détachement sur tout emploi correspondant à son grade et vacant dans un service ou une administration situé dans la même zone géographique, après avis de la commission administrative paritaire compétente.</w:t>
            </w:r>
          </w:p>
        </w:tc>
      </w:tr>
    </w:tbl>
    <w:p w:rsidR="0055651C" w:rsidRDefault="0055651C"/>
    <w:sectPr w:rsidR="0055651C" w:rsidSect="00211B18">
      <w:pgSz w:w="16838" w:h="11906" w:orient="landscape"/>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07"/>
    <w:rsid w:val="001B35E7"/>
    <w:rsid w:val="00275E70"/>
    <w:rsid w:val="0055651C"/>
    <w:rsid w:val="00580B07"/>
    <w:rsid w:val="0058336B"/>
    <w:rsid w:val="007F6019"/>
    <w:rsid w:val="00941905"/>
    <w:rsid w:val="00977F26"/>
    <w:rsid w:val="009F2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5C071-4997-4AA1-B1C5-302B459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07"/>
  </w:style>
  <w:style w:type="paragraph" w:styleId="Titre2">
    <w:name w:val="heading 2"/>
    <w:basedOn w:val="Normal"/>
    <w:next w:val="Normal"/>
    <w:link w:val="Titre2Car"/>
    <w:uiPriority w:val="9"/>
    <w:unhideWhenUsed/>
    <w:qFormat/>
    <w:rsid w:val="00580B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80B07"/>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58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1934</Words>
  <Characters>10639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2</cp:revision>
  <dcterms:created xsi:type="dcterms:W3CDTF">2019-02-11T16:53:00Z</dcterms:created>
  <dcterms:modified xsi:type="dcterms:W3CDTF">2019-02-11T16:53:00Z</dcterms:modified>
</cp:coreProperties>
</file>