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8E" w:rsidRPr="005502F4" w:rsidRDefault="005502F4">
      <w:pPr>
        <w:jc w:val="center"/>
        <w:rPr>
          <w:b/>
          <w:sz w:val="20"/>
          <w:szCs w:val="20"/>
        </w:rPr>
      </w:pPr>
      <w:r w:rsidRPr="005502F4">
        <w:rPr>
          <w:b/>
          <w:color w:val="000000"/>
          <w:sz w:val="20"/>
          <w:szCs w:val="20"/>
        </w:rPr>
        <w:t>Régime indemnitaire tenant compte des fonctions, des sujétions, de l'expertise et de l'engagement professionnel</w:t>
      </w:r>
    </w:p>
    <w:p w:rsidR="0086158E" w:rsidRPr="00933853" w:rsidRDefault="00933853">
      <w:pPr>
        <w:jc w:val="center"/>
        <w:rPr>
          <w:sz w:val="24"/>
          <w:szCs w:val="24"/>
        </w:rPr>
      </w:pPr>
      <w:r w:rsidRPr="00933853">
        <w:rPr>
          <w:b/>
          <w:sz w:val="24"/>
          <w:szCs w:val="24"/>
        </w:rPr>
        <w:t xml:space="preserve">Document de travail préparatoire au groupe de travail </w:t>
      </w:r>
      <w:r w:rsidR="005502F4" w:rsidRPr="00933853">
        <w:rPr>
          <w:b/>
          <w:sz w:val="24"/>
          <w:szCs w:val="24"/>
        </w:rPr>
        <w:t>RIFSEEP</w:t>
      </w:r>
    </w:p>
    <w:p w:rsidR="0086158E" w:rsidRPr="00933853" w:rsidRDefault="00DE2C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Organisations syndicales </w:t>
      </w:r>
      <w:r w:rsidR="00933853" w:rsidRPr="00933853">
        <w:rPr>
          <w:b/>
          <w:sz w:val="24"/>
          <w:szCs w:val="24"/>
        </w:rPr>
        <w:t>/ SRH du 2</w:t>
      </w:r>
      <w:r>
        <w:rPr>
          <w:b/>
          <w:sz w:val="24"/>
          <w:szCs w:val="24"/>
        </w:rPr>
        <w:t>0</w:t>
      </w:r>
      <w:r w:rsidR="00933853" w:rsidRPr="00933853">
        <w:rPr>
          <w:b/>
          <w:sz w:val="24"/>
          <w:szCs w:val="24"/>
        </w:rPr>
        <w:t xml:space="preserve"> mai 2016</w:t>
      </w:r>
    </w:p>
    <w:p w:rsidR="0086158E" w:rsidRDefault="00933853">
      <w:pPr>
        <w:pStyle w:val="western"/>
        <w:jc w:val="both"/>
        <w:rPr>
          <w:b/>
          <w:color w:val="000000"/>
        </w:rPr>
      </w:pPr>
      <w:proofErr w:type="gramStart"/>
      <w:r w:rsidRPr="00EB053C">
        <w:rPr>
          <w:b/>
          <w:color w:val="000000"/>
          <w:u w:val="single"/>
        </w:rPr>
        <w:t>Référence</w:t>
      </w:r>
      <w:r>
        <w:rPr>
          <w:b/>
          <w:color w:val="000000"/>
          <w:u w:val="single"/>
        </w:rPr>
        <w:t>s</w:t>
      </w:r>
      <w:proofErr w:type="gramEnd"/>
      <w:r>
        <w:rPr>
          <w:b/>
          <w:color w:val="000000"/>
        </w:rPr>
        <w:t xml:space="preserve"> : 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 xml:space="preserve">Décret n° 2014-513 du 20 mai 2014 portant création du RIFSEEP 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>Circulaire du 5 décembre 2014 relative à la mise en œuvre du RIFSEEP</w:t>
      </w:r>
    </w:p>
    <w:p w:rsidR="0086158E" w:rsidRDefault="00933853">
      <w:pPr>
        <w:pStyle w:val="western"/>
        <w:numPr>
          <w:ilvl w:val="0"/>
          <w:numId w:val="1"/>
        </w:numPr>
        <w:jc w:val="both"/>
      </w:pPr>
      <w:r>
        <w:t>Arrêté du 27 août 2015 listant les primes cumulables avec le RIFSEEP</w:t>
      </w:r>
    </w:p>
    <w:p w:rsidR="00201461" w:rsidRDefault="00201461" w:rsidP="00201461">
      <w:pPr>
        <w:pStyle w:val="western"/>
        <w:jc w:val="both"/>
        <w:rPr>
          <w:b/>
          <w:color w:val="000000"/>
        </w:rPr>
      </w:pPr>
      <w:r w:rsidRPr="00EB053C">
        <w:rPr>
          <w:b/>
          <w:color w:val="000000"/>
          <w:u w:val="single"/>
        </w:rPr>
        <w:t>Calendrier prévisionnel</w:t>
      </w:r>
      <w:r>
        <w:rPr>
          <w:b/>
          <w:color w:val="000000"/>
        </w:rPr>
        <w:t> :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Fin des travaux préparatoires  SRH/AE : mi-mai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Echanges avec les </w:t>
      </w:r>
      <w:r w:rsidR="00F714CB">
        <w:rPr>
          <w:color w:val="000000"/>
        </w:rPr>
        <w:t>organisations syndicales</w:t>
      </w:r>
      <w:r w:rsidRPr="005502F4">
        <w:rPr>
          <w:color w:val="000000"/>
        </w:rPr>
        <w:t xml:space="preserve"> : </w:t>
      </w:r>
      <w:r w:rsidR="00F714CB">
        <w:rPr>
          <w:color w:val="000000"/>
        </w:rPr>
        <w:t>mai/juin</w:t>
      </w:r>
      <w:r w:rsidRPr="005502F4">
        <w:rPr>
          <w:color w:val="000000"/>
        </w:rPr>
        <w:t xml:space="preserve">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Envoi du dossier </w:t>
      </w:r>
      <w:r w:rsidR="003D2619">
        <w:rPr>
          <w:color w:val="000000"/>
        </w:rPr>
        <w:t xml:space="preserve">d’adhésion </w:t>
      </w:r>
      <w:r w:rsidR="00F714CB">
        <w:rPr>
          <w:color w:val="000000"/>
        </w:rPr>
        <w:t xml:space="preserve">au </w:t>
      </w:r>
      <w:r w:rsidRPr="005502F4">
        <w:rPr>
          <w:color w:val="000000"/>
        </w:rPr>
        <w:t>G</w:t>
      </w:r>
      <w:r w:rsidR="00F714CB">
        <w:rPr>
          <w:color w:val="000000"/>
        </w:rPr>
        <w:t xml:space="preserve">uichet </w:t>
      </w:r>
      <w:r w:rsidRPr="005502F4">
        <w:rPr>
          <w:color w:val="000000"/>
        </w:rPr>
        <w:t>U</w:t>
      </w:r>
      <w:r w:rsidR="00F714CB">
        <w:rPr>
          <w:color w:val="000000"/>
        </w:rPr>
        <w:t>nique</w:t>
      </w:r>
      <w:r w:rsidR="003D2619">
        <w:rPr>
          <w:color w:val="000000"/>
        </w:rPr>
        <w:t> :</w:t>
      </w:r>
      <w:r w:rsidRPr="005502F4">
        <w:rPr>
          <w:color w:val="000000"/>
        </w:rPr>
        <w:t xml:space="preserve"> </w:t>
      </w:r>
      <w:r w:rsidR="003D2619">
        <w:rPr>
          <w:color w:val="000000"/>
        </w:rPr>
        <w:t>fin juin/</w:t>
      </w:r>
      <w:r w:rsidR="00F714CB">
        <w:rPr>
          <w:color w:val="000000"/>
        </w:rPr>
        <w:t>début juillet</w:t>
      </w:r>
      <w:r w:rsidRPr="005502F4">
        <w:rPr>
          <w:color w:val="000000"/>
        </w:rPr>
        <w:t xml:space="preserve"> </w:t>
      </w:r>
    </w:p>
    <w:p w:rsidR="005502F4" w:rsidRP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Passage en CTM début septembre </w:t>
      </w:r>
    </w:p>
    <w:p w:rsidR="005502F4" w:rsidRDefault="005502F4" w:rsidP="005502F4">
      <w:pPr>
        <w:pStyle w:val="western"/>
        <w:numPr>
          <w:ilvl w:val="0"/>
          <w:numId w:val="3"/>
        </w:numPr>
        <w:jc w:val="both"/>
        <w:rPr>
          <w:color w:val="000000"/>
        </w:rPr>
      </w:pPr>
      <w:r w:rsidRPr="005502F4">
        <w:rPr>
          <w:color w:val="000000"/>
        </w:rPr>
        <w:t xml:space="preserve">Adhésion </w:t>
      </w:r>
      <w:r>
        <w:rPr>
          <w:color w:val="000000"/>
        </w:rPr>
        <w:t>RIFSEEP au 1</w:t>
      </w:r>
      <w:r w:rsidRPr="005502F4">
        <w:rPr>
          <w:color w:val="000000"/>
          <w:vertAlign w:val="superscript"/>
        </w:rPr>
        <w:t>er</w:t>
      </w:r>
      <w:r>
        <w:rPr>
          <w:color w:val="000000"/>
        </w:rPr>
        <w:t xml:space="preserve"> octobre </w:t>
      </w:r>
    </w:p>
    <w:p w:rsidR="005502F4" w:rsidRPr="00EB053C" w:rsidRDefault="005502F4" w:rsidP="00201461">
      <w:pPr>
        <w:pStyle w:val="western"/>
        <w:jc w:val="both"/>
        <w:rPr>
          <w:b/>
          <w:color w:val="000000"/>
          <w:u w:val="single"/>
        </w:rPr>
      </w:pPr>
      <w:r w:rsidRPr="00EB053C">
        <w:rPr>
          <w:b/>
          <w:color w:val="000000"/>
          <w:u w:val="single"/>
        </w:rPr>
        <w:t xml:space="preserve">Périmètre des primes intégrées : </w:t>
      </w:r>
    </w:p>
    <w:p w:rsidR="00FB1B3B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D1B8C">
        <w:rPr>
          <w:sz w:val="20"/>
          <w:szCs w:val="20"/>
        </w:rPr>
        <w:t>Indemnité d'adminis</w:t>
      </w:r>
      <w:r w:rsidR="00095D98" w:rsidRPr="004D1B8C">
        <w:rPr>
          <w:sz w:val="20"/>
          <w:szCs w:val="20"/>
        </w:rPr>
        <w:t xml:space="preserve">tration et de technicité - </w:t>
      </w:r>
      <w:r w:rsidRPr="004D1B8C">
        <w:rPr>
          <w:sz w:val="20"/>
          <w:szCs w:val="20"/>
        </w:rPr>
        <w:t xml:space="preserve">IAT </w:t>
      </w:r>
      <w:r w:rsidRPr="004D1B8C">
        <w:rPr>
          <w:i/>
          <w:sz w:val="20"/>
          <w:szCs w:val="20"/>
        </w:rPr>
        <w:t xml:space="preserve">(D. 2002-61 du 14 janvier 2002 et arrêté du 29 janvier 2002. D.n°2004-1267 du 23 novembre 2004 et arrêté du 6 mars 2006 pour les </w:t>
      </w:r>
      <w:r w:rsidR="00095D98" w:rsidRPr="004D1B8C">
        <w:rPr>
          <w:i/>
          <w:sz w:val="20"/>
          <w:szCs w:val="20"/>
        </w:rPr>
        <w:t>SD</w:t>
      </w:r>
      <w:r w:rsidRPr="004D1B8C">
        <w:rPr>
          <w:i/>
          <w:sz w:val="20"/>
          <w:szCs w:val="20"/>
        </w:rPr>
        <w:t xml:space="preserve"> de Paris et </w:t>
      </w:r>
      <w:r w:rsidR="00095D98" w:rsidRPr="004D1B8C">
        <w:rPr>
          <w:i/>
          <w:sz w:val="20"/>
          <w:szCs w:val="20"/>
        </w:rPr>
        <w:t>IDF</w:t>
      </w:r>
      <w:r w:rsidRPr="004D1B8C">
        <w:rPr>
          <w:i/>
          <w:sz w:val="20"/>
          <w:szCs w:val="20"/>
        </w:rPr>
        <w:t>)</w:t>
      </w:r>
    </w:p>
    <w:p w:rsidR="00FB1B3B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4D1B8C">
        <w:rPr>
          <w:sz w:val="20"/>
          <w:szCs w:val="20"/>
        </w:rPr>
        <w:t xml:space="preserve">Indemnité de difficulté administrative </w:t>
      </w:r>
      <w:r w:rsidR="00095D98" w:rsidRPr="004D1B8C">
        <w:rPr>
          <w:sz w:val="20"/>
          <w:szCs w:val="20"/>
        </w:rPr>
        <w:t xml:space="preserve">- </w:t>
      </w:r>
      <w:r w:rsidRPr="004D1B8C">
        <w:rPr>
          <w:sz w:val="20"/>
          <w:szCs w:val="20"/>
        </w:rPr>
        <w:t>IDA</w:t>
      </w:r>
      <w:r w:rsidR="00095D98" w:rsidRPr="004D1B8C">
        <w:rPr>
          <w:i/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(D.</w:t>
      </w:r>
      <w:r w:rsidR="00095D98" w:rsidRPr="004D1B8C">
        <w:rPr>
          <w:i/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n°46-2020 du 17 septembre 1946)</w:t>
      </w:r>
    </w:p>
    <w:p w:rsidR="0086158E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D1B8C">
        <w:rPr>
          <w:sz w:val="20"/>
          <w:szCs w:val="20"/>
        </w:rPr>
        <w:t xml:space="preserve">Prime de sujétions spéciales </w:t>
      </w:r>
      <w:r w:rsidRPr="004D1B8C">
        <w:rPr>
          <w:i/>
          <w:sz w:val="20"/>
          <w:szCs w:val="20"/>
        </w:rPr>
        <w:t>(D. 95-545 du 2 mai 1995 + arrêté du 24 août 1999</w:t>
      </w:r>
      <w:r w:rsidR="00095D98" w:rsidRPr="004D1B8C">
        <w:rPr>
          <w:i/>
          <w:sz w:val="20"/>
          <w:szCs w:val="20"/>
        </w:rPr>
        <w:t> ; D. 95-154 du 15 février 1995</w:t>
      </w:r>
      <w:r w:rsidRPr="004D1B8C">
        <w:rPr>
          <w:i/>
          <w:sz w:val="20"/>
          <w:szCs w:val="20"/>
        </w:rPr>
        <w:t>)</w:t>
      </w:r>
    </w:p>
    <w:p w:rsidR="00FB1B3B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D1B8C">
        <w:rPr>
          <w:sz w:val="20"/>
          <w:szCs w:val="20"/>
        </w:rPr>
        <w:t>Indemnité forfaitaire de</w:t>
      </w:r>
      <w:r w:rsidR="00095D98" w:rsidRPr="004D1B8C">
        <w:rPr>
          <w:sz w:val="20"/>
          <w:szCs w:val="20"/>
        </w:rPr>
        <w:t xml:space="preserve"> travail supplémentaire - IFTS</w:t>
      </w:r>
      <w:r w:rsidRPr="004D1B8C">
        <w:rPr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(Centrale : D. 2002-62 du 14 janvier 2002 et arrêtés du 13 décembre 2002 et du 26 mai 2003. SD : D. 2002-63 du 14 janvier 2002 +</w:t>
      </w:r>
      <w:r w:rsidR="00095D98" w:rsidRPr="004D1B8C">
        <w:rPr>
          <w:i/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arrêté)</w:t>
      </w:r>
    </w:p>
    <w:p w:rsidR="00FB1B3B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D1B8C">
        <w:rPr>
          <w:sz w:val="20"/>
          <w:szCs w:val="20"/>
        </w:rPr>
        <w:t xml:space="preserve">Prime de sujétion </w:t>
      </w:r>
      <w:r w:rsidRPr="004D1B8C">
        <w:rPr>
          <w:i/>
          <w:sz w:val="20"/>
          <w:szCs w:val="20"/>
        </w:rPr>
        <w:t>(D.</w:t>
      </w:r>
      <w:r w:rsidR="00095D98" w:rsidRPr="004D1B8C">
        <w:rPr>
          <w:i/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92-1002 du 18 septembre 1992 et arrêté du 26 décembre 2000)</w:t>
      </w:r>
    </w:p>
    <w:p w:rsidR="0086158E" w:rsidRPr="004D1B8C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4D1B8C">
        <w:rPr>
          <w:sz w:val="20"/>
          <w:szCs w:val="20"/>
        </w:rPr>
        <w:t>Prime d'encadrement</w:t>
      </w:r>
      <w:r w:rsidR="00DC4479" w:rsidRPr="004D1B8C">
        <w:rPr>
          <w:sz w:val="20"/>
          <w:szCs w:val="20"/>
        </w:rPr>
        <w:t xml:space="preserve"> des techniciens d’art</w:t>
      </w:r>
      <w:r w:rsidR="00095D98" w:rsidRPr="004D1B8C">
        <w:rPr>
          <w:sz w:val="20"/>
          <w:szCs w:val="20"/>
        </w:rPr>
        <w:t xml:space="preserve"> </w:t>
      </w:r>
      <w:r w:rsidRPr="004D1B8C">
        <w:rPr>
          <w:i/>
          <w:sz w:val="20"/>
          <w:szCs w:val="20"/>
        </w:rPr>
        <w:t>(Arrêté du 23 décembre 2003)</w:t>
      </w:r>
    </w:p>
    <w:p w:rsidR="003115B2" w:rsidRPr="004D1B8C" w:rsidRDefault="003115B2" w:rsidP="003115B2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 w:rsidRPr="004D1B8C">
        <w:rPr>
          <w:sz w:val="20"/>
          <w:szCs w:val="20"/>
        </w:rPr>
        <w:t>Indemnité représentative de sujétions spéciales et de travaux supplémentaires attribuée aux conducteurs automobiles et chefs de garage (IRSSTS) - première partie</w:t>
      </w:r>
      <w:r w:rsidRPr="004D1B8C">
        <w:rPr>
          <w:i/>
          <w:sz w:val="20"/>
          <w:szCs w:val="20"/>
        </w:rPr>
        <w:t xml:space="preserve"> (D. 2002-1247 et arrêté du 4 octobre 2002)</w:t>
      </w:r>
    </w:p>
    <w:p w:rsidR="00FB1B3B" w:rsidRPr="00FB1B3B" w:rsidRDefault="00FB1B3B" w:rsidP="00095D98">
      <w:pPr>
        <w:pStyle w:val="Paragraphedeliste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4D1B8C">
        <w:rPr>
          <w:sz w:val="20"/>
          <w:szCs w:val="20"/>
        </w:rPr>
        <w:t xml:space="preserve">Prime de rendement </w:t>
      </w:r>
      <w:r w:rsidRPr="004D1B8C">
        <w:rPr>
          <w:i/>
          <w:sz w:val="20"/>
          <w:szCs w:val="20"/>
        </w:rPr>
        <w:t>(Services centraux : D.50-196 du 6  février 1950 + arrêté du 4 mars 2003 - Services déconcentrés pour les fontainiers : D. 54-1117 du 12 novembre</w:t>
      </w:r>
      <w:r w:rsidRPr="00FB1B3B">
        <w:rPr>
          <w:i/>
          <w:sz w:val="20"/>
          <w:szCs w:val="20"/>
        </w:rPr>
        <w:t xml:space="preserve"> 1954)</w:t>
      </w:r>
    </w:p>
    <w:p w:rsidR="00A1285A" w:rsidRPr="0096718C" w:rsidRDefault="00A1285A" w:rsidP="00A1285A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>I</w:t>
      </w:r>
      <w:r w:rsidRPr="00A1285A">
        <w:rPr>
          <w:sz w:val="20"/>
          <w:szCs w:val="20"/>
        </w:rPr>
        <w:t>ndemnités pour travaux dangereux, insalubres, incommodes ou salissants (</w:t>
      </w:r>
      <w:r w:rsidRPr="0096718C">
        <w:rPr>
          <w:i/>
          <w:sz w:val="20"/>
          <w:szCs w:val="20"/>
        </w:rPr>
        <w:t>D. 67-624 du 23 juillet 1967)</w:t>
      </w:r>
    </w:p>
    <w:p w:rsidR="00FB1B3B" w:rsidRPr="00A170E5" w:rsidRDefault="00881660" w:rsidP="00A1285A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Indemnité de</w:t>
      </w:r>
      <w:r w:rsidR="00FB1B3B" w:rsidRPr="00A170E5">
        <w:rPr>
          <w:color w:val="000000" w:themeColor="text1"/>
          <w:sz w:val="20"/>
          <w:szCs w:val="20"/>
        </w:rPr>
        <w:t xml:space="preserve"> panier</w:t>
      </w:r>
      <w:r w:rsidR="00A170E5" w:rsidRPr="00A170E5">
        <w:rPr>
          <w:color w:val="000000" w:themeColor="text1"/>
          <w:sz w:val="20"/>
          <w:szCs w:val="20"/>
        </w:rPr>
        <w:t xml:space="preserve"> </w:t>
      </w:r>
      <w:r w:rsidR="00A170E5" w:rsidRPr="00A170E5">
        <w:rPr>
          <w:i/>
          <w:color w:val="000000" w:themeColor="text1"/>
          <w:sz w:val="20"/>
          <w:szCs w:val="20"/>
        </w:rPr>
        <w:t>(D. 73-979 du 22 octobre 1973 et arrêté du 31 décembre 1999)</w:t>
      </w:r>
    </w:p>
    <w:p w:rsidR="0086158E" w:rsidRPr="00881660" w:rsidRDefault="00881660" w:rsidP="00A170E5">
      <w:pPr>
        <w:pStyle w:val="Paragraphedeliste"/>
        <w:numPr>
          <w:ilvl w:val="0"/>
          <w:numId w:val="4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I</w:t>
      </w:r>
      <w:r w:rsidRPr="00881660">
        <w:rPr>
          <w:bCs/>
          <w:color w:val="000000" w:themeColor="text1"/>
          <w:sz w:val="20"/>
          <w:szCs w:val="20"/>
        </w:rPr>
        <w:t>ndemnité de chaussures et de petit équipement</w:t>
      </w:r>
      <w:r w:rsidR="00FB1B3B" w:rsidRPr="00A170E5">
        <w:rPr>
          <w:color w:val="000000" w:themeColor="text1"/>
          <w:sz w:val="20"/>
          <w:szCs w:val="20"/>
        </w:rPr>
        <w:t xml:space="preserve"> </w:t>
      </w:r>
      <w:r w:rsidR="00A170E5" w:rsidRPr="00881660">
        <w:rPr>
          <w:color w:val="000000" w:themeColor="text1"/>
          <w:sz w:val="20"/>
          <w:szCs w:val="20"/>
        </w:rPr>
        <w:t>(</w:t>
      </w:r>
      <w:r w:rsidR="00A170E5" w:rsidRPr="00881660">
        <w:rPr>
          <w:i/>
          <w:color w:val="000000" w:themeColor="text1"/>
          <w:sz w:val="20"/>
          <w:szCs w:val="20"/>
        </w:rPr>
        <w:t>D. 74-720 du 14 août 1974 et arrêté du 31 décembre 1999)</w:t>
      </w:r>
    </w:p>
    <w:p w:rsidR="00A170E5" w:rsidRPr="00A170E5" w:rsidRDefault="00A170E5" w:rsidP="00A170E5">
      <w:pPr>
        <w:spacing w:line="240" w:lineRule="auto"/>
        <w:jc w:val="both"/>
        <w:rPr>
          <w:sz w:val="20"/>
          <w:szCs w:val="20"/>
        </w:rPr>
      </w:pPr>
    </w:p>
    <w:p w:rsidR="00DE2C15" w:rsidRDefault="00DE2C15">
      <w:pPr>
        <w:suppressAutoHyphens w:val="0"/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EB053C" w:rsidRPr="00EB053C" w:rsidRDefault="00EB053C" w:rsidP="00EB053C">
      <w:pPr>
        <w:rPr>
          <w:b/>
          <w:color w:val="000000"/>
          <w:u w:val="single"/>
        </w:rPr>
      </w:pPr>
      <w:r w:rsidRPr="00EB053C">
        <w:rPr>
          <w:b/>
          <w:color w:val="000000"/>
          <w:u w:val="single"/>
        </w:rPr>
        <w:lastRenderedPageBreak/>
        <w:t>Proposition de composition des groupes de fonction par corps</w:t>
      </w:r>
      <w:r>
        <w:rPr>
          <w:b/>
          <w:color w:val="000000"/>
          <w:u w:val="single"/>
        </w:rPr>
        <w:t> :</w:t>
      </w:r>
    </w:p>
    <w:p w:rsidR="0086158E" w:rsidRDefault="00933853" w:rsidP="00EB053C">
      <w:pPr>
        <w:jc w:val="center"/>
        <w:rPr>
          <w:b/>
        </w:rPr>
      </w:pPr>
      <w:r>
        <w:rPr>
          <w:b/>
        </w:rPr>
        <w:t>Adjoints techniques (ATMC)</w:t>
      </w:r>
    </w:p>
    <w:tbl>
      <w:tblPr>
        <w:tblStyle w:val="Grilledutableau"/>
        <w:tblW w:w="10148" w:type="dxa"/>
        <w:jc w:val="center"/>
        <w:tblLook w:val="04A0" w:firstRow="1" w:lastRow="0" w:firstColumn="1" w:lastColumn="0" w:noHBand="0" w:noVBand="1"/>
      </w:tblPr>
      <w:tblGrid>
        <w:gridCol w:w="1194"/>
        <w:gridCol w:w="4330"/>
        <w:gridCol w:w="1701"/>
        <w:gridCol w:w="2923"/>
      </w:tblGrid>
      <w:tr w:rsidR="00D23EBF" w:rsidTr="002A7AD7">
        <w:trPr>
          <w:jc w:val="center"/>
        </w:trPr>
        <w:tc>
          <w:tcPr>
            <w:tcW w:w="1194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 w:rsidP="00D23EBF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4330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 w:rsidP="00D23EBF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:rsidR="00D23EBF" w:rsidRDefault="00D23EBF" w:rsidP="00D23E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 cibles</w:t>
            </w:r>
          </w:p>
        </w:tc>
        <w:tc>
          <w:tcPr>
            <w:tcW w:w="2923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 w:rsidP="00D23E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Médianes indemnitaires (année 2015)</w:t>
            </w:r>
          </w:p>
        </w:tc>
      </w:tr>
      <w:tr w:rsidR="00D23EBF" w:rsidTr="002A7AD7">
        <w:trPr>
          <w:jc w:val="center"/>
        </w:trPr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D23EBF" w:rsidRDefault="00D23EBF" w:rsidP="00D23EBF">
            <w:pPr>
              <w:spacing w:after="0"/>
            </w:pPr>
            <w:r>
              <w:t>Groupe 1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D23EBF" w:rsidRDefault="00D23EBF" w:rsidP="00D23EBF">
            <w:pPr>
              <w:spacing w:after="0"/>
            </w:pPr>
            <w:r>
              <w:t>Responsable d’équipe</w:t>
            </w:r>
          </w:p>
          <w:p w:rsidR="00D23EBF" w:rsidRDefault="00D23EBF" w:rsidP="00D23EBF">
            <w:pPr>
              <w:spacing w:after="0"/>
            </w:pPr>
            <w:r>
              <w:t>Adjoint technique de la filière métiers d’art</w:t>
            </w:r>
          </w:p>
        </w:tc>
        <w:tc>
          <w:tcPr>
            <w:tcW w:w="1701" w:type="dxa"/>
          </w:tcPr>
          <w:p w:rsidR="00D23EBF" w:rsidRDefault="00D23EBF" w:rsidP="00D23EBF">
            <w:pPr>
              <w:spacing w:after="0"/>
              <w:jc w:val="center"/>
            </w:pPr>
            <w:r w:rsidRPr="00BB6A45">
              <w:t>Environ 65 %</w:t>
            </w:r>
            <w:r>
              <w:rPr>
                <w:i/>
                <w:color w:val="3333FF"/>
                <w:sz w:val="16"/>
                <w:szCs w:val="16"/>
              </w:rPr>
              <w:t xml:space="preserve"> </w:t>
            </w:r>
          </w:p>
        </w:tc>
        <w:tc>
          <w:tcPr>
            <w:tcW w:w="292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D23EBF" w:rsidRDefault="00D23EBF" w:rsidP="00D23EBF">
            <w:pPr>
              <w:spacing w:after="0"/>
              <w:jc w:val="center"/>
            </w:pPr>
            <w:r>
              <w:t>ATMC spécialités Métiers d’art : 3 465 €</w:t>
            </w:r>
          </w:p>
          <w:p w:rsidR="00D23EBF" w:rsidRDefault="002A7AD7" w:rsidP="00D23EBF">
            <w:pPr>
              <w:spacing w:after="0"/>
              <w:jc w:val="center"/>
            </w:pPr>
            <w:r>
              <w:t>ATMC spécialités t</w:t>
            </w:r>
            <w:r w:rsidR="00D23EBF">
              <w:t xml:space="preserve">echniques : </w:t>
            </w:r>
            <w:r w:rsidR="008F53AB" w:rsidRPr="008F53AB">
              <w:t>2 756 €</w:t>
            </w:r>
          </w:p>
          <w:p w:rsidR="002A7AD7" w:rsidRDefault="008F53AB" w:rsidP="00D55D45">
            <w:pPr>
              <w:spacing w:after="0"/>
              <w:jc w:val="center"/>
            </w:pPr>
            <w:r>
              <w:t>(IAT + rendement)</w:t>
            </w:r>
            <w:bookmarkStart w:id="0" w:name="_GoBack"/>
            <w:bookmarkEnd w:id="0"/>
          </w:p>
        </w:tc>
      </w:tr>
      <w:tr w:rsidR="00D23EBF" w:rsidTr="002A7AD7">
        <w:trPr>
          <w:jc w:val="center"/>
        </w:trPr>
        <w:tc>
          <w:tcPr>
            <w:tcW w:w="1194" w:type="dxa"/>
            <w:shd w:val="clear" w:color="auto" w:fill="auto"/>
            <w:tcMar>
              <w:left w:w="108" w:type="dxa"/>
            </w:tcMar>
          </w:tcPr>
          <w:p w:rsidR="00D23EBF" w:rsidRDefault="00D23EBF" w:rsidP="00D23EBF">
            <w:pPr>
              <w:spacing w:after="0"/>
            </w:pPr>
            <w:r>
              <w:t>Groupe 2</w:t>
            </w:r>
          </w:p>
        </w:tc>
        <w:tc>
          <w:tcPr>
            <w:tcW w:w="4330" w:type="dxa"/>
            <w:shd w:val="clear" w:color="auto" w:fill="auto"/>
            <w:tcMar>
              <w:left w:w="108" w:type="dxa"/>
            </w:tcMar>
          </w:tcPr>
          <w:p w:rsidR="00D23EBF" w:rsidRDefault="00D23EBF" w:rsidP="00D23EBF">
            <w:pPr>
              <w:spacing w:after="0"/>
            </w:pPr>
            <w:r>
              <w:t>Adjoints de</w:t>
            </w:r>
            <w:r w:rsidR="00856D43">
              <w:t xml:space="preserve">s spécialités techniques </w:t>
            </w:r>
            <w:r>
              <w:t>sans encadrement</w:t>
            </w:r>
          </w:p>
          <w:p w:rsidR="00D23EBF" w:rsidRDefault="00D23EBF" w:rsidP="00D23EBF">
            <w:pPr>
              <w:spacing w:after="0"/>
            </w:pPr>
          </w:p>
        </w:tc>
        <w:tc>
          <w:tcPr>
            <w:tcW w:w="1701" w:type="dxa"/>
          </w:tcPr>
          <w:p w:rsidR="00D23EBF" w:rsidRDefault="00D23EBF" w:rsidP="00D23EBF">
            <w:pPr>
              <w:spacing w:after="0"/>
              <w:jc w:val="center"/>
            </w:pPr>
            <w:r>
              <w:t>Moins de 35 %</w:t>
            </w:r>
          </w:p>
        </w:tc>
        <w:tc>
          <w:tcPr>
            <w:tcW w:w="2923" w:type="dxa"/>
            <w:vMerge/>
            <w:shd w:val="clear" w:color="auto" w:fill="auto"/>
            <w:tcMar>
              <w:left w:w="108" w:type="dxa"/>
            </w:tcMar>
          </w:tcPr>
          <w:p w:rsidR="00D23EBF" w:rsidRDefault="00D23EBF" w:rsidP="00D23EBF">
            <w:pPr>
              <w:spacing w:after="0"/>
              <w:jc w:val="center"/>
            </w:pPr>
          </w:p>
        </w:tc>
      </w:tr>
    </w:tbl>
    <w:p w:rsidR="0086158E" w:rsidRDefault="00933853">
      <w:pPr>
        <w:jc w:val="both"/>
        <w:rPr>
          <w:i/>
        </w:rPr>
      </w:pPr>
      <w:r>
        <w:rPr>
          <w:b/>
          <w:i/>
        </w:rPr>
        <w:t>Commentaires :</w:t>
      </w:r>
    </w:p>
    <w:p w:rsidR="0086158E" w:rsidRPr="00460799" w:rsidRDefault="00933853">
      <w:pPr>
        <w:jc w:val="both"/>
      </w:pPr>
      <w:r w:rsidRPr="00460799">
        <w:t xml:space="preserve">L’arrêté du 28 avril 2015 pris pour l'application aux corps d'adjoints techniques des administrations de l'Etat des dispositions du décret n°2014-513 du 20 mai 2014 prévoit des plafonds AC/SD distincts. </w:t>
      </w:r>
    </w:p>
    <w:p w:rsidR="00B237B4" w:rsidRDefault="00B237B4">
      <w:pPr>
        <w:jc w:val="both"/>
        <w:rPr>
          <w:u w:val="single"/>
        </w:rPr>
      </w:pPr>
    </w:p>
    <w:p w:rsidR="0086158E" w:rsidRDefault="00933853">
      <w:pPr>
        <w:jc w:val="center"/>
        <w:rPr>
          <w:b/>
        </w:rPr>
      </w:pPr>
      <w:r>
        <w:rPr>
          <w:b/>
        </w:rPr>
        <w:t>Techniciens d’art (TA)</w:t>
      </w:r>
    </w:p>
    <w:tbl>
      <w:tblPr>
        <w:tblStyle w:val="Grilledutableau"/>
        <w:tblW w:w="9869" w:type="dxa"/>
        <w:tblLook w:val="04A0" w:firstRow="1" w:lastRow="0" w:firstColumn="1" w:lastColumn="0" w:noHBand="0" w:noVBand="1"/>
      </w:tblPr>
      <w:tblGrid>
        <w:gridCol w:w="1129"/>
        <w:gridCol w:w="5954"/>
        <w:gridCol w:w="1302"/>
        <w:gridCol w:w="1484"/>
      </w:tblGrid>
      <w:tr w:rsidR="00FA35B7" w:rsidTr="00FA35B7">
        <w:tc>
          <w:tcPr>
            <w:tcW w:w="1129" w:type="dxa"/>
            <w:shd w:val="clear" w:color="auto" w:fill="AEAAAA" w:themeFill="background2" w:themeFillShade="BF"/>
            <w:tcMar>
              <w:left w:w="108" w:type="dxa"/>
            </w:tcMar>
          </w:tcPr>
          <w:p w:rsidR="00FA35B7" w:rsidRDefault="00FA35B7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5954" w:type="dxa"/>
            <w:shd w:val="clear" w:color="auto" w:fill="AEAAAA" w:themeFill="background2" w:themeFillShade="BF"/>
            <w:tcMar>
              <w:left w:w="108" w:type="dxa"/>
            </w:tcMar>
          </w:tcPr>
          <w:p w:rsidR="00FA35B7" w:rsidRDefault="00FA35B7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1302" w:type="dxa"/>
            <w:shd w:val="clear" w:color="auto" w:fill="AEAAAA" w:themeFill="background2" w:themeFillShade="BF"/>
            <w:tcMar>
              <w:left w:w="108" w:type="dxa"/>
            </w:tcMar>
          </w:tcPr>
          <w:p w:rsidR="00FA35B7" w:rsidRDefault="00FA35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 cibles</w:t>
            </w:r>
          </w:p>
        </w:tc>
        <w:tc>
          <w:tcPr>
            <w:tcW w:w="1484" w:type="dxa"/>
            <w:shd w:val="clear" w:color="auto" w:fill="AEAAAA" w:themeFill="background2" w:themeFillShade="BF"/>
          </w:tcPr>
          <w:p w:rsidR="00FA35B7" w:rsidRDefault="00FA35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Médianes indemnitaires (année 2015)</w:t>
            </w: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1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 xml:space="preserve">Responsable d’équipe importante (+ de 5 agents) </w:t>
            </w:r>
          </w:p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>Adjoint à un responsable d’équipe très importante (+30 agents)</w:t>
            </w:r>
          </w:p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>Poste à fortes sujétions et exposition importante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 w:rsidP="00571B74">
            <w:pPr>
              <w:spacing w:after="0"/>
              <w:jc w:val="center"/>
            </w:pPr>
            <w:r>
              <w:t>Moins de 15%</w:t>
            </w:r>
          </w:p>
        </w:tc>
        <w:tc>
          <w:tcPr>
            <w:tcW w:w="1484" w:type="dxa"/>
            <w:vMerge w:val="restart"/>
            <w:vAlign w:val="center"/>
          </w:tcPr>
          <w:p w:rsidR="00FA35B7" w:rsidRDefault="00FA35B7" w:rsidP="00FA35B7">
            <w:pPr>
              <w:spacing w:after="0"/>
              <w:jc w:val="center"/>
            </w:pPr>
            <w:r>
              <w:t>4 058 €</w:t>
            </w:r>
          </w:p>
          <w:p w:rsidR="00FA35B7" w:rsidRDefault="00FA35B7" w:rsidP="00460799">
            <w:pPr>
              <w:spacing w:after="0"/>
              <w:jc w:val="center"/>
            </w:pPr>
            <w:r>
              <w:t xml:space="preserve">(IAT </w:t>
            </w:r>
            <w:r w:rsidR="00460799">
              <w:t>ou</w:t>
            </w:r>
            <w:r>
              <w:t xml:space="preserve"> IFTS + sujétions)</w:t>
            </w: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2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 xml:space="preserve">Responsable d’équipe </w:t>
            </w:r>
          </w:p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>Adjoint à un responsable d’équipe importante (+ de 5 agents)</w:t>
            </w:r>
          </w:p>
          <w:p w:rsidR="00FA35B7" w:rsidRPr="00DE2C15" w:rsidRDefault="00FA35B7">
            <w:pPr>
              <w:spacing w:after="0"/>
              <w:rPr>
                <w:color w:val="000000" w:themeColor="text1"/>
              </w:rPr>
            </w:pPr>
            <w:r w:rsidRPr="00DE2C15">
              <w:rPr>
                <w:color w:val="000000" w:themeColor="text1"/>
              </w:rPr>
              <w:t>Techniciens avec sujétions particulières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  <w:jc w:val="center"/>
            </w:pPr>
            <w:r>
              <w:t>Entre 20% et 40%</w:t>
            </w:r>
          </w:p>
        </w:tc>
        <w:tc>
          <w:tcPr>
            <w:tcW w:w="1484" w:type="dxa"/>
            <w:vMerge/>
          </w:tcPr>
          <w:p w:rsidR="00FA35B7" w:rsidRDefault="00FA35B7">
            <w:pPr>
              <w:spacing w:after="0"/>
              <w:jc w:val="center"/>
            </w:pP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3</w:t>
            </w:r>
          </w:p>
        </w:tc>
        <w:tc>
          <w:tcPr>
            <w:tcW w:w="5954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Autres fonctions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  <w:jc w:val="center"/>
            </w:pPr>
            <w:r>
              <w:t>Plus de 45%</w:t>
            </w:r>
          </w:p>
        </w:tc>
        <w:tc>
          <w:tcPr>
            <w:tcW w:w="1484" w:type="dxa"/>
            <w:vMerge/>
          </w:tcPr>
          <w:p w:rsidR="00FA35B7" w:rsidRDefault="00FA35B7">
            <w:pPr>
              <w:spacing w:after="0"/>
              <w:jc w:val="center"/>
            </w:pPr>
          </w:p>
        </w:tc>
      </w:tr>
    </w:tbl>
    <w:p w:rsidR="0086158E" w:rsidRDefault="0086158E"/>
    <w:p w:rsidR="0086158E" w:rsidRDefault="00933853">
      <w:pPr>
        <w:jc w:val="center"/>
      </w:pPr>
      <w:r>
        <w:rPr>
          <w:b/>
        </w:rPr>
        <w:t>Chefs de travaux d’art (CTA)</w:t>
      </w:r>
    </w:p>
    <w:tbl>
      <w:tblPr>
        <w:tblStyle w:val="Grilledutableau"/>
        <w:tblW w:w="9585" w:type="dxa"/>
        <w:tblLook w:val="04A0" w:firstRow="1" w:lastRow="0" w:firstColumn="1" w:lastColumn="0" w:noHBand="0" w:noVBand="1"/>
      </w:tblPr>
      <w:tblGrid>
        <w:gridCol w:w="1129"/>
        <w:gridCol w:w="5670"/>
        <w:gridCol w:w="1302"/>
        <w:gridCol w:w="1484"/>
      </w:tblGrid>
      <w:tr w:rsidR="00D23EBF" w:rsidTr="00FA35B7">
        <w:tc>
          <w:tcPr>
            <w:tcW w:w="1129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>
            <w:pPr>
              <w:spacing w:after="0"/>
              <w:rPr>
                <w:b/>
              </w:rPr>
            </w:pPr>
            <w:r>
              <w:rPr>
                <w:b/>
              </w:rPr>
              <w:t>Groupe de fonctions</w:t>
            </w:r>
          </w:p>
        </w:tc>
        <w:tc>
          <w:tcPr>
            <w:tcW w:w="5670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>
            <w:pPr>
              <w:spacing w:after="0"/>
              <w:rPr>
                <w:b/>
              </w:rPr>
            </w:pPr>
            <w:r>
              <w:rPr>
                <w:b/>
              </w:rPr>
              <w:t>Liste des fonctions-type</w:t>
            </w:r>
          </w:p>
        </w:tc>
        <w:tc>
          <w:tcPr>
            <w:tcW w:w="1302" w:type="dxa"/>
            <w:shd w:val="clear" w:color="auto" w:fill="AEAAAA" w:themeFill="background2" w:themeFillShade="BF"/>
            <w:tcMar>
              <w:left w:w="108" w:type="dxa"/>
            </w:tcMar>
          </w:tcPr>
          <w:p w:rsidR="00D23EBF" w:rsidRDefault="00D23EB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Effectifs cibles</w:t>
            </w:r>
          </w:p>
        </w:tc>
        <w:tc>
          <w:tcPr>
            <w:tcW w:w="1484" w:type="dxa"/>
            <w:shd w:val="clear" w:color="auto" w:fill="AEAAAA" w:themeFill="background2" w:themeFillShade="BF"/>
          </w:tcPr>
          <w:p w:rsidR="00D23EBF" w:rsidRDefault="00FA35B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Médianes indemnitaires (année 2015)</w:t>
            </w: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1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 xml:space="preserve">Responsable d’équipe importante (+ de 20 agents) </w:t>
            </w:r>
          </w:p>
          <w:p w:rsidR="00FA35B7" w:rsidRDefault="00FA35B7">
            <w:pPr>
              <w:spacing w:after="0"/>
            </w:pPr>
            <w:r>
              <w:t>Poste à fortes sujétions et exposition importante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 w:rsidP="00571B74">
            <w:pPr>
              <w:spacing w:after="0"/>
              <w:jc w:val="center"/>
            </w:pPr>
            <w:r>
              <w:t>Moins de 15%</w:t>
            </w:r>
          </w:p>
        </w:tc>
        <w:tc>
          <w:tcPr>
            <w:tcW w:w="1484" w:type="dxa"/>
            <w:vMerge w:val="restart"/>
            <w:vAlign w:val="center"/>
          </w:tcPr>
          <w:p w:rsidR="00FA35B7" w:rsidRDefault="00FA35B7" w:rsidP="00571B74">
            <w:pPr>
              <w:spacing w:after="0"/>
              <w:jc w:val="center"/>
            </w:pPr>
            <w:r>
              <w:t>4 917 €</w:t>
            </w:r>
          </w:p>
          <w:p w:rsidR="00FA35B7" w:rsidRDefault="00FA35B7" w:rsidP="00460799">
            <w:pPr>
              <w:spacing w:after="0"/>
              <w:jc w:val="center"/>
            </w:pPr>
            <w:r>
              <w:t>(ITFS + rendement)</w:t>
            </w: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2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 xml:space="preserve">Responsable d’équipe </w:t>
            </w:r>
          </w:p>
          <w:p w:rsidR="00FA35B7" w:rsidRDefault="00FA35B7">
            <w:pPr>
              <w:spacing w:after="0"/>
            </w:pPr>
            <w:r>
              <w:t>Adjoint à un responsable d’équipe importante (+ 20 agents)</w:t>
            </w:r>
          </w:p>
          <w:p w:rsidR="00FA35B7" w:rsidRDefault="00FA35B7">
            <w:pPr>
              <w:spacing w:after="0"/>
            </w:pPr>
            <w:r>
              <w:t>CTA avec sujétions particulières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  <w:jc w:val="center"/>
            </w:pPr>
            <w:r>
              <w:t>Entre 20% et 40%</w:t>
            </w:r>
          </w:p>
        </w:tc>
        <w:tc>
          <w:tcPr>
            <w:tcW w:w="1484" w:type="dxa"/>
            <w:vMerge/>
          </w:tcPr>
          <w:p w:rsidR="00FA35B7" w:rsidRDefault="00FA35B7">
            <w:pPr>
              <w:spacing w:after="0"/>
              <w:jc w:val="center"/>
            </w:pPr>
          </w:p>
        </w:tc>
      </w:tr>
      <w:tr w:rsidR="00FA35B7" w:rsidTr="00FA35B7">
        <w:tc>
          <w:tcPr>
            <w:tcW w:w="1129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>Groupe 3</w:t>
            </w:r>
          </w:p>
        </w:tc>
        <w:tc>
          <w:tcPr>
            <w:tcW w:w="5670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</w:pPr>
            <w:r>
              <w:t xml:space="preserve">Autres fonctions 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FA35B7" w:rsidRDefault="00FA35B7">
            <w:pPr>
              <w:spacing w:after="0"/>
              <w:jc w:val="center"/>
            </w:pPr>
            <w:r>
              <w:t>Plus de 45%</w:t>
            </w:r>
          </w:p>
        </w:tc>
        <w:tc>
          <w:tcPr>
            <w:tcW w:w="1484" w:type="dxa"/>
            <w:vMerge/>
          </w:tcPr>
          <w:p w:rsidR="00FA35B7" w:rsidRDefault="00FA35B7">
            <w:pPr>
              <w:spacing w:after="0"/>
              <w:jc w:val="center"/>
            </w:pPr>
          </w:p>
        </w:tc>
      </w:tr>
    </w:tbl>
    <w:p w:rsidR="0086158E" w:rsidRDefault="0086158E">
      <w:pPr>
        <w:rPr>
          <w:b/>
          <w:i/>
        </w:rPr>
      </w:pPr>
    </w:p>
    <w:p w:rsidR="0086158E" w:rsidRDefault="00933853">
      <w:pPr>
        <w:jc w:val="both"/>
        <w:rPr>
          <w:b/>
          <w:i/>
        </w:rPr>
      </w:pPr>
      <w:r>
        <w:rPr>
          <w:b/>
          <w:i/>
        </w:rPr>
        <w:t xml:space="preserve">Commentaires pour les TA et CTA : </w:t>
      </w:r>
    </w:p>
    <w:p w:rsidR="0086158E" w:rsidRDefault="00D82898">
      <w:pPr>
        <w:jc w:val="both"/>
      </w:pPr>
      <w:r>
        <w:rPr>
          <w:i/>
        </w:rPr>
        <w:t>Proposition SRH : ne retenir que 3 groupes</w:t>
      </w:r>
      <w:r w:rsidR="007C44C7">
        <w:rPr>
          <w:i/>
        </w:rPr>
        <w:t xml:space="preserve"> pour les</w:t>
      </w:r>
      <w:r>
        <w:rPr>
          <w:i/>
        </w:rPr>
        <w:t xml:space="preserve"> </w:t>
      </w:r>
      <w:r w:rsidR="00933853">
        <w:rPr>
          <w:i/>
        </w:rPr>
        <w:t>CTA</w:t>
      </w:r>
      <w:r>
        <w:rPr>
          <w:i/>
        </w:rPr>
        <w:t xml:space="preserve"> (4 possibles)</w:t>
      </w:r>
      <w:r w:rsidR="00933853">
        <w:rPr>
          <w:i/>
        </w:rPr>
        <w:t xml:space="preserve">. </w:t>
      </w:r>
    </w:p>
    <w:p w:rsidR="0086158E" w:rsidRDefault="00933853">
      <w:pPr>
        <w:jc w:val="both"/>
      </w:pPr>
      <w:r>
        <w:rPr>
          <w:u w:val="single"/>
        </w:rPr>
        <w:t>Exemples de  fonctions à fortes sujétions et exposition importante (groupe 1)</w:t>
      </w:r>
      <w:r>
        <w:t> : responsabilité de marchés publics ou d’eng</w:t>
      </w:r>
      <w:r w:rsidR="00030114">
        <w:t>agements financiers importants,</w:t>
      </w:r>
      <w:r>
        <w:t xml:space="preserve"> responsabilités pédagogiques hors agents encadrés (élaboration/organisation de formations institutionnalisées), coordination de politiques MCC sur un secteur (jardins par ex.), responsabilité forte sur des entreprises extérieures, coordination de plusieurs ateliers</w:t>
      </w:r>
      <w:r w:rsidR="000B7948">
        <w:t xml:space="preserve"> </w:t>
      </w:r>
    </w:p>
    <w:p w:rsidR="0086158E" w:rsidRPr="00FA35B7" w:rsidRDefault="00933853" w:rsidP="00FA35B7">
      <w:pPr>
        <w:jc w:val="both"/>
      </w:pPr>
      <w:r>
        <w:rPr>
          <w:u w:val="single"/>
        </w:rPr>
        <w:t>Exemples de  fonctions avec sujétions particulières (groupe 2</w:t>
      </w:r>
      <w:r>
        <w:t>) : astreintes, encadrement d’élèves/étudiants, participation à des commissions en qualité de re</w:t>
      </w:r>
      <w:r w:rsidR="000B7948">
        <w:t xml:space="preserve">présentant de l’administration </w:t>
      </w:r>
    </w:p>
    <w:sectPr w:rsidR="0086158E" w:rsidRPr="00FA35B7">
      <w:headerReference w:type="default" r:id="rId8"/>
      <w:footerReference w:type="default" r:id="rId9"/>
      <w:pgSz w:w="11906" w:h="16838"/>
      <w:pgMar w:top="765" w:right="1417" w:bottom="1417" w:left="85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00C" w:rsidRDefault="00933853">
      <w:pPr>
        <w:spacing w:after="0" w:line="240" w:lineRule="auto"/>
      </w:pPr>
      <w:r>
        <w:separator/>
      </w:r>
    </w:p>
  </w:endnote>
  <w:endnote w:type="continuationSeparator" w:id="0">
    <w:p w:rsidR="001E400C" w:rsidRDefault="0093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8E" w:rsidRDefault="00933853">
    <w:pPr>
      <w:pStyle w:val="Pieddepage"/>
      <w:tabs>
        <w:tab w:val="center" w:pos="4820"/>
        <w:tab w:val="right" w:pos="9638"/>
        <w:tab w:val="left" w:pos="12616"/>
      </w:tabs>
    </w:pPr>
    <w:r>
      <w:t>SG/SRH</w:t>
    </w:r>
    <w:r w:rsidR="005E02F7">
      <w:t>/BER/B1T</w:t>
    </w:r>
    <w:r>
      <w:tab/>
      <w:t>GT du 2</w:t>
    </w:r>
    <w:r w:rsidR="00E805CA">
      <w:t>0</w:t>
    </w:r>
    <w:r>
      <w:t xml:space="preserve"> mai</w:t>
    </w:r>
    <w:r>
      <w:tab/>
    </w:r>
  </w:p>
  <w:p w:rsidR="0086158E" w:rsidRDefault="008615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00C" w:rsidRDefault="00933853">
      <w:pPr>
        <w:spacing w:after="0" w:line="240" w:lineRule="auto"/>
      </w:pPr>
      <w:r>
        <w:separator/>
      </w:r>
    </w:p>
  </w:footnote>
  <w:footnote w:type="continuationSeparator" w:id="0">
    <w:p w:rsidR="001E400C" w:rsidRDefault="0093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8E" w:rsidRDefault="005502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Forme libre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310A5" id="Forme libre 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  <w:r w:rsidR="00D55D45">
      <w:pict>
        <v:shapetype id="shapetype_136" o:spid="_x0000_m1026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 w:rsidR="00D55D45">
      <w:pict>
        <v:shape id="PowerPlusWaterMarkObject201971782" o:spid="_x0000_s1025" type="#shapetype_136" style="position:absolute;margin-left:0;margin-top:0;width:162.75pt;height:66pt;rotation:315;z-index:-251657728;mso-position-horizontal:center;mso-position-horizontal-relative:margin;mso-position-vertical:center;mso-position-vertical-relative:margin" o:allowincell="f" filled="t" fillcolor="silver" stroked="f" strokecolor="#3465a4">
          <v:fill opacity="1" color2="#3f3f3f" o:detectmouseclick="t" type="solid"/>
          <v:stroke joinstyle="round" endcap="flat"/>
          <v:path textpathok="t"/>
          <v:textpath on="t" style="font-family:&quot;Calibri&quot;;font-size:54pt" fitshape="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E7A7A"/>
    <w:multiLevelType w:val="hybridMultilevel"/>
    <w:tmpl w:val="B7CE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541E"/>
    <w:multiLevelType w:val="multilevel"/>
    <w:tmpl w:val="B93E0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CF07C2"/>
    <w:multiLevelType w:val="multilevel"/>
    <w:tmpl w:val="8E8E7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8A0AB9"/>
    <w:multiLevelType w:val="hybridMultilevel"/>
    <w:tmpl w:val="08C83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E"/>
    <w:rsid w:val="00030114"/>
    <w:rsid w:val="0004728C"/>
    <w:rsid w:val="00070C24"/>
    <w:rsid w:val="00092EB0"/>
    <w:rsid w:val="00095D98"/>
    <w:rsid w:val="000B326E"/>
    <w:rsid w:val="000B7948"/>
    <w:rsid w:val="0010180D"/>
    <w:rsid w:val="001E400C"/>
    <w:rsid w:val="00201461"/>
    <w:rsid w:val="00267D38"/>
    <w:rsid w:val="002A7AD7"/>
    <w:rsid w:val="002C3DE8"/>
    <w:rsid w:val="002F41D7"/>
    <w:rsid w:val="0031118F"/>
    <w:rsid w:val="003115B2"/>
    <w:rsid w:val="00384C6D"/>
    <w:rsid w:val="003D2619"/>
    <w:rsid w:val="0044051D"/>
    <w:rsid w:val="00460799"/>
    <w:rsid w:val="004B44F1"/>
    <w:rsid w:val="004D1B8C"/>
    <w:rsid w:val="005502F4"/>
    <w:rsid w:val="00571B74"/>
    <w:rsid w:val="00590D80"/>
    <w:rsid w:val="005E02F7"/>
    <w:rsid w:val="006223CD"/>
    <w:rsid w:val="006473F2"/>
    <w:rsid w:val="00682B79"/>
    <w:rsid w:val="006879EE"/>
    <w:rsid w:val="00696E8E"/>
    <w:rsid w:val="006A44C8"/>
    <w:rsid w:val="006C4B8B"/>
    <w:rsid w:val="007C44C7"/>
    <w:rsid w:val="007D4DD7"/>
    <w:rsid w:val="007E5680"/>
    <w:rsid w:val="008438D6"/>
    <w:rsid w:val="00856D43"/>
    <w:rsid w:val="0086158E"/>
    <w:rsid w:val="0086375B"/>
    <w:rsid w:val="00881660"/>
    <w:rsid w:val="008E1737"/>
    <w:rsid w:val="008F3577"/>
    <w:rsid w:val="008F53AB"/>
    <w:rsid w:val="00903D67"/>
    <w:rsid w:val="00921150"/>
    <w:rsid w:val="00933853"/>
    <w:rsid w:val="0096718C"/>
    <w:rsid w:val="009F3498"/>
    <w:rsid w:val="00A1285A"/>
    <w:rsid w:val="00A170E5"/>
    <w:rsid w:val="00A20FAF"/>
    <w:rsid w:val="00A464D9"/>
    <w:rsid w:val="00AF7A66"/>
    <w:rsid w:val="00B237B4"/>
    <w:rsid w:val="00BB6A45"/>
    <w:rsid w:val="00BC0B8E"/>
    <w:rsid w:val="00C8522D"/>
    <w:rsid w:val="00D23EBF"/>
    <w:rsid w:val="00D55D45"/>
    <w:rsid w:val="00D82898"/>
    <w:rsid w:val="00DC4479"/>
    <w:rsid w:val="00DE2C15"/>
    <w:rsid w:val="00E36CF6"/>
    <w:rsid w:val="00E805CA"/>
    <w:rsid w:val="00E8757D"/>
    <w:rsid w:val="00EB053C"/>
    <w:rsid w:val="00F714CB"/>
    <w:rsid w:val="00FA35B7"/>
    <w:rsid w:val="00FB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B4E425D-FFED-4735-B287-EACE6A9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81"/>
    <w:pPr>
      <w:suppressAutoHyphens/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68053F"/>
  </w:style>
  <w:style w:type="character" w:customStyle="1" w:styleId="PieddepageCar">
    <w:name w:val="Pied de page Car"/>
    <w:basedOn w:val="Policepardfaut"/>
    <w:link w:val="Pieddepage"/>
    <w:uiPriority w:val="99"/>
    <w:rsid w:val="0068053F"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08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Calibri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8053F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B10B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30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2C0BC4"/>
    <w:pPr>
      <w:spacing w:before="280" w:after="119" w:line="240" w:lineRule="auto"/>
    </w:pPr>
    <w:rPr>
      <w:rFonts w:ascii="Calibri" w:eastAsia="Times New Roman" w:hAnsi="Calibri" w:cs="Calibri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D0DF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72B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8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1F01-08F6-4C1D-9AAD-47378F14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juliette.metzner</dc:creator>
  <cp:lastModifiedBy>antoine.austruit</cp:lastModifiedBy>
  <cp:revision>9</cp:revision>
  <cp:lastPrinted>2015-09-09T16:37:00Z</cp:lastPrinted>
  <dcterms:created xsi:type="dcterms:W3CDTF">2016-05-12T13:03:00Z</dcterms:created>
  <dcterms:modified xsi:type="dcterms:W3CDTF">2016-05-12T14:50:00Z</dcterms:modified>
  <dc:language>fr-FR</dc:language>
</cp:coreProperties>
</file>