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8E" w:rsidRPr="005502F4" w:rsidRDefault="005502F4">
      <w:pPr>
        <w:jc w:val="center"/>
        <w:rPr>
          <w:b/>
          <w:sz w:val="20"/>
          <w:szCs w:val="20"/>
        </w:rPr>
      </w:pPr>
      <w:r w:rsidRPr="005502F4">
        <w:rPr>
          <w:b/>
          <w:color w:val="000000"/>
          <w:sz w:val="20"/>
          <w:szCs w:val="20"/>
        </w:rPr>
        <w:t>Régime indemnitaire tenant compte des fonctions, des sujétions, de l'expertise et de l'engagement professionnel</w:t>
      </w:r>
    </w:p>
    <w:p w:rsidR="0086158E" w:rsidRPr="00933853" w:rsidRDefault="00933853">
      <w:pPr>
        <w:jc w:val="center"/>
        <w:rPr>
          <w:sz w:val="24"/>
          <w:szCs w:val="24"/>
        </w:rPr>
      </w:pPr>
      <w:r w:rsidRPr="00933853">
        <w:rPr>
          <w:b/>
          <w:sz w:val="24"/>
          <w:szCs w:val="24"/>
        </w:rPr>
        <w:t xml:space="preserve">Document de travail préparatoire au groupe de travail </w:t>
      </w:r>
      <w:r w:rsidR="005502F4" w:rsidRPr="00933853">
        <w:rPr>
          <w:b/>
          <w:sz w:val="24"/>
          <w:szCs w:val="24"/>
        </w:rPr>
        <w:t>RIFSEEP</w:t>
      </w:r>
    </w:p>
    <w:p w:rsidR="005A3355" w:rsidRDefault="00117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</w:t>
      </w:r>
      <w:r w:rsidR="00933853" w:rsidRPr="00933853">
        <w:rPr>
          <w:b/>
          <w:sz w:val="24"/>
          <w:szCs w:val="24"/>
        </w:rPr>
        <w:t xml:space="preserve"> / SRH du 2</w:t>
      </w:r>
      <w:r>
        <w:rPr>
          <w:b/>
          <w:sz w:val="24"/>
          <w:szCs w:val="24"/>
        </w:rPr>
        <w:t>6</w:t>
      </w:r>
      <w:r w:rsidR="00933853" w:rsidRPr="00933853">
        <w:rPr>
          <w:b/>
          <w:sz w:val="24"/>
          <w:szCs w:val="24"/>
        </w:rPr>
        <w:t xml:space="preserve"> mai 2016</w:t>
      </w:r>
      <w:r>
        <w:rPr>
          <w:b/>
          <w:sz w:val="24"/>
          <w:szCs w:val="24"/>
        </w:rPr>
        <w:t xml:space="preserve"> : </w:t>
      </w:r>
    </w:p>
    <w:p w:rsidR="0086158E" w:rsidRPr="00933853" w:rsidRDefault="00117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filière </w:t>
      </w:r>
      <w:r w:rsidR="005A3355">
        <w:rPr>
          <w:b/>
          <w:sz w:val="24"/>
          <w:szCs w:val="24"/>
        </w:rPr>
        <w:t>accueil, surveillance et magasinage</w:t>
      </w:r>
      <w:r w:rsidR="001C3364">
        <w:rPr>
          <w:b/>
          <w:sz w:val="24"/>
          <w:szCs w:val="24"/>
        </w:rPr>
        <w:t xml:space="preserve"> / technique</w:t>
      </w:r>
      <w:bookmarkStart w:id="0" w:name="_GoBack"/>
      <w:bookmarkEnd w:id="0"/>
    </w:p>
    <w:p w:rsidR="0086158E" w:rsidRDefault="00933853">
      <w:pPr>
        <w:pStyle w:val="western"/>
        <w:jc w:val="both"/>
        <w:rPr>
          <w:b/>
          <w:color w:val="000000"/>
        </w:rPr>
      </w:pPr>
      <w:proofErr w:type="gramStart"/>
      <w:r w:rsidRPr="00EB053C">
        <w:rPr>
          <w:b/>
          <w:color w:val="000000"/>
          <w:u w:val="single"/>
        </w:rPr>
        <w:t>Référence</w:t>
      </w:r>
      <w:r>
        <w:rPr>
          <w:b/>
          <w:color w:val="000000"/>
          <w:u w:val="single"/>
        </w:rPr>
        <w:t>s</w:t>
      </w:r>
      <w:proofErr w:type="gramEnd"/>
      <w:r>
        <w:rPr>
          <w:b/>
          <w:color w:val="000000"/>
        </w:rPr>
        <w:t xml:space="preserve"> : 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 xml:space="preserve">Décret n° 2014-513 du 20 mai 2014 portant création du RIFSEEP 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>Circulaire du 5 décembre 2014 relative à la mise en œuvre du RIFSEEP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>Arrêté du 27 août 2015 listant les primes cumulables avec le RIFSEEP</w:t>
      </w:r>
    </w:p>
    <w:p w:rsidR="00201461" w:rsidRDefault="00201461" w:rsidP="00201461">
      <w:pPr>
        <w:pStyle w:val="western"/>
        <w:jc w:val="both"/>
        <w:rPr>
          <w:b/>
          <w:color w:val="000000"/>
        </w:rPr>
      </w:pPr>
      <w:r w:rsidRPr="00EB053C">
        <w:rPr>
          <w:b/>
          <w:color w:val="000000"/>
          <w:u w:val="single"/>
        </w:rPr>
        <w:t>Calendrier prévisionnel</w:t>
      </w:r>
      <w:r>
        <w:rPr>
          <w:b/>
          <w:color w:val="000000"/>
        </w:rPr>
        <w:t> :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Fin des travaux préparatoires  SRH/AE : mi-mai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Echanges avec les OS : de mi-mai à mi-juin (GT par filière)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Envoi du dossier GU fin juin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Passage en CTM début septembre </w:t>
      </w:r>
    </w:p>
    <w:p w:rsid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Adhésion </w:t>
      </w:r>
      <w:r>
        <w:rPr>
          <w:color w:val="000000"/>
        </w:rPr>
        <w:t>RIFSEEP au 1</w:t>
      </w:r>
      <w:r w:rsidRPr="005502F4">
        <w:rPr>
          <w:color w:val="000000"/>
          <w:vertAlign w:val="superscript"/>
        </w:rPr>
        <w:t>er</w:t>
      </w:r>
      <w:r>
        <w:rPr>
          <w:color w:val="000000"/>
        </w:rPr>
        <w:t xml:space="preserve"> octobre </w:t>
      </w:r>
    </w:p>
    <w:p w:rsidR="00375AF7" w:rsidRDefault="00375AF7" w:rsidP="00375AF7">
      <w:pPr>
        <w:pStyle w:val="western"/>
        <w:ind w:left="720"/>
        <w:jc w:val="both"/>
        <w:rPr>
          <w:color w:val="000000"/>
        </w:rPr>
      </w:pPr>
    </w:p>
    <w:p w:rsidR="005502F4" w:rsidRPr="00EB053C" w:rsidRDefault="005502F4" w:rsidP="00201461">
      <w:pPr>
        <w:pStyle w:val="western"/>
        <w:jc w:val="both"/>
        <w:rPr>
          <w:b/>
          <w:color w:val="000000"/>
          <w:u w:val="single"/>
        </w:rPr>
      </w:pPr>
      <w:r w:rsidRPr="00EB053C">
        <w:rPr>
          <w:b/>
          <w:color w:val="000000"/>
          <w:u w:val="single"/>
        </w:rPr>
        <w:t xml:space="preserve">Périmètre des primes intégrées : </w:t>
      </w:r>
    </w:p>
    <w:p w:rsidR="00FB1B3B" w:rsidRPr="00375AF7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FB1B3B">
        <w:rPr>
          <w:sz w:val="20"/>
          <w:szCs w:val="20"/>
        </w:rPr>
        <w:t xml:space="preserve">Indemnité </w:t>
      </w:r>
      <w:r w:rsidRPr="00C76269">
        <w:rPr>
          <w:sz w:val="20"/>
          <w:szCs w:val="20"/>
        </w:rPr>
        <w:t>d'adminis</w:t>
      </w:r>
      <w:r w:rsidR="00095D98" w:rsidRPr="00C76269">
        <w:rPr>
          <w:sz w:val="20"/>
          <w:szCs w:val="20"/>
        </w:rPr>
        <w:t xml:space="preserve">tration et de </w:t>
      </w:r>
      <w:r w:rsidR="00095D98" w:rsidRPr="00375AF7">
        <w:rPr>
          <w:sz w:val="20"/>
          <w:szCs w:val="20"/>
        </w:rPr>
        <w:t xml:space="preserve">technicité - </w:t>
      </w:r>
      <w:r w:rsidRPr="00375AF7">
        <w:rPr>
          <w:sz w:val="20"/>
          <w:szCs w:val="20"/>
        </w:rPr>
        <w:t xml:space="preserve">IAT </w:t>
      </w:r>
      <w:r w:rsidRPr="00375AF7">
        <w:rPr>
          <w:i/>
          <w:sz w:val="20"/>
          <w:szCs w:val="20"/>
        </w:rPr>
        <w:t xml:space="preserve">(D. 2002-61 du 14 janvier 2002 et arrêté du 29 janvier 2002. D.n°2004-1267 du 23 novembre 2004 et arrêté du 6 mars 2006 pour les </w:t>
      </w:r>
      <w:r w:rsidR="00095D98" w:rsidRPr="00375AF7">
        <w:rPr>
          <w:i/>
          <w:sz w:val="20"/>
          <w:szCs w:val="20"/>
        </w:rPr>
        <w:t>SD</w:t>
      </w:r>
      <w:r w:rsidRPr="00375AF7">
        <w:rPr>
          <w:i/>
          <w:sz w:val="20"/>
          <w:szCs w:val="20"/>
        </w:rPr>
        <w:t xml:space="preserve"> de Paris et </w:t>
      </w:r>
      <w:r w:rsidR="00095D98" w:rsidRPr="00375AF7">
        <w:rPr>
          <w:i/>
          <w:sz w:val="20"/>
          <w:szCs w:val="20"/>
        </w:rPr>
        <w:t>IDF</w:t>
      </w:r>
      <w:r w:rsidRPr="00375AF7">
        <w:rPr>
          <w:i/>
          <w:sz w:val="20"/>
          <w:szCs w:val="20"/>
        </w:rPr>
        <w:t>)</w:t>
      </w:r>
    </w:p>
    <w:p w:rsidR="00FB1B3B" w:rsidRPr="00375AF7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375AF7">
        <w:rPr>
          <w:sz w:val="20"/>
          <w:szCs w:val="20"/>
        </w:rPr>
        <w:t xml:space="preserve">Indemnité de difficulté administrative </w:t>
      </w:r>
      <w:r w:rsidR="00095D98" w:rsidRPr="00375AF7">
        <w:rPr>
          <w:sz w:val="20"/>
          <w:szCs w:val="20"/>
        </w:rPr>
        <w:t xml:space="preserve">- </w:t>
      </w:r>
      <w:r w:rsidRPr="00375AF7">
        <w:rPr>
          <w:sz w:val="20"/>
          <w:szCs w:val="20"/>
        </w:rPr>
        <w:t>IDA</w:t>
      </w:r>
      <w:r w:rsidR="00095D98" w:rsidRPr="00375AF7">
        <w:rPr>
          <w:i/>
          <w:sz w:val="20"/>
          <w:szCs w:val="20"/>
        </w:rPr>
        <w:t xml:space="preserve"> </w:t>
      </w:r>
      <w:r w:rsidRPr="00375AF7">
        <w:rPr>
          <w:i/>
          <w:sz w:val="20"/>
          <w:szCs w:val="20"/>
        </w:rPr>
        <w:t>(D.</w:t>
      </w:r>
      <w:r w:rsidR="00095D98" w:rsidRPr="00375AF7">
        <w:rPr>
          <w:i/>
          <w:sz w:val="20"/>
          <w:szCs w:val="20"/>
        </w:rPr>
        <w:t xml:space="preserve"> </w:t>
      </w:r>
      <w:r w:rsidRPr="00375AF7">
        <w:rPr>
          <w:i/>
          <w:sz w:val="20"/>
          <w:szCs w:val="20"/>
        </w:rPr>
        <w:t>n°46-2020 du 17 septembre 1946)</w:t>
      </w:r>
    </w:p>
    <w:p w:rsidR="0086158E" w:rsidRPr="00375AF7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375AF7">
        <w:rPr>
          <w:sz w:val="20"/>
          <w:szCs w:val="20"/>
        </w:rPr>
        <w:t xml:space="preserve">Prime de sujétions spéciales </w:t>
      </w:r>
      <w:r w:rsidRPr="00375AF7">
        <w:rPr>
          <w:i/>
          <w:sz w:val="20"/>
          <w:szCs w:val="20"/>
        </w:rPr>
        <w:t>(D. 95-545 du 2 mai 1995 + arrêté du 24 août 1999</w:t>
      </w:r>
      <w:r w:rsidR="00095D98" w:rsidRPr="00375AF7">
        <w:rPr>
          <w:i/>
          <w:sz w:val="20"/>
          <w:szCs w:val="20"/>
        </w:rPr>
        <w:t> ; D. 95-154 du 15 février 1995</w:t>
      </w:r>
      <w:r w:rsidRPr="00375AF7">
        <w:rPr>
          <w:i/>
          <w:sz w:val="20"/>
          <w:szCs w:val="20"/>
        </w:rPr>
        <w:t>)</w:t>
      </w:r>
    </w:p>
    <w:p w:rsidR="00FB1B3B" w:rsidRPr="00375AF7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375AF7">
        <w:rPr>
          <w:sz w:val="20"/>
          <w:szCs w:val="20"/>
        </w:rPr>
        <w:t>Indemnité forfaitaire de</w:t>
      </w:r>
      <w:r w:rsidR="00095D98" w:rsidRPr="00375AF7">
        <w:rPr>
          <w:sz w:val="20"/>
          <w:szCs w:val="20"/>
        </w:rPr>
        <w:t xml:space="preserve"> travail supplémentaire - IFTS</w:t>
      </w:r>
      <w:r w:rsidRPr="00375AF7">
        <w:rPr>
          <w:sz w:val="20"/>
          <w:szCs w:val="20"/>
        </w:rPr>
        <w:t xml:space="preserve"> </w:t>
      </w:r>
      <w:r w:rsidRPr="00375AF7">
        <w:rPr>
          <w:i/>
          <w:sz w:val="20"/>
          <w:szCs w:val="20"/>
        </w:rPr>
        <w:t>(Centrale : D. 2002-62 du 14 janvier 2002 et arrêtés du 13 décembre 2002 et du 26 mai 2003. SD : D. 2002-63 du 14 janvier 2002 +</w:t>
      </w:r>
      <w:r w:rsidR="00095D98" w:rsidRPr="00375AF7">
        <w:rPr>
          <w:i/>
          <w:sz w:val="20"/>
          <w:szCs w:val="20"/>
        </w:rPr>
        <w:t xml:space="preserve"> </w:t>
      </w:r>
      <w:r w:rsidRPr="00375AF7">
        <w:rPr>
          <w:i/>
          <w:sz w:val="20"/>
          <w:szCs w:val="20"/>
        </w:rPr>
        <w:t>arrêté)</w:t>
      </w:r>
    </w:p>
    <w:p w:rsidR="0086158E" w:rsidRPr="00375AF7" w:rsidRDefault="00C76269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375AF7">
        <w:rPr>
          <w:sz w:val="20"/>
          <w:szCs w:val="20"/>
        </w:rPr>
        <w:t>I</w:t>
      </w:r>
      <w:r w:rsidR="00FB1B3B" w:rsidRPr="00375AF7">
        <w:rPr>
          <w:sz w:val="20"/>
          <w:szCs w:val="20"/>
        </w:rPr>
        <w:t xml:space="preserve">ndemnité de responsabilité de régisseur d'avances ou de recettes </w:t>
      </w:r>
      <w:r w:rsidR="00FB1B3B" w:rsidRPr="00375AF7">
        <w:rPr>
          <w:i/>
          <w:sz w:val="20"/>
          <w:szCs w:val="20"/>
        </w:rPr>
        <w:t>(D. 92-681 du 20 juillet 1992 et arrêté du 28 mai 1993)</w:t>
      </w:r>
    </w:p>
    <w:p w:rsidR="00603803" w:rsidRPr="00375AF7" w:rsidRDefault="00603803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375AF7">
        <w:rPr>
          <w:sz w:val="20"/>
          <w:szCs w:val="20"/>
        </w:rPr>
        <w:t xml:space="preserve">Prime d’encadrement </w:t>
      </w:r>
      <w:r w:rsidRPr="00375AF7">
        <w:rPr>
          <w:i/>
          <w:sz w:val="20"/>
          <w:szCs w:val="20"/>
        </w:rPr>
        <w:t>(arrêté du 23 décembre 2003)</w:t>
      </w:r>
    </w:p>
    <w:p w:rsidR="00FB1B3B" w:rsidRPr="00375AF7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375AF7">
        <w:rPr>
          <w:sz w:val="20"/>
          <w:szCs w:val="20"/>
        </w:rPr>
        <w:t>Prime de service et de rendement</w:t>
      </w:r>
      <w:r w:rsidRPr="00375AF7">
        <w:rPr>
          <w:sz w:val="20"/>
          <w:szCs w:val="20"/>
        </w:rPr>
        <w:tab/>
        <w:t>(</w:t>
      </w:r>
      <w:r w:rsidRPr="00375AF7">
        <w:rPr>
          <w:i/>
          <w:sz w:val="20"/>
          <w:szCs w:val="20"/>
        </w:rPr>
        <w:t>D. 2000-950 du 22 septembre 2000)</w:t>
      </w:r>
    </w:p>
    <w:p w:rsidR="00A1285A" w:rsidRPr="00375AF7" w:rsidRDefault="00A1285A" w:rsidP="00A1285A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375AF7">
        <w:rPr>
          <w:sz w:val="20"/>
          <w:szCs w:val="20"/>
        </w:rPr>
        <w:t>Indemnités pour travaux dangereux, insalubres, incommodes ou salissants (</w:t>
      </w:r>
      <w:r w:rsidRPr="00375AF7">
        <w:rPr>
          <w:i/>
          <w:sz w:val="20"/>
          <w:szCs w:val="20"/>
        </w:rPr>
        <w:t>D. 67-624 du 23 juillet 1967)</w:t>
      </w:r>
    </w:p>
    <w:p w:rsidR="00FB1B3B" w:rsidRPr="00375AF7" w:rsidRDefault="00881660" w:rsidP="00A1285A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0"/>
          <w:szCs w:val="20"/>
        </w:rPr>
      </w:pPr>
      <w:r w:rsidRPr="00375AF7">
        <w:rPr>
          <w:color w:val="000000" w:themeColor="text1"/>
          <w:sz w:val="20"/>
          <w:szCs w:val="20"/>
        </w:rPr>
        <w:t>Indemnité de</w:t>
      </w:r>
      <w:r w:rsidR="00FB1B3B" w:rsidRPr="00375AF7">
        <w:rPr>
          <w:color w:val="000000" w:themeColor="text1"/>
          <w:sz w:val="20"/>
          <w:szCs w:val="20"/>
        </w:rPr>
        <w:t xml:space="preserve"> panier</w:t>
      </w:r>
      <w:r w:rsidR="00A170E5" w:rsidRPr="00375AF7">
        <w:rPr>
          <w:color w:val="000000" w:themeColor="text1"/>
          <w:sz w:val="20"/>
          <w:szCs w:val="20"/>
        </w:rPr>
        <w:t xml:space="preserve"> </w:t>
      </w:r>
      <w:r w:rsidR="00A170E5" w:rsidRPr="00375AF7">
        <w:rPr>
          <w:i/>
          <w:color w:val="000000" w:themeColor="text1"/>
          <w:sz w:val="20"/>
          <w:szCs w:val="20"/>
        </w:rPr>
        <w:t>(D. 73-979 du 22 octobre 1973 et arrêté du 31 décembre 1999)</w:t>
      </w:r>
    </w:p>
    <w:p w:rsidR="0086158E" w:rsidRPr="00881660" w:rsidRDefault="00881660" w:rsidP="00A170E5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375AF7">
        <w:rPr>
          <w:bCs/>
          <w:color w:val="000000" w:themeColor="text1"/>
          <w:sz w:val="20"/>
          <w:szCs w:val="20"/>
        </w:rPr>
        <w:t>Indemnité de chaussures et de petit équipement</w:t>
      </w:r>
      <w:r w:rsidR="00FB1B3B" w:rsidRPr="00375AF7">
        <w:rPr>
          <w:color w:val="000000" w:themeColor="text1"/>
          <w:sz w:val="20"/>
          <w:szCs w:val="20"/>
        </w:rPr>
        <w:t xml:space="preserve"> </w:t>
      </w:r>
      <w:r w:rsidR="00A170E5" w:rsidRPr="00375AF7">
        <w:rPr>
          <w:color w:val="000000" w:themeColor="text1"/>
          <w:sz w:val="20"/>
          <w:szCs w:val="20"/>
        </w:rPr>
        <w:t>(</w:t>
      </w:r>
      <w:r w:rsidR="00A170E5" w:rsidRPr="00881660">
        <w:rPr>
          <w:i/>
          <w:color w:val="000000" w:themeColor="text1"/>
          <w:sz w:val="20"/>
          <w:szCs w:val="20"/>
        </w:rPr>
        <w:t>D. 74-720 du 14 août 1974 et arrêté du 31 décembre 1999)</w:t>
      </w:r>
    </w:p>
    <w:p w:rsidR="00682B79" w:rsidRDefault="00682B79">
      <w:pPr>
        <w:suppressAutoHyphens w:val="0"/>
        <w:spacing w:after="0"/>
        <w:rPr>
          <w:b/>
        </w:rPr>
      </w:pPr>
    </w:p>
    <w:p w:rsidR="00D95E71" w:rsidRDefault="00D95E71">
      <w:pPr>
        <w:suppressAutoHyphens w:val="0"/>
        <w:spacing w:after="0"/>
        <w:rPr>
          <w:b/>
        </w:rPr>
      </w:pPr>
      <w:r>
        <w:rPr>
          <w:b/>
        </w:rPr>
        <w:br w:type="page"/>
      </w:r>
    </w:p>
    <w:p w:rsidR="0086158E" w:rsidRDefault="00933853">
      <w:pPr>
        <w:jc w:val="center"/>
        <w:rPr>
          <w:b/>
        </w:rPr>
      </w:pPr>
      <w:r>
        <w:rPr>
          <w:b/>
        </w:rPr>
        <w:lastRenderedPageBreak/>
        <w:t>Adjoints d’accueil, de surveillance et de magasinage (AASM)</w:t>
      </w:r>
    </w:p>
    <w:tbl>
      <w:tblPr>
        <w:tblStyle w:val="Grilledutableau"/>
        <w:tblW w:w="9068" w:type="dxa"/>
        <w:tblInd w:w="279" w:type="dxa"/>
        <w:tblLook w:val="04A0" w:firstRow="1" w:lastRow="0" w:firstColumn="1" w:lastColumn="0" w:noHBand="0" w:noVBand="1"/>
      </w:tblPr>
      <w:tblGrid>
        <w:gridCol w:w="1276"/>
        <w:gridCol w:w="3685"/>
        <w:gridCol w:w="2552"/>
        <w:gridCol w:w="1555"/>
      </w:tblGrid>
      <w:tr w:rsidR="00923AC4" w:rsidTr="00FC1189">
        <w:tc>
          <w:tcPr>
            <w:tcW w:w="1276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3685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2552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</w:t>
            </w:r>
          </w:p>
        </w:tc>
        <w:tc>
          <w:tcPr>
            <w:tcW w:w="1555" w:type="dxa"/>
            <w:shd w:val="clear" w:color="auto" w:fill="AEAAAA" w:themeFill="background2" w:themeFillShade="BF"/>
          </w:tcPr>
          <w:p w:rsidR="00923AC4" w:rsidRDefault="00923A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</w:t>
            </w:r>
          </w:p>
        </w:tc>
      </w:tr>
      <w:tr w:rsidR="00923AC4" w:rsidTr="00FC1189"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>Groupe 1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>Responsable d’équipe</w:t>
            </w:r>
          </w:p>
          <w:p w:rsidR="00923AC4" w:rsidRPr="00D95E71" w:rsidRDefault="00923AC4" w:rsidP="008F3577">
            <w:pPr>
              <w:spacing w:after="0"/>
              <w:rPr>
                <w:color w:val="000000" w:themeColor="text1"/>
              </w:rPr>
            </w:pPr>
            <w:r w:rsidRPr="00D95E71">
              <w:rPr>
                <w:color w:val="000000" w:themeColor="text1"/>
              </w:rPr>
              <w:t>Agents de prévention</w:t>
            </w:r>
          </w:p>
          <w:p w:rsidR="00923AC4" w:rsidRPr="00D95E71" w:rsidRDefault="00923AC4" w:rsidP="008F3577">
            <w:pPr>
              <w:spacing w:after="0"/>
              <w:rPr>
                <w:color w:val="000000" w:themeColor="text1"/>
              </w:rPr>
            </w:pPr>
            <w:r w:rsidRPr="00D95E71">
              <w:rPr>
                <w:color w:val="000000" w:themeColor="text1"/>
              </w:rPr>
              <w:t>Caissier-régisseur</w:t>
            </w:r>
          </w:p>
          <w:p w:rsidR="00923AC4" w:rsidRPr="00D95E71" w:rsidRDefault="00923AC4" w:rsidP="008F3577">
            <w:pPr>
              <w:spacing w:after="0"/>
              <w:rPr>
                <w:color w:val="000000" w:themeColor="text1"/>
              </w:rPr>
            </w:pPr>
            <w:r w:rsidRPr="00D95E71">
              <w:rPr>
                <w:color w:val="000000" w:themeColor="text1"/>
              </w:rPr>
              <w:t>Contrôleur</w:t>
            </w:r>
          </w:p>
          <w:p w:rsidR="00923AC4" w:rsidRDefault="00923AC4" w:rsidP="008F3577">
            <w:pPr>
              <w:spacing w:after="0"/>
            </w:pPr>
            <w:r w:rsidRPr="00D95E71">
              <w:rPr>
                <w:color w:val="000000" w:themeColor="text1"/>
              </w:rPr>
              <w:t>Pupitreur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 xml:space="preserve">Moins de 35% </w:t>
            </w:r>
          </w:p>
        </w:tc>
        <w:tc>
          <w:tcPr>
            <w:tcW w:w="1555" w:type="dxa"/>
            <w:vMerge w:val="restart"/>
            <w:vAlign w:val="center"/>
          </w:tcPr>
          <w:p w:rsidR="00923AC4" w:rsidRDefault="00923AC4" w:rsidP="00923AC4">
            <w:pPr>
              <w:spacing w:after="0"/>
              <w:jc w:val="center"/>
            </w:pPr>
            <w:r>
              <w:t>2 681 €</w:t>
            </w:r>
          </w:p>
          <w:p w:rsidR="003331CA" w:rsidRDefault="003331CA" w:rsidP="00923AC4">
            <w:pPr>
              <w:spacing w:after="0"/>
              <w:jc w:val="center"/>
            </w:pPr>
            <w:r>
              <w:t>(IAT ou IFTS + sujétions</w:t>
            </w:r>
            <w:r>
              <w:t xml:space="preserve"> spéciales</w:t>
            </w:r>
            <w:r>
              <w:t>)</w:t>
            </w:r>
          </w:p>
        </w:tc>
      </w:tr>
      <w:tr w:rsidR="00923AC4" w:rsidTr="00FC1189"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>Groupe 2</w:t>
            </w:r>
          </w:p>
        </w:tc>
        <w:tc>
          <w:tcPr>
            <w:tcW w:w="3685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 xml:space="preserve">Agents d’accueil et surveillance </w:t>
            </w:r>
          </w:p>
          <w:p w:rsidR="00923AC4" w:rsidRDefault="00923AC4">
            <w:pPr>
              <w:spacing w:after="0"/>
            </w:pPr>
            <w:r>
              <w:t xml:space="preserve">Agents de magasinage 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923AC4" w:rsidRDefault="00923AC4">
            <w:pPr>
              <w:spacing w:after="0"/>
            </w:pPr>
            <w:r>
              <w:t xml:space="preserve">Plus de 65% </w:t>
            </w:r>
          </w:p>
        </w:tc>
        <w:tc>
          <w:tcPr>
            <w:tcW w:w="1555" w:type="dxa"/>
            <w:vMerge/>
          </w:tcPr>
          <w:p w:rsidR="00923AC4" w:rsidRDefault="00923AC4">
            <w:pPr>
              <w:spacing w:after="0"/>
            </w:pPr>
          </w:p>
        </w:tc>
      </w:tr>
    </w:tbl>
    <w:p w:rsidR="008F3577" w:rsidRPr="008F3577" w:rsidRDefault="008F3577" w:rsidP="008F3577">
      <w:pPr>
        <w:jc w:val="both"/>
        <w:rPr>
          <w:u w:val="single"/>
        </w:rPr>
      </w:pPr>
    </w:p>
    <w:p w:rsidR="0086158E" w:rsidRDefault="00933853">
      <w:pPr>
        <w:jc w:val="center"/>
        <w:rPr>
          <w:b/>
        </w:rPr>
      </w:pPr>
      <w:r>
        <w:rPr>
          <w:b/>
        </w:rPr>
        <w:t>Techniciens des services culturels et des bâtiments de France (TSCBF)</w:t>
      </w: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1125"/>
        <w:gridCol w:w="5533"/>
        <w:gridCol w:w="1571"/>
        <w:gridCol w:w="1122"/>
      </w:tblGrid>
      <w:tr w:rsidR="00923AC4" w:rsidTr="00FC1189">
        <w:trPr>
          <w:jc w:val="center"/>
        </w:trPr>
        <w:tc>
          <w:tcPr>
            <w:tcW w:w="1125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5533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1571" w:type="dxa"/>
            <w:shd w:val="clear" w:color="auto" w:fill="AEAAAA" w:themeFill="background2" w:themeFillShade="BF"/>
            <w:tcMar>
              <w:left w:w="108" w:type="dxa"/>
            </w:tcMar>
          </w:tcPr>
          <w:p w:rsidR="00923AC4" w:rsidRDefault="00923A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</w:t>
            </w:r>
          </w:p>
        </w:tc>
        <w:tc>
          <w:tcPr>
            <w:tcW w:w="1122" w:type="dxa"/>
            <w:shd w:val="clear" w:color="auto" w:fill="AEAAAA" w:themeFill="background2" w:themeFillShade="BF"/>
          </w:tcPr>
          <w:p w:rsidR="00923AC4" w:rsidRDefault="003331C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</w:t>
            </w:r>
          </w:p>
        </w:tc>
      </w:tr>
      <w:tr w:rsidR="003331CA" w:rsidTr="00FC1189">
        <w:trPr>
          <w:jc w:val="center"/>
        </w:trPr>
        <w:tc>
          <w:tcPr>
            <w:tcW w:w="1125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1</w:t>
            </w:r>
          </w:p>
        </w:tc>
        <w:tc>
          <w:tcPr>
            <w:tcW w:w="553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Responsable d’équipe importante (+</w:t>
            </w:r>
            <w:r>
              <w:rPr>
                <w:color w:val="000000" w:themeColor="text1"/>
              </w:rPr>
              <w:t>20</w:t>
            </w:r>
            <w:r w:rsidRPr="00384C6D">
              <w:rPr>
                <w:color w:val="000000" w:themeColor="text1"/>
              </w:rPr>
              <w:t xml:space="preserve"> </w:t>
            </w:r>
            <w:r>
              <w:t xml:space="preserve">agents) </w:t>
            </w:r>
          </w:p>
          <w:p w:rsidR="003331CA" w:rsidRDefault="003331CA">
            <w:pPr>
              <w:spacing w:after="0"/>
            </w:pPr>
            <w:r>
              <w:t>Adjoint à un responsable d’équipe très importante (+40 agents)</w:t>
            </w:r>
          </w:p>
          <w:p w:rsidR="003331CA" w:rsidRDefault="003331CA">
            <w:pPr>
              <w:spacing w:after="0"/>
            </w:pPr>
            <w:r>
              <w:t>Techniciens à fortes sujétions et exposition importante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331CA" w:rsidRDefault="003331CA" w:rsidP="00267D38">
            <w:pPr>
              <w:spacing w:after="0"/>
              <w:jc w:val="center"/>
            </w:pPr>
            <w:r>
              <w:t>Moins de 15%</w:t>
            </w:r>
          </w:p>
        </w:tc>
        <w:tc>
          <w:tcPr>
            <w:tcW w:w="1122" w:type="dxa"/>
            <w:vMerge w:val="restart"/>
            <w:vAlign w:val="center"/>
          </w:tcPr>
          <w:p w:rsidR="003331CA" w:rsidRDefault="003331CA" w:rsidP="00267D38">
            <w:pPr>
              <w:spacing w:after="0"/>
              <w:jc w:val="center"/>
            </w:pPr>
            <w:r>
              <w:t>3 571 €</w:t>
            </w:r>
          </w:p>
          <w:p w:rsidR="003331CA" w:rsidRDefault="003331CA" w:rsidP="00267D38">
            <w:pPr>
              <w:spacing w:after="0"/>
              <w:jc w:val="center"/>
            </w:pPr>
            <w:r>
              <w:t>(IAT ou IFTS + sujétions)</w:t>
            </w:r>
          </w:p>
        </w:tc>
      </w:tr>
      <w:tr w:rsidR="003331CA" w:rsidTr="00FC1189">
        <w:trPr>
          <w:jc w:val="center"/>
        </w:trPr>
        <w:tc>
          <w:tcPr>
            <w:tcW w:w="1125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2</w:t>
            </w:r>
          </w:p>
        </w:tc>
        <w:tc>
          <w:tcPr>
            <w:tcW w:w="553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 xml:space="preserve">Responsable d’équipe </w:t>
            </w:r>
          </w:p>
          <w:p w:rsidR="003331CA" w:rsidRDefault="003331CA">
            <w:pPr>
              <w:spacing w:after="0"/>
            </w:pPr>
            <w:r>
              <w:t>Adjoint à un resp</w:t>
            </w:r>
            <w:r w:rsidRPr="006473F2">
              <w:rPr>
                <w:color w:val="000000" w:themeColor="text1"/>
              </w:rPr>
              <w:t>onsable d’équipe importante (+</w:t>
            </w:r>
            <w:r>
              <w:rPr>
                <w:color w:val="000000" w:themeColor="text1"/>
              </w:rPr>
              <w:t>20</w:t>
            </w:r>
            <w:r w:rsidRPr="006473F2">
              <w:rPr>
                <w:color w:val="000000" w:themeColor="text1"/>
              </w:rPr>
              <w:t xml:space="preserve"> agents)</w:t>
            </w:r>
          </w:p>
          <w:p w:rsidR="003331CA" w:rsidRDefault="003331CA">
            <w:pPr>
              <w:spacing w:after="0"/>
              <w:rPr>
                <w:i/>
              </w:rPr>
            </w:pPr>
            <w:r>
              <w:t xml:space="preserve">Techniciens avec sujétions particulières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  <w:jc w:val="center"/>
            </w:pPr>
            <w:r>
              <w:t>Entre 20% et 40%</w:t>
            </w:r>
          </w:p>
        </w:tc>
        <w:tc>
          <w:tcPr>
            <w:tcW w:w="1122" w:type="dxa"/>
            <w:vMerge/>
          </w:tcPr>
          <w:p w:rsidR="003331CA" w:rsidRDefault="003331CA">
            <w:pPr>
              <w:spacing w:after="0"/>
              <w:jc w:val="center"/>
            </w:pPr>
          </w:p>
        </w:tc>
      </w:tr>
      <w:tr w:rsidR="003331CA" w:rsidTr="00FC1189">
        <w:trPr>
          <w:jc w:val="center"/>
        </w:trPr>
        <w:tc>
          <w:tcPr>
            <w:tcW w:w="1125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3</w:t>
            </w:r>
          </w:p>
        </w:tc>
        <w:tc>
          <w:tcPr>
            <w:tcW w:w="553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Autres fonctions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  <w:jc w:val="center"/>
            </w:pPr>
            <w:r>
              <w:t>Plus de 45%</w:t>
            </w:r>
          </w:p>
        </w:tc>
        <w:tc>
          <w:tcPr>
            <w:tcW w:w="1122" w:type="dxa"/>
            <w:vMerge/>
          </w:tcPr>
          <w:p w:rsidR="003331CA" w:rsidRDefault="003331CA">
            <w:pPr>
              <w:spacing w:after="0"/>
              <w:jc w:val="center"/>
            </w:pPr>
          </w:p>
        </w:tc>
      </w:tr>
    </w:tbl>
    <w:p w:rsidR="0086158E" w:rsidRDefault="00933853">
      <w:pPr>
        <w:rPr>
          <w:b/>
          <w:i/>
        </w:rPr>
      </w:pPr>
      <w:r>
        <w:rPr>
          <w:b/>
          <w:i/>
        </w:rPr>
        <w:t xml:space="preserve">Commentaires : </w:t>
      </w:r>
    </w:p>
    <w:p w:rsidR="0086158E" w:rsidRDefault="00933853">
      <w:pPr>
        <w:pStyle w:val="NormalWeb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Exemples de fortes sujétions avec exposition importante (groupe 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 :</w:t>
      </w:r>
      <w:r w:rsidR="00070C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responsabilité de marchés publics ou d’engagements financiers importants, travail régulier avec les élus, forte implication dans l’événementiel, responsabilité dans la gestion de contentieux</w:t>
      </w:r>
      <w:r w:rsidR="000B7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6158E" w:rsidRDefault="00933853">
      <w:pPr>
        <w:pStyle w:val="NormalWeb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Exemples de sujétions particulières (groupe 2)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agent de prévention à temps plein, maintenance des installations</w:t>
      </w:r>
      <w:r w:rsidR="00A378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techniques sur site important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horaires décalés, gestion d’un budget</w:t>
      </w:r>
      <w:r w:rsidR="00696E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important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participation à des commissions en qualité de représentant de l’administra</w:t>
      </w:r>
      <w:r w:rsidR="000B7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tion, suivi de marchés publics </w:t>
      </w:r>
    </w:p>
    <w:p w:rsidR="004B44F1" w:rsidRDefault="004B44F1">
      <w:pPr>
        <w:pStyle w:val="NormalWeb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158E" w:rsidRDefault="00933853">
      <w:pPr>
        <w:jc w:val="center"/>
      </w:pPr>
      <w:r>
        <w:rPr>
          <w:b/>
        </w:rPr>
        <w:t>Ingénieurs des services culturels et du patrimoine (ISCP)</w:t>
      </w:r>
    </w:p>
    <w:tbl>
      <w:tblPr>
        <w:tblStyle w:val="Grilledutableau"/>
        <w:tblW w:w="9628" w:type="dxa"/>
        <w:jc w:val="center"/>
        <w:tblLook w:val="04A0" w:firstRow="1" w:lastRow="0" w:firstColumn="1" w:lastColumn="0" w:noHBand="0" w:noVBand="1"/>
      </w:tblPr>
      <w:tblGrid>
        <w:gridCol w:w="1413"/>
        <w:gridCol w:w="5501"/>
        <w:gridCol w:w="1430"/>
        <w:gridCol w:w="1284"/>
      </w:tblGrid>
      <w:tr w:rsidR="003331CA" w:rsidTr="00FC1189">
        <w:trPr>
          <w:jc w:val="center"/>
        </w:trPr>
        <w:tc>
          <w:tcPr>
            <w:tcW w:w="1413" w:type="dxa"/>
            <w:shd w:val="clear" w:color="auto" w:fill="AEAAAA" w:themeFill="background2" w:themeFillShade="BF"/>
            <w:tcMar>
              <w:left w:w="108" w:type="dxa"/>
            </w:tcMar>
          </w:tcPr>
          <w:p w:rsidR="003331CA" w:rsidRDefault="003331CA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5504" w:type="dxa"/>
            <w:shd w:val="clear" w:color="auto" w:fill="AEAAAA" w:themeFill="background2" w:themeFillShade="BF"/>
            <w:tcMar>
              <w:left w:w="108" w:type="dxa"/>
            </w:tcMar>
          </w:tcPr>
          <w:p w:rsidR="003331CA" w:rsidRDefault="003331CA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1430" w:type="dxa"/>
            <w:shd w:val="clear" w:color="auto" w:fill="AEAAAA" w:themeFill="background2" w:themeFillShade="BF"/>
            <w:tcMar>
              <w:left w:w="108" w:type="dxa"/>
            </w:tcMar>
          </w:tcPr>
          <w:p w:rsidR="003331CA" w:rsidRDefault="003331C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</w:t>
            </w:r>
          </w:p>
        </w:tc>
        <w:tc>
          <w:tcPr>
            <w:tcW w:w="1281" w:type="dxa"/>
            <w:shd w:val="clear" w:color="auto" w:fill="AEAAAA" w:themeFill="background2" w:themeFillShade="BF"/>
          </w:tcPr>
          <w:p w:rsidR="003331CA" w:rsidRDefault="003331C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</w:t>
            </w:r>
          </w:p>
        </w:tc>
      </w:tr>
      <w:tr w:rsidR="003331CA" w:rsidTr="00FC1189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1</w:t>
            </w:r>
          </w:p>
        </w:tc>
        <w:tc>
          <w:tcPr>
            <w:tcW w:w="5504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 xml:space="preserve">Responsable d’équipe importante (+ de 40 agents) </w:t>
            </w:r>
          </w:p>
          <w:p w:rsidR="003331CA" w:rsidRDefault="003331CA">
            <w:pPr>
              <w:spacing w:after="0"/>
            </w:pPr>
            <w:r>
              <w:t>Adjoint à un responsable d’équipe très importante (+ 80 agents)</w:t>
            </w:r>
          </w:p>
          <w:p w:rsidR="003331CA" w:rsidRDefault="003331CA">
            <w:pPr>
              <w:spacing w:after="0"/>
            </w:pPr>
            <w:r>
              <w:t>Poste à fortes sujétions et exposition importante</w:t>
            </w:r>
          </w:p>
        </w:tc>
        <w:tc>
          <w:tcPr>
            <w:tcW w:w="1430" w:type="dxa"/>
            <w:shd w:val="clear" w:color="auto" w:fill="auto"/>
            <w:tcMar>
              <w:left w:w="108" w:type="dxa"/>
            </w:tcMar>
          </w:tcPr>
          <w:p w:rsidR="003331CA" w:rsidRDefault="003331CA" w:rsidP="00A464D9">
            <w:pPr>
              <w:spacing w:after="0"/>
              <w:jc w:val="center"/>
            </w:pPr>
            <w:r>
              <w:t>Moins de 15%</w:t>
            </w:r>
          </w:p>
        </w:tc>
        <w:tc>
          <w:tcPr>
            <w:tcW w:w="1281" w:type="dxa"/>
            <w:vMerge w:val="restart"/>
            <w:vAlign w:val="center"/>
          </w:tcPr>
          <w:p w:rsidR="003331CA" w:rsidRDefault="003331CA" w:rsidP="00A464D9">
            <w:pPr>
              <w:spacing w:after="0"/>
              <w:jc w:val="center"/>
            </w:pPr>
            <w:r>
              <w:t>4 544 €</w:t>
            </w:r>
          </w:p>
          <w:p w:rsidR="003331CA" w:rsidRDefault="003331CA" w:rsidP="003331CA">
            <w:pPr>
              <w:spacing w:after="0"/>
              <w:jc w:val="center"/>
            </w:pPr>
            <w:r>
              <w:t>(Primes de service et de rendement)</w:t>
            </w:r>
          </w:p>
        </w:tc>
      </w:tr>
      <w:tr w:rsidR="003331CA" w:rsidTr="00FC1189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2</w:t>
            </w:r>
          </w:p>
        </w:tc>
        <w:tc>
          <w:tcPr>
            <w:tcW w:w="5504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 xml:space="preserve">Responsable d’équipe </w:t>
            </w:r>
          </w:p>
          <w:p w:rsidR="003331CA" w:rsidRDefault="003331CA">
            <w:pPr>
              <w:spacing w:after="0"/>
            </w:pPr>
            <w:r>
              <w:t>Adjoint à un responsable d’équipe importante</w:t>
            </w:r>
          </w:p>
          <w:p w:rsidR="003331CA" w:rsidRDefault="003331CA">
            <w:pPr>
              <w:spacing w:after="0"/>
            </w:pPr>
            <w:r>
              <w:t>Ingénieur avec sujétions particulières</w:t>
            </w:r>
          </w:p>
        </w:tc>
        <w:tc>
          <w:tcPr>
            <w:tcW w:w="1430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  <w:jc w:val="center"/>
            </w:pPr>
            <w:r>
              <w:t>Entre 20% et 40%</w:t>
            </w:r>
          </w:p>
        </w:tc>
        <w:tc>
          <w:tcPr>
            <w:tcW w:w="1281" w:type="dxa"/>
            <w:vMerge/>
          </w:tcPr>
          <w:p w:rsidR="003331CA" w:rsidRDefault="003331CA">
            <w:pPr>
              <w:spacing w:after="0"/>
              <w:jc w:val="center"/>
            </w:pPr>
          </w:p>
        </w:tc>
      </w:tr>
      <w:tr w:rsidR="003331CA" w:rsidTr="00FC1189">
        <w:trPr>
          <w:jc w:val="center"/>
        </w:trPr>
        <w:tc>
          <w:tcPr>
            <w:tcW w:w="1413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Groupe 3</w:t>
            </w:r>
          </w:p>
        </w:tc>
        <w:tc>
          <w:tcPr>
            <w:tcW w:w="5504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</w:pPr>
            <w:r>
              <w:t>Autres fonctions</w:t>
            </w:r>
          </w:p>
        </w:tc>
        <w:tc>
          <w:tcPr>
            <w:tcW w:w="1430" w:type="dxa"/>
            <w:shd w:val="clear" w:color="auto" w:fill="auto"/>
            <w:tcMar>
              <w:left w:w="108" w:type="dxa"/>
            </w:tcMar>
          </w:tcPr>
          <w:p w:rsidR="003331CA" w:rsidRDefault="003331CA">
            <w:pPr>
              <w:spacing w:after="0"/>
              <w:jc w:val="center"/>
            </w:pPr>
            <w:r>
              <w:t>Plus de 45%</w:t>
            </w:r>
          </w:p>
        </w:tc>
        <w:tc>
          <w:tcPr>
            <w:tcW w:w="1281" w:type="dxa"/>
            <w:vMerge/>
          </w:tcPr>
          <w:p w:rsidR="003331CA" w:rsidRDefault="003331CA">
            <w:pPr>
              <w:spacing w:after="0"/>
              <w:jc w:val="center"/>
            </w:pPr>
          </w:p>
        </w:tc>
      </w:tr>
    </w:tbl>
    <w:p w:rsidR="0086158E" w:rsidRDefault="0086158E">
      <w:pPr>
        <w:jc w:val="both"/>
        <w:rPr>
          <w:i/>
        </w:rPr>
      </w:pPr>
    </w:p>
    <w:p w:rsidR="0086158E" w:rsidRDefault="00933853">
      <w:pPr>
        <w:jc w:val="both"/>
        <w:rPr>
          <w:b/>
          <w:i/>
        </w:rPr>
      </w:pPr>
      <w:r>
        <w:rPr>
          <w:b/>
          <w:i/>
        </w:rPr>
        <w:t xml:space="preserve">Commentaires : </w:t>
      </w:r>
    </w:p>
    <w:p w:rsidR="0086158E" w:rsidRPr="004B44F1" w:rsidRDefault="0044051D">
      <w:pPr>
        <w:jc w:val="both"/>
      </w:pPr>
      <w:r>
        <w:rPr>
          <w:i/>
        </w:rPr>
        <w:t xml:space="preserve">Proposition SRH : ne retenir que 3 groupes </w:t>
      </w:r>
      <w:r w:rsidR="005E02F7">
        <w:rPr>
          <w:i/>
        </w:rPr>
        <w:t>pour les ISCP (4</w:t>
      </w:r>
      <w:r>
        <w:rPr>
          <w:i/>
        </w:rPr>
        <w:t xml:space="preserve"> possibles). </w:t>
      </w:r>
    </w:p>
    <w:p w:rsidR="0086158E" w:rsidRDefault="00933853">
      <w:pPr>
        <w:pStyle w:val="NormalWeb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lastRenderedPageBreak/>
        <w:t>Exemples de fortes sujétions avec exposition importante (groupe 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: responsabilité de marchés publics ou d’engagements financiers importants, travail régulier avec les élus, forte implication dans l’événementiel, responsabilité dans la gestion de contentieux </w:t>
      </w:r>
    </w:p>
    <w:p w:rsidR="0086158E" w:rsidRPr="006879EE" w:rsidRDefault="00933853" w:rsidP="006879EE">
      <w:pPr>
        <w:pStyle w:val="NormalWeb"/>
        <w:spacing w:after="0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Exemples de sujétions particulières (groupe 2)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 maintenance des installations</w:t>
      </w:r>
      <w:r w:rsidR="00A378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techniques sur site important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horaires décalés, gestion d’un budget</w:t>
      </w:r>
      <w:r w:rsidR="000B32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important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participation à des commissions en qualité de r</w:t>
      </w:r>
      <w:r w:rsidR="002C3DE8">
        <w:rPr>
          <w:rFonts w:asciiTheme="minorHAnsi" w:eastAsiaTheme="minorHAnsi" w:hAnsiTheme="minorHAnsi" w:cstheme="minorBidi"/>
          <w:sz w:val="22"/>
          <w:szCs w:val="22"/>
          <w:lang w:eastAsia="en-US"/>
        </w:rPr>
        <w:t>eprésentant de l’administration</w:t>
      </w:r>
      <w:r w:rsidR="000B79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sectPr w:rsidR="0086158E" w:rsidRPr="0068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417" w:bottom="1417" w:left="85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0C" w:rsidRDefault="00933853">
      <w:pPr>
        <w:spacing w:after="0" w:line="240" w:lineRule="auto"/>
      </w:pPr>
      <w:r>
        <w:separator/>
      </w:r>
    </w:p>
  </w:endnote>
  <w:endnote w:type="continuationSeparator" w:id="0">
    <w:p w:rsidR="001E400C" w:rsidRDefault="009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37" w:rsidRDefault="008E173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8E" w:rsidRDefault="00933853">
    <w:pPr>
      <w:pStyle w:val="Pieddepage"/>
      <w:tabs>
        <w:tab w:val="center" w:pos="4820"/>
        <w:tab w:val="right" w:pos="9638"/>
        <w:tab w:val="left" w:pos="12616"/>
      </w:tabs>
    </w:pPr>
    <w:r>
      <w:t>SG/SRH</w:t>
    </w:r>
    <w:r w:rsidR="005E02F7">
      <w:t>/BER/B1T</w:t>
    </w:r>
    <w:r>
      <w:tab/>
      <w:t>GT du 2 mai</w:t>
    </w:r>
    <w:r>
      <w:tab/>
    </w:r>
  </w:p>
  <w:p w:rsidR="0086158E" w:rsidRDefault="0086158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37" w:rsidRDefault="008E17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0C" w:rsidRDefault="00933853">
      <w:pPr>
        <w:spacing w:after="0" w:line="240" w:lineRule="auto"/>
      </w:pPr>
      <w:r>
        <w:separator/>
      </w:r>
    </w:p>
  </w:footnote>
  <w:footnote w:type="continuationSeparator" w:id="0">
    <w:p w:rsidR="001E400C" w:rsidRDefault="0093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37" w:rsidRDefault="008E173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8E" w:rsidRDefault="005502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Forme libre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310A5" id="Forme libr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1C3364">
      <w:pict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 w:rsidR="001C3364">
      <w:pict>
        <v:shape id="PowerPlusWaterMarkObject201971782" o:spid="_x0000_s1025" type="#shapetype_136" style="position:absolute;margin-left:0;margin-top:0;width:162.75pt;height:66pt;rotation:315;z-index:-251657728;mso-position-horizontal:center;mso-position-horizontal-relative:margin;mso-position-vertical:center;mso-position-vertical-relative:margin" o:allowincell="f" filled="t" fillcolor="silver" stroked="f" strokecolor="#3465a4">
          <v:fill opacity="1" color2="#3f3f3f" o:detectmouseclick="t" type="solid"/>
          <v:stroke joinstyle="round" endcap="flat"/>
          <v:path textpathok="t"/>
          <v:textpath on="t" style="font-family:&quot;Calibri&quot;;font-size:54pt" fitshape="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37" w:rsidRDefault="008E173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E7A7A"/>
    <w:multiLevelType w:val="hybridMultilevel"/>
    <w:tmpl w:val="B7CE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541E"/>
    <w:multiLevelType w:val="multilevel"/>
    <w:tmpl w:val="B93E0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CF07C2"/>
    <w:multiLevelType w:val="multilevel"/>
    <w:tmpl w:val="8E8E7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8A0AB9"/>
    <w:multiLevelType w:val="hybridMultilevel"/>
    <w:tmpl w:val="08C8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E"/>
    <w:rsid w:val="00030114"/>
    <w:rsid w:val="0004728C"/>
    <w:rsid w:val="00070C24"/>
    <w:rsid w:val="00092EB0"/>
    <w:rsid w:val="00095D98"/>
    <w:rsid w:val="000A1E5E"/>
    <w:rsid w:val="000B326E"/>
    <w:rsid w:val="000B7948"/>
    <w:rsid w:val="0010180D"/>
    <w:rsid w:val="00117E83"/>
    <w:rsid w:val="001C3364"/>
    <w:rsid w:val="001E400C"/>
    <w:rsid w:val="00201461"/>
    <w:rsid w:val="00267D38"/>
    <w:rsid w:val="002C3DE8"/>
    <w:rsid w:val="002F41D7"/>
    <w:rsid w:val="003115B2"/>
    <w:rsid w:val="003331CA"/>
    <w:rsid w:val="00375AF7"/>
    <w:rsid w:val="00384C6D"/>
    <w:rsid w:val="0044051D"/>
    <w:rsid w:val="004B44F1"/>
    <w:rsid w:val="005502F4"/>
    <w:rsid w:val="00571B74"/>
    <w:rsid w:val="00590D80"/>
    <w:rsid w:val="005A3355"/>
    <w:rsid w:val="005E02F7"/>
    <w:rsid w:val="00603803"/>
    <w:rsid w:val="006223CD"/>
    <w:rsid w:val="006473F2"/>
    <w:rsid w:val="00682B79"/>
    <w:rsid w:val="006879EE"/>
    <w:rsid w:val="00696E8E"/>
    <w:rsid w:val="006A44C8"/>
    <w:rsid w:val="006C4B8B"/>
    <w:rsid w:val="00796CEC"/>
    <w:rsid w:val="007C44C7"/>
    <w:rsid w:val="007D4DD7"/>
    <w:rsid w:val="007E5680"/>
    <w:rsid w:val="008438D6"/>
    <w:rsid w:val="0086158E"/>
    <w:rsid w:val="0086375B"/>
    <w:rsid w:val="00881660"/>
    <w:rsid w:val="008E1737"/>
    <w:rsid w:val="008F3577"/>
    <w:rsid w:val="00903D67"/>
    <w:rsid w:val="00921150"/>
    <w:rsid w:val="00923AC4"/>
    <w:rsid w:val="00933853"/>
    <w:rsid w:val="0096718C"/>
    <w:rsid w:val="009F3498"/>
    <w:rsid w:val="00A1285A"/>
    <w:rsid w:val="00A170E5"/>
    <w:rsid w:val="00A3787E"/>
    <w:rsid w:val="00A464D9"/>
    <w:rsid w:val="00AB604A"/>
    <w:rsid w:val="00AF7A66"/>
    <w:rsid w:val="00B237B4"/>
    <w:rsid w:val="00BC0B8E"/>
    <w:rsid w:val="00C76269"/>
    <w:rsid w:val="00C8522D"/>
    <w:rsid w:val="00D82898"/>
    <w:rsid w:val="00D95E71"/>
    <w:rsid w:val="00DC4479"/>
    <w:rsid w:val="00E36CF6"/>
    <w:rsid w:val="00E8757D"/>
    <w:rsid w:val="00EB053C"/>
    <w:rsid w:val="00FB1B3B"/>
    <w:rsid w:val="00FC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4E425D-FFED-4735-B287-EACE6A9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81"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68053F"/>
  </w:style>
  <w:style w:type="character" w:customStyle="1" w:styleId="PieddepageCar">
    <w:name w:val="Pied de page Car"/>
    <w:basedOn w:val="Policepardfaut"/>
    <w:link w:val="Pieddepage"/>
    <w:uiPriority w:val="99"/>
    <w:rsid w:val="0068053F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8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B10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2C0BC4"/>
    <w:pPr>
      <w:spacing w:before="280" w:after="119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D0DF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2B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8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8523D-8F07-4C1B-A4F5-19C864C5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juliette.metzner</dc:creator>
  <cp:lastModifiedBy>juliette.metzner</cp:lastModifiedBy>
  <cp:revision>66</cp:revision>
  <cp:lastPrinted>2016-05-19T12:21:00Z</cp:lastPrinted>
  <dcterms:created xsi:type="dcterms:W3CDTF">2016-04-27T14:36:00Z</dcterms:created>
  <dcterms:modified xsi:type="dcterms:W3CDTF">2016-05-20T12:45:00Z</dcterms:modified>
  <dc:language>fr-FR</dc:language>
</cp:coreProperties>
</file>