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BA" w:rsidRPr="00433ABA" w:rsidRDefault="00433ABA" w:rsidP="00433ABA">
      <w:pPr>
        <w:pStyle w:val="Standard"/>
        <w:jc w:val="center"/>
      </w:pPr>
      <w:r w:rsidRPr="00433ABA">
        <w:rPr>
          <w:rFonts w:ascii="Times New Roman" w:hAnsi="Times New Roman"/>
          <w:b/>
        </w:rPr>
        <w:t>Protocole d’accord relatif à l’égalité professionnelle entre les femmes et les hommes</w:t>
      </w:r>
    </w:p>
    <w:p w:rsidR="00433ABA" w:rsidRDefault="00433ABA" w:rsidP="00433ABA">
      <w:pPr>
        <w:pStyle w:val="Standard"/>
        <w:jc w:val="center"/>
        <w:rPr>
          <w:rFonts w:ascii="Times New Roman" w:hAnsi="Times New Roman"/>
          <w:b/>
        </w:rPr>
      </w:pPr>
      <w:r w:rsidRPr="00433ABA">
        <w:rPr>
          <w:rFonts w:ascii="Times New Roman" w:hAnsi="Times New Roman"/>
          <w:b/>
        </w:rPr>
        <w:t>au Ministère de la Culture</w:t>
      </w:r>
    </w:p>
    <w:p w:rsidR="00433ABA" w:rsidRDefault="00433ABA" w:rsidP="00433ABA">
      <w:pPr>
        <w:pStyle w:val="Standard"/>
        <w:jc w:val="center"/>
        <w:rPr>
          <w:rFonts w:ascii="Times New Roman" w:hAnsi="Times New Roman"/>
          <w:b/>
        </w:rPr>
      </w:pPr>
    </w:p>
    <w:p w:rsidR="00433ABA" w:rsidRDefault="00433ABA" w:rsidP="00433ABA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ANNEXE</w:t>
      </w:r>
      <w:r w:rsidR="004433CF">
        <w:rPr>
          <w:rFonts w:ascii="Times New Roman" w:hAnsi="Times New Roman"/>
          <w:b/>
        </w:rPr>
        <w:t xml:space="preserve"> II</w:t>
      </w:r>
      <w:r>
        <w:rPr>
          <w:rFonts w:ascii="Times New Roman" w:hAnsi="Times New Roman"/>
          <w:b/>
        </w:rPr>
        <w:t> : Méthodologie de repérage et de résorption des écarts de rémunérations injustifiés</w:t>
      </w:r>
    </w:p>
    <w:p w:rsidR="00433ABA" w:rsidRDefault="00433ABA" w:rsidP="00433ABA">
      <w:pPr>
        <w:pStyle w:val="Standard"/>
        <w:jc w:val="center"/>
        <w:rPr>
          <w:rFonts w:ascii="Times New Roman" w:hAnsi="Times New Roman"/>
          <w:b/>
        </w:rPr>
      </w:pPr>
    </w:p>
    <w:p w:rsidR="00433ABA" w:rsidRDefault="00433ABA" w:rsidP="00433ABA">
      <w:pPr>
        <w:pStyle w:val="Standard"/>
        <w:jc w:val="both"/>
        <w:rPr>
          <w:rFonts w:ascii="Times New Roman" w:hAnsi="Times New Roman"/>
          <w:b/>
        </w:rPr>
      </w:pPr>
    </w:p>
    <w:p w:rsidR="00433ABA" w:rsidRPr="00433ABA" w:rsidRDefault="00433ABA" w:rsidP="00433ABA">
      <w:pPr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L’observation comparée des effectifs et rémunérations des agents titulaires du ministère en 2013 (sur le titre 2) par filières et corps, a été fournie pour la première fois dans l’Observatoire de l’égalité 2015. Cet indicateur, qui est issu du bilan social ministériel, permet de mesurer les écarts indemnitaires à indice équivalent. Cette observation a été étendue sur la population des agents non titulaires du ministère en 2017 au titre des données 2016.</w:t>
      </w:r>
    </w:p>
    <w:p w:rsidR="00433ABA" w:rsidRDefault="00433ABA" w:rsidP="00433ABA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 w:rsidRPr="00433ABA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Cet indicateur ne prend néanmoins pas en compte un élément déterminant de la rémunération, à savoir la fonction exercée par l’agent.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Une méthodologie pour le repérage et la résorption d’écarts de rémunération injustifiés pour </w:t>
      </w:r>
      <w:r w:rsidRPr="00433ABA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les agents dont 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la rémunération</w:t>
      </w:r>
      <w:r w:rsidRPr="00433ABA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est significativement éloigné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e</w:t>
      </w:r>
      <w:r w:rsidRPr="00433ABA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du montant médian de leur corps et groupe de fonctions</w:t>
      </w:r>
      <w:r w:rsid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a donc été élaborée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. Cette méthodologie diffère selon que l’on examine le cas d’agents titulaires ou d’agents contractuels.</w:t>
      </w:r>
    </w:p>
    <w:p w:rsidR="00E433BD" w:rsidRDefault="00E433BD" w:rsidP="00433ABA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La m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éthode retenue </w:t>
      </w:r>
      <w:r w:rsidRPr="00E433BD"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pour les agents non titulaires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consiste à répartir 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ces derniers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dans des segments constitués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par le croisement de leur filière, de leur groupe de contrat et de leur tranche d’âge, et à comparer la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rémunération individuelle de chaque agent à la rémunération médiane de son segment,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indépendamment de son sexe. L’hypothèse de travail privilégiée à ce stade repose sur la présélection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du dossier, pour examen 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plus approfondi,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de chaque agent dont la rémunération est inférieure de plus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de 10%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à celle de son segment de référence.</w:t>
      </w:r>
    </w:p>
    <w:p w:rsidR="00433ABA" w:rsidRDefault="00433ABA" w:rsidP="00433ABA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</w:p>
    <w:p w:rsidR="00E433BD" w:rsidRDefault="00E433BD" w:rsidP="00433ABA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Les effectifs des segments peuvent être trop faibles pour permettre le calcul de médianes. Dans ce cas :</w:t>
      </w: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- lorsque pour un groupe de contrat et une filière donnés, les valeurs sont manquantes pour une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partie des tranches d’âge, on reconstitu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e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les médianes manquantes par régression linéaire ;</w:t>
      </w:r>
    </w:p>
    <w:p w:rsidR="00E433BD" w:rsidRP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- lorsque seulement deux médianes sont connues pour un groupe de contrat et une filière donnés, on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calcul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e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les médianes manquantes en reproduisant la progression entre classes d’âge observée pour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les moyennes du groupe et de la filière ;</w:t>
      </w: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- lorsqu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’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une seule ou aucun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e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médiane n’est calculée par observation directe, on la substitue à la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moyenne du segment correspondant corrigée du rapport entre médiane générale et moyenne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 </w:t>
      </w:r>
      <w:r w:rsidRPr="00E433BD"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générale.</w:t>
      </w: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 xml:space="preserve">S’agissant des </w:t>
      </w:r>
      <w:r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agents titulaires</w:t>
      </w:r>
      <w:r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  <w:t>, l’étude est menée par corps. On substitue au groupe de contrat le groupe de fonctions du poste au sens du RIFSEEP et à la tranche d’âge une tranche d’indices.</w:t>
      </w:r>
    </w:p>
    <w:p w:rsidR="00E433BD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kern w:val="0"/>
          <w:sz w:val="21"/>
          <w:szCs w:val="21"/>
          <w:lang w:eastAsia="fr-FR" w:bidi="ar-SA"/>
        </w:rPr>
      </w:pPr>
    </w:p>
    <w:p w:rsidR="00087A85" w:rsidRDefault="00E433BD" w:rsidP="00E433BD">
      <w:pPr>
        <w:pStyle w:val="Standard"/>
        <w:jc w:val="both"/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</w:pPr>
      <w:r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 xml:space="preserve">La phase de test de cette méthode n’a pas </w:t>
      </w:r>
      <w:r w:rsidR="00087A85"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pu</w:t>
      </w:r>
      <w:r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 xml:space="preserve"> </w:t>
      </w:r>
      <w:r w:rsidR="00087A85"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être</w:t>
      </w:r>
      <w:r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 xml:space="preserve"> menée à son terme. </w:t>
      </w:r>
      <w:r w:rsidR="00087A85"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Parallèlement, la DGAFP développe une méthode dont les objectifs sont identiques et la rendra disponible à l’ensemble des ministères pour le début de l’année 2019. Une étude comparative sur les résultats des deux méthodes sera donc menée.</w:t>
      </w:r>
    </w:p>
    <w:p w:rsidR="00E433BD" w:rsidRPr="00E433BD" w:rsidRDefault="00D419F4" w:rsidP="00E433BD">
      <w:pPr>
        <w:pStyle w:val="Standard"/>
        <w:jc w:val="both"/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</w:pPr>
      <w:r>
        <w:rPr>
          <w:rFonts w:asciiTheme="minorHAnsi" w:eastAsia="Times New Roman" w:hAnsiTheme="minorHAnsi" w:cstheme="minorBidi"/>
          <w:b/>
          <w:kern w:val="0"/>
          <w:sz w:val="21"/>
          <w:szCs w:val="21"/>
          <w:lang w:eastAsia="fr-FR" w:bidi="ar-SA"/>
        </w:rPr>
        <w:t>En tout état de cause, les crédits non utilisés en 2018 seront reportés en 2019.</w:t>
      </w:r>
    </w:p>
    <w:sectPr w:rsidR="00E433BD" w:rsidRPr="00E4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A"/>
    <w:rsid w:val="00087A85"/>
    <w:rsid w:val="000E61D7"/>
    <w:rsid w:val="00316027"/>
    <w:rsid w:val="00356F80"/>
    <w:rsid w:val="00433ABA"/>
    <w:rsid w:val="004433CF"/>
    <w:rsid w:val="00652289"/>
    <w:rsid w:val="00D419F4"/>
    <w:rsid w:val="00E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2898"/>
  <w15:chartTrackingRefBased/>
  <w15:docId w15:val="{D1C8460E-DA61-4A4A-B5E5-7993096A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BA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433A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33A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Mangal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433AB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bastien.nonque bastien.nonque</dc:creator>
  <cp:keywords/>
  <dc:description/>
  <cp:lastModifiedBy>anne baylac</cp:lastModifiedBy>
  <cp:revision>3</cp:revision>
  <dcterms:created xsi:type="dcterms:W3CDTF">2018-11-15T10:13:00Z</dcterms:created>
  <dcterms:modified xsi:type="dcterms:W3CDTF">2018-11-15T10:13:00Z</dcterms:modified>
</cp:coreProperties>
</file>