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498"/>
        <w:gridCol w:w="3498"/>
        <w:gridCol w:w="3499"/>
        <w:gridCol w:w="3499"/>
      </w:tblGrid>
      <w:tr w:rsidR="0054296E" w14:paraId="70CF21AB" w14:textId="77777777" w:rsidTr="000A64DD">
        <w:trPr>
          <w:trHeight w:val="416"/>
        </w:trPr>
        <w:tc>
          <w:tcPr>
            <w:tcW w:w="3498" w:type="dxa"/>
            <w:shd w:val="clear" w:color="auto" w:fill="FFC000" w:themeFill="accent4"/>
          </w:tcPr>
          <w:p w14:paraId="19548F4B" w14:textId="77777777" w:rsidR="0054296E" w:rsidRPr="0054296E" w:rsidRDefault="0054296E" w:rsidP="00B407BB">
            <w:pPr>
              <w:rPr>
                <w:b/>
              </w:rPr>
            </w:pPr>
            <w:r>
              <w:rPr>
                <w:b/>
              </w:rPr>
              <w:t>Protocole</w:t>
            </w:r>
          </w:p>
        </w:tc>
        <w:tc>
          <w:tcPr>
            <w:tcW w:w="3498" w:type="dxa"/>
            <w:shd w:val="clear" w:color="auto" w:fill="FFC000" w:themeFill="accent4"/>
          </w:tcPr>
          <w:p w14:paraId="5C09EF30" w14:textId="77777777" w:rsidR="0054296E" w:rsidRPr="0054296E" w:rsidRDefault="00B407BB" w:rsidP="00B407BB">
            <w:pPr>
              <w:rPr>
                <w:b/>
              </w:rPr>
            </w:pPr>
            <w:r>
              <w:rPr>
                <w:b/>
              </w:rPr>
              <w:t>Contenu</w:t>
            </w:r>
            <w:r w:rsidR="0054296E">
              <w:rPr>
                <w:b/>
              </w:rPr>
              <w:t xml:space="preserve"> de la mesure</w:t>
            </w:r>
          </w:p>
        </w:tc>
        <w:tc>
          <w:tcPr>
            <w:tcW w:w="3499" w:type="dxa"/>
            <w:shd w:val="clear" w:color="auto" w:fill="FFC000" w:themeFill="accent4"/>
          </w:tcPr>
          <w:p w14:paraId="0429E519" w14:textId="77777777" w:rsidR="0054296E" w:rsidRPr="0054296E" w:rsidRDefault="0054296E" w:rsidP="00B407BB">
            <w:pPr>
              <w:rPr>
                <w:b/>
              </w:rPr>
            </w:pPr>
            <w:r w:rsidRPr="0054296E">
              <w:rPr>
                <w:b/>
              </w:rPr>
              <w:t>Textes et actions</w:t>
            </w:r>
          </w:p>
        </w:tc>
        <w:tc>
          <w:tcPr>
            <w:tcW w:w="3499" w:type="dxa"/>
            <w:shd w:val="clear" w:color="auto" w:fill="FFC000" w:themeFill="accent4"/>
          </w:tcPr>
          <w:p w14:paraId="5646AFB2" w14:textId="77777777" w:rsidR="0054296E" w:rsidRPr="0054296E" w:rsidRDefault="0054296E" w:rsidP="00B407BB">
            <w:pPr>
              <w:rPr>
                <w:b/>
              </w:rPr>
            </w:pPr>
            <w:r w:rsidRPr="0054296E">
              <w:rPr>
                <w:b/>
              </w:rPr>
              <w:t>Calendrier</w:t>
            </w:r>
          </w:p>
        </w:tc>
      </w:tr>
      <w:tr w:rsidR="0054296E" w14:paraId="1C7AC3A2" w14:textId="77777777" w:rsidTr="007E4EC9">
        <w:tc>
          <w:tcPr>
            <w:tcW w:w="3498" w:type="dxa"/>
            <w:shd w:val="clear" w:color="auto" w:fill="FFF2CC" w:themeFill="accent4" w:themeFillTint="33"/>
          </w:tcPr>
          <w:p w14:paraId="554B8D70" w14:textId="77777777" w:rsidR="0054296E" w:rsidRPr="0042643F" w:rsidRDefault="0054296E" w:rsidP="000A64DD">
            <w:pPr>
              <w:jc w:val="both"/>
              <w:rPr>
                <w:b/>
              </w:rPr>
            </w:pPr>
            <w:r w:rsidRPr="0042643F">
              <w:rPr>
                <w:b/>
              </w:rPr>
              <w:t>Préambule</w:t>
            </w:r>
          </w:p>
        </w:tc>
        <w:tc>
          <w:tcPr>
            <w:tcW w:w="3498" w:type="dxa"/>
          </w:tcPr>
          <w:p w14:paraId="4E7DE651" w14:textId="77777777" w:rsidR="0042643F" w:rsidRPr="0042643F" w:rsidRDefault="0042643F" w:rsidP="000A64DD">
            <w:pPr>
              <w:jc w:val="both"/>
              <w:rPr>
                <w:rFonts w:cstheme="minorHAnsi"/>
                <w:color w:val="000000"/>
              </w:rPr>
            </w:pPr>
          </w:p>
          <w:p w14:paraId="4EF98917" w14:textId="77777777" w:rsidR="0042643F" w:rsidRPr="0042643F" w:rsidRDefault="0042643F" w:rsidP="000A64DD">
            <w:pPr>
              <w:pStyle w:val="Sansinterligne"/>
              <w:jc w:val="both"/>
              <w:rPr>
                <w:rFonts w:cstheme="minorHAnsi"/>
                <w:color w:val="FF0000"/>
                <w:sz w:val="22"/>
              </w:rPr>
            </w:pPr>
          </w:p>
          <w:p w14:paraId="560D2520" w14:textId="77777777" w:rsidR="0054296E" w:rsidRPr="0042643F" w:rsidRDefault="0054296E" w:rsidP="000A64DD">
            <w:pPr>
              <w:jc w:val="both"/>
            </w:pPr>
          </w:p>
        </w:tc>
        <w:tc>
          <w:tcPr>
            <w:tcW w:w="3499" w:type="dxa"/>
          </w:tcPr>
          <w:p w14:paraId="51561A6F" w14:textId="77777777" w:rsidR="00E26709" w:rsidRPr="00273A76" w:rsidRDefault="00E26709" w:rsidP="000A64DD">
            <w:pPr>
              <w:jc w:val="both"/>
              <w:rPr>
                <w:rFonts w:cstheme="minorHAnsi"/>
                <w:color w:val="000000"/>
              </w:rPr>
            </w:pPr>
            <w:r w:rsidRPr="00273A76">
              <w:rPr>
                <w:rFonts w:cstheme="minorHAnsi"/>
                <w:color w:val="000000"/>
              </w:rPr>
              <w:t xml:space="preserve">Mise en place d’un comité de suivi associant l’Etat, les employeurs publics et organisations syndicales signataires du présent protocole. Ce comité de suivi se réunira au moins une fois par semestre. </w:t>
            </w:r>
          </w:p>
          <w:p w14:paraId="6F40FE0C" w14:textId="77777777" w:rsidR="00E26709" w:rsidRDefault="00E26709" w:rsidP="000A64DD">
            <w:pPr>
              <w:jc w:val="both"/>
              <w:rPr>
                <w:rFonts w:cstheme="minorHAnsi"/>
                <w:color w:val="000000"/>
              </w:rPr>
            </w:pPr>
            <w:r w:rsidRPr="00273A76">
              <w:rPr>
                <w:rFonts w:cstheme="minorHAnsi"/>
                <w:color w:val="000000"/>
              </w:rPr>
              <w:t xml:space="preserve">L’état d’avancement de la mise en œuvre du présent protocole sera également précisé dans le cadre du rapport annuel relatif à l’égalité professionnelle, présenté au Conseil commun de la fonction publique et adressé au Parlement. </w:t>
            </w:r>
          </w:p>
          <w:p w14:paraId="7B283AFA" w14:textId="5B73941E" w:rsidR="00467A80" w:rsidRPr="00273A76" w:rsidRDefault="00467A80" w:rsidP="000A64DD">
            <w:pPr>
              <w:jc w:val="both"/>
              <w:rPr>
                <w:rFonts w:cstheme="minorHAnsi"/>
                <w:color w:val="000000"/>
              </w:rPr>
            </w:pPr>
            <w:r>
              <w:rPr>
                <w:rFonts w:cstheme="minorHAnsi"/>
                <w:color w:val="000000"/>
              </w:rPr>
              <w:t>Mise en place d’un bilan de la mise en œuvre de l’obligation d’élaboration des plans d’action</w:t>
            </w:r>
          </w:p>
          <w:p w14:paraId="2B5EF784" w14:textId="77777777" w:rsidR="0054296E" w:rsidRDefault="0054296E" w:rsidP="000A64DD">
            <w:pPr>
              <w:jc w:val="both"/>
            </w:pPr>
          </w:p>
        </w:tc>
        <w:tc>
          <w:tcPr>
            <w:tcW w:w="3499" w:type="dxa"/>
          </w:tcPr>
          <w:p w14:paraId="754A3ED1" w14:textId="76A3A540" w:rsidR="0054296E" w:rsidRDefault="006C0B00" w:rsidP="000A64DD">
            <w:pPr>
              <w:jc w:val="both"/>
            </w:pPr>
            <w:r>
              <w:t>Début</w:t>
            </w:r>
            <w:r w:rsidR="00FF2732">
              <w:t xml:space="preserve"> 2019</w:t>
            </w:r>
            <w:r w:rsidR="00747901">
              <w:t xml:space="preserve"> pour la constitution du comité </w:t>
            </w:r>
          </w:p>
          <w:p w14:paraId="3C58DD26" w14:textId="77777777" w:rsidR="00747901" w:rsidRDefault="00747901" w:rsidP="000A64DD">
            <w:pPr>
              <w:jc w:val="both"/>
            </w:pPr>
          </w:p>
          <w:p w14:paraId="3828D325" w14:textId="77777777" w:rsidR="00747901" w:rsidRDefault="00747901" w:rsidP="000A64DD">
            <w:pPr>
              <w:jc w:val="both"/>
            </w:pPr>
          </w:p>
          <w:p w14:paraId="11391234" w14:textId="77777777" w:rsidR="00747901" w:rsidRDefault="00747901" w:rsidP="000A64DD">
            <w:pPr>
              <w:jc w:val="both"/>
            </w:pPr>
          </w:p>
          <w:p w14:paraId="557C0D9C" w14:textId="77777777" w:rsidR="00747901" w:rsidRDefault="00747901" w:rsidP="000A64DD">
            <w:pPr>
              <w:jc w:val="both"/>
            </w:pPr>
          </w:p>
          <w:p w14:paraId="7C0618EA" w14:textId="77777777" w:rsidR="00747901" w:rsidRDefault="00747901" w:rsidP="000A64DD">
            <w:pPr>
              <w:jc w:val="both"/>
            </w:pPr>
            <w:r>
              <w:t xml:space="preserve">Dès le rapport annuel 2019 pour le point sur l’état d’avancement </w:t>
            </w:r>
          </w:p>
          <w:p w14:paraId="10F6B6EE" w14:textId="77777777" w:rsidR="00467A80" w:rsidRDefault="00467A80" w:rsidP="000A64DD">
            <w:pPr>
              <w:jc w:val="both"/>
            </w:pPr>
          </w:p>
          <w:p w14:paraId="63D48DEB" w14:textId="77777777" w:rsidR="00467A80" w:rsidRDefault="00467A80" w:rsidP="000A64DD">
            <w:pPr>
              <w:jc w:val="both"/>
            </w:pPr>
          </w:p>
          <w:p w14:paraId="6C5558D2" w14:textId="77777777" w:rsidR="00467A80" w:rsidRDefault="00467A80" w:rsidP="000A64DD">
            <w:pPr>
              <w:jc w:val="both"/>
            </w:pPr>
          </w:p>
          <w:p w14:paraId="213D5213" w14:textId="77777777" w:rsidR="00467A80" w:rsidRDefault="00467A80" w:rsidP="000A64DD">
            <w:pPr>
              <w:jc w:val="both"/>
            </w:pPr>
          </w:p>
          <w:p w14:paraId="48825807" w14:textId="77777777" w:rsidR="00467A80" w:rsidRDefault="00467A80" w:rsidP="000A64DD">
            <w:pPr>
              <w:jc w:val="both"/>
            </w:pPr>
          </w:p>
          <w:p w14:paraId="41C77906" w14:textId="4B77D611" w:rsidR="00467A80" w:rsidRDefault="00467A80" w:rsidP="000A64DD">
            <w:pPr>
              <w:jc w:val="both"/>
            </w:pPr>
            <w:r>
              <w:t>Premier semestre 2021</w:t>
            </w:r>
          </w:p>
        </w:tc>
      </w:tr>
    </w:tbl>
    <w:p w14:paraId="57C5AC62" w14:textId="77777777" w:rsidR="00A46027" w:rsidRDefault="00A46027">
      <w:r>
        <w:br w:type="page"/>
      </w:r>
    </w:p>
    <w:tbl>
      <w:tblPr>
        <w:tblStyle w:val="Grilledutableau"/>
        <w:tblW w:w="0" w:type="auto"/>
        <w:tblLook w:val="04A0" w:firstRow="1" w:lastRow="0" w:firstColumn="1" w:lastColumn="0" w:noHBand="0" w:noVBand="1"/>
      </w:tblPr>
      <w:tblGrid>
        <w:gridCol w:w="3498"/>
        <w:gridCol w:w="3498"/>
        <w:gridCol w:w="3499"/>
        <w:gridCol w:w="3499"/>
      </w:tblGrid>
      <w:tr w:rsidR="0054296E" w14:paraId="712F077A" w14:textId="77777777" w:rsidTr="007E4EC9">
        <w:tc>
          <w:tcPr>
            <w:tcW w:w="13994" w:type="dxa"/>
            <w:gridSpan w:val="4"/>
            <w:shd w:val="clear" w:color="auto" w:fill="FFD966" w:themeFill="accent4" w:themeFillTint="99"/>
          </w:tcPr>
          <w:p w14:paraId="2CAFD945" w14:textId="03EA8A3B" w:rsidR="0054296E" w:rsidRPr="0054296E" w:rsidRDefault="0054296E" w:rsidP="007E4EC9">
            <w:pPr>
              <w:jc w:val="center"/>
              <w:rPr>
                <w:b/>
              </w:rPr>
            </w:pPr>
            <w:r>
              <w:rPr>
                <w:b/>
              </w:rPr>
              <w:lastRenderedPageBreak/>
              <w:t xml:space="preserve">Axe 1 : </w:t>
            </w:r>
            <w:r w:rsidRPr="00D34F80">
              <w:rPr>
                <w:rFonts w:cstheme="minorHAnsi"/>
                <w:b/>
              </w:rPr>
              <w:t>Renforcer la gouvernance des politiques d’égalité</w:t>
            </w:r>
          </w:p>
        </w:tc>
      </w:tr>
      <w:tr w:rsidR="0042643F" w14:paraId="3C49BE80" w14:textId="77777777" w:rsidTr="0042643F">
        <w:trPr>
          <w:trHeight w:val="842"/>
        </w:trPr>
        <w:tc>
          <w:tcPr>
            <w:tcW w:w="3498" w:type="dxa"/>
            <w:vMerge w:val="restart"/>
            <w:shd w:val="clear" w:color="auto" w:fill="FFF2CC" w:themeFill="accent4" w:themeFillTint="33"/>
          </w:tcPr>
          <w:p w14:paraId="343EC43D" w14:textId="77777777" w:rsidR="0042643F" w:rsidRPr="000A64DD" w:rsidRDefault="0042643F" w:rsidP="000A64DD">
            <w:pPr>
              <w:keepLines/>
              <w:jc w:val="both"/>
              <w:rPr>
                <w:rFonts w:cstheme="minorHAnsi"/>
              </w:rPr>
            </w:pPr>
            <w:r w:rsidRPr="000A64DD">
              <w:rPr>
                <w:rFonts w:cstheme="minorHAnsi"/>
              </w:rPr>
              <w:t>1.1 Rendre obligatoire pour tout employeur public l’élaboration et la mise en œuvre d’un plan d’action « égalité professionnelle »</w:t>
            </w:r>
          </w:p>
          <w:p w14:paraId="66FB27CF" w14:textId="77777777" w:rsidR="0042643F" w:rsidRPr="000A64DD" w:rsidRDefault="0042643F" w:rsidP="000A64DD">
            <w:pPr>
              <w:jc w:val="both"/>
            </w:pPr>
          </w:p>
        </w:tc>
        <w:tc>
          <w:tcPr>
            <w:tcW w:w="3498" w:type="dxa"/>
          </w:tcPr>
          <w:p w14:paraId="4C330D42" w14:textId="77777777" w:rsidR="0042643F" w:rsidRPr="000A64DD" w:rsidRDefault="007E48BD" w:rsidP="000A64DD">
            <w:pPr>
              <w:jc w:val="both"/>
            </w:pPr>
            <w:r w:rsidRPr="000A64DD">
              <w:rPr>
                <w:rFonts w:cstheme="minorHAnsi"/>
              </w:rPr>
              <w:t xml:space="preserve">Obligation d’élaborer et de mettre en œuvre </w:t>
            </w:r>
            <w:r w:rsidR="0042643F" w:rsidRPr="000A64DD">
              <w:rPr>
                <w:rFonts w:cstheme="minorHAnsi"/>
              </w:rPr>
              <w:t>un plan d’action dédié à l’égalité professionnelle</w:t>
            </w:r>
            <w:r w:rsidR="001B02C5" w:rsidRPr="000A64DD">
              <w:rPr>
                <w:rFonts w:cstheme="minorHAnsi"/>
              </w:rPr>
              <w:t xml:space="preserve"> </w:t>
            </w:r>
          </w:p>
        </w:tc>
        <w:tc>
          <w:tcPr>
            <w:tcW w:w="3499" w:type="dxa"/>
          </w:tcPr>
          <w:p w14:paraId="5D908DBE" w14:textId="77777777" w:rsidR="0042643F" w:rsidRPr="000A64DD" w:rsidRDefault="0091600F" w:rsidP="000A64DD">
            <w:pPr>
              <w:jc w:val="both"/>
              <w:rPr>
                <w:rFonts w:cstheme="minorHAnsi"/>
              </w:rPr>
            </w:pPr>
            <w:r w:rsidRPr="000A64DD">
              <w:rPr>
                <w:rFonts w:cstheme="minorHAnsi"/>
              </w:rPr>
              <w:t>P</w:t>
            </w:r>
            <w:r w:rsidR="0042643F" w:rsidRPr="000A64DD">
              <w:rPr>
                <w:rFonts w:cstheme="minorHAnsi"/>
              </w:rPr>
              <w:t>rojet de loi Fonction publique</w:t>
            </w:r>
            <w:r w:rsidR="007E48BD" w:rsidRPr="000A64DD">
              <w:rPr>
                <w:rFonts w:cstheme="minorHAnsi"/>
              </w:rPr>
              <w:t>.</w:t>
            </w:r>
          </w:p>
          <w:p w14:paraId="0D9A9A07" w14:textId="77777777" w:rsidR="007E48BD" w:rsidRPr="000A64DD" w:rsidRDefault="007E48BD" w:rsidP="000A64DD">
            <w:pPr>
              <w:jc w:val="both"/>
            </w:pPr>
            <w:r w:rsidRPr="000A64DD">
              <w:rPr>
                <w:rFonts w:cstheme="minorHAnsi"/>
              </w:rPr>
              <w:t>Le champ d’application sera précisé par la loi p</w:t>
            </w:r>
            <w:bookmarkStart w:id="0" w:name="_GoBack"/>
            <w:bookmarkEnd w:id="0"/>
            <w:r w:rsidRPr="000A64DD">
              <w:rPr>
                <w:rFonts w:cstheme="minorHAnsi"/>
              </w:rPr>
              <w:t>our les employeurs territoriaux et par décret pour les deux autres versants</w:t>
            </w:r>
          </w:p>
        </w:tc>
        <w:tc>
          <w:tcPr>
            <w:tcW w:w="3499" w:type="dxa"/>
          </w:tcPr>
          <w:p w14:paraId="7F13B683" w14:textId="77777777" w:rsidR="007E48BD" w:rsidRPr="000A64DD" w:rsidRDefault="007E48BD" w:rsidP="000A64DD">
            <w:pPr>
              <w:jc w:val="both"/>
            </w:pPr>
            <w:r w:rsidRPr="000A64DD">
              <w:t>Loi prévue au 1</w:t>
            </w:r>
            <w:r w:rsidRPr="000A64DD">
              <w:rPr>
                <w:vertAlign w:val="superscript"/>
              </w:rPr>
              <w:t>er</w:t>
            </w:r>
            <w:r w:rsidRPr="000A64DD">
              <w:t xml:space="preserve"> semestre 2019</w:t>
            </w:r>
          </w:p>
          <w:p w14:paraId="324DB3BB" w14:textId="77777777" w:rsidR="00BF1797" w:rsidRPr="000A64DD" w:rsidRDefault="00BF1797" w:rsidP="000A64DD">
            <w:pPr>
              <w:jc w:val="both"/>
            </w:pPr>
            <w:r w:rsidRPr="000A64DD">
              <w:t>Décret d’application au 2</w:t>
            </w:r>
            <w:r w:rsidRPr="000A64DD">
              <w:rPr>
                <w:vertAlign w:val="superscript"/>
              </w:rPr>
              <w:t>nd</w:t>
            </w:r>
            <w:r w:rsidRPr="000A64DD">
              <w:t xml:space="preserve"> semestre 2019</w:t>
            </w:r>
          </w:p>
          <w:p w14:paraId="63CC0804" w14:textId="77777777" w:rsidR="006C0B00" w:rsidRDefault="00637012" w:rsidP="006C0B00">
            <w:pPr>
              <w:jc w:val="both"/>
            </w:pPr>
            <w:r w:rsidRPr="000A64DD">
              <w:t>E</w:t>
            </w:r>
            <w:r w:rsidR="00747901" w:rsidRPr="000A64DD">
              <w:t xml:space="preserve">laboration </w:t>
            </w:r>
            <w:r w:rsidR="007E48BD" w:rsidRPr="000A64DD">
              <w:t xml:space="preserve"> des plans d’actions</w:t>
            </w:r>
            <w:r w:rsidR="001B02C5" w:rsidRPr="000A64DD">
              <w:t xml:space="preserve"> au plus tard au 31 décembre 202</w:t>
            </w:r>
            <w:r w:rsidR="006C0B00">
              <w:t>0</w:t>
            </w:r>
          </w:p>
          <w:p w14:paraId="7167F5B3" w14:textId="30F25E53" w:rsidR="00BF1797" w:rsidRPr="000A64DD" w:rsidRDefault="00BF1797" w:rsidP="006C0B00">
            <w:pPr>
              <w:jc w:val="both"/>
            </w:pPr>
            <w:r w:rsidRPr="000A64DD">
              <w:t>Durée max</w:t>
            </w:r>
            <w:r w:rsidR="001B02C5" w:rsidRPr="000A64DD">
              <w:t>imal</w:t>
            </w:r>
            <w:r w:rsidR="00637012" w:rsidRPr="000A64DD">
              <w:t>e</w:t>
            </w:r>
            <w:r w:rsidRPr="000A64DD">
              <w:t xml:space="preserve"> de </w:t>
            </w:r>
            <w:r w:rsidR="006C0B00">
              <w:t>3</w:t>
            </w:r>
            <w:r w:rsidRPr="000A64DD">
              <w:t xml:space="preserve"> ans pour l</w:t>
            </w:r>
            <w:r w:rsidR="00747901" w:rsidRPr="000A64DD">
              <w:t>a mise en œuvre des</w:t>
            </w:r>
            <w:r w:rsidRPr="000A64DD">
              <w:t xml:space="preserve"> plans</w:t>
            </w:r>
          </w:p>
        </w:tc>
      </w:tr>
      <w:tr w:rsidR="001B02C5" w14:paraId="2D04481F" w14:textId="77777777" w:rsidTr="001B02C5">
        <w:trPr>
          <w:trHeight w:val="841"/>
        </w:trPr>
        <w:tc>
          <w:tcPr>
            <w:tcW w:w="3498" w:type="dxa"/>
            <w:vMerge/>
            <w:shd w:val="clear" w:color="auto" w:fill="FFF2CC" w:themeFill="accent4" w:themeFillTint="33"/>
          </w:tcPr>
          <w:p w14:paraId="741E12AF" w14:textId="255C77B1" w:rsidR="001B02C5" w:rsidRPr="000A64DD" w:rsidRDefault="001B02C5" w:rsidP="000A64DD">
            <w:pPr>
              <w:keepLines/>
              <w:jc w:val="both"/>
              <w:rPr>
                <w:rFonts w:cstheme="minorHAnsi"/>
              </w:rPr>
            </w:pPr>
          </w:p>
        </w:tc>
        <w:tc>
          <w:tcPr>
            <w:tcW w:w="3498" w:type="dxa"/>
            <w:shd w:val="clear" w:color="auto" w:fill="auto"/>
          </w:tcPr>
          <w:p w14:paraId="40BFA9C7" w14:textId="1C8144A5" w:rsidR="001B02C5" w:rsidRPr="000A64DD" w:rsidRDefault="001B02C5" w:rsidP="000A64DD">
            <w:pPr>
              <w:jc w:val="both"/>
              <w:rPr>
                <w:rFonts w:cstheme="minorHAnsi"/>
              </w:rPr>
            </w:pPr>
            <w:r w:rsidRPr="000A64DD">
              <w:rPr>
                <w:rFonts w:cstheme="minorHAnsi"/>
              </w:rPr>
              <w:t>Pénalités financières dans la limite d’un montant maximal de 1% de la rémunération brute annuelle globale des personnels</w:t>
            </w:r>
            <w:r w:rsidR="002A34A3">
              <w:rPr>
                <w:rFonts w:cstheme="minorHAnsi"/>
              </w:rPr>
              <w:t>, en cas de non élaboration d’un plan d’action</w:t>
            </w:r>
          </w:p>
        </w:tc>
        <w:tc>
          <w:tcPr>
            <w:tcW w:w="3499" w:type="dxa"/>
          </w:tcPr>
          <w:p w14:paraId="13E107D8" w14:textId="26333CEB" w:rsidR="001B02C5" w:rsidRPr="000A64DD" w:rsidRDefault="001B02C5" w:rsidP="004E5BD6">
            <w:pPr>
              <w:jc w:val="both"/>
              <w:rPr>
                <w:rFonts w:cstheme="minorHAnsi"/>
              </w:rPr>
            </w:pPr>
            <w:r w:rsidRPr="000A64DD">
              <w:rPr>
                <w:rFonts w:cstheme="minorHAnsi"/>
              </w:rPr>
              <w:t>Le décret susmentionné précisera les modalités de contrôle</w:t>
            </w:r>
            <w:r w:rsidR="002A34A3">
              <w:rPr>
                <w:rFonts w:cstheme="minorHAnsi"/>
              </w:rPr>
              <w:t xml:space="preserve"> et de sanction</w:t>
            </w:r>
            <w:r w:rsidRPr="000A64DD">
              <w:rPr>
                <w:rFonts w:cstheme="minorHAnsi"/>
              </w:rPr>
              <w:t xml:space="preserve"> </w:t>
            </w:r>
            <w:r w:rsidR="004E5BD6">
              <w:rPr>
                <w:rFonts w:cstheme="minorHAnsi"/>
              </w:rPr>
              <w:t xml:space="preserve">mises en </w:t>
            </w:r>
            <w:r w:rsidRPr="000A64DD">
              <w:rPr>
                <w:rFonts w:cstheme="minorHAnsi"/>
              </w:rPr>
              <w:t xml:space="preserve"> œuvre</w:t>
            </w:r>
          </w:p>
        </w:tc>
        <w:tc>
          <w:tcPr>
            <w:tcW w:w="3499" w:type="dxa"/>
          </w:tcPr>
          <w:p w14:paraId="2373D021" w14:textId="3BCBE0DA" w:rsidR="001B02C5" w:rsidRPr="000A64DD" w:rsidRDefault="002A34A3" w:rsidP="004E5BD6">
            <w:pPr>
              <w:jc w:val="both"/>
              <w:rPr>
                <w:rFonts w:cstheme="minorHAnsi"/>
              </w:rPr>
            </w:pPr>
            <w:r>
              <w:rPr>
                <w:rFonts w:cstheme="minorHAnsi"/>
              </w:rPr>
              <w:t>2</w:t>
            </w:r>
            <w:r w:rsidRPr="002A34A3">
              <w:rPr>
                <w:rFonts w:cstheme="minorHAnsi"/>
                <w:vertAlign w:val="superscript"/>
              </w:rPr>
              <w:t>nd</w:t>
            </w:r>
            <w:r>
              <w:rPr>
                <w:rFonts w:cstheme="minorHAnsi"/>
              </w:rPr>
              <w:t xml:space="preserve"> semestre </w:t>
            </w:r>
            <w:r w:rsidR="004E5BD6">
              <w:rPr>
                <w:rFonts w:cstheme="minorHAnsi"/>
              </w:rPr>
              <w:t>2019</w:t>
            </w:r>
          </w:p>
        </w:tc>
      </w:tr>
      <w:tr w:rsidR="0042643F" w14:paraId="4EAED753" w14:textId="77777777" w:rsidTr="007E4EC9">
        <w:trPr>
          <w:trHeight w:val="841"/>
        </w:trPr>
        <w:tc>
          <w:tcPr>
            <w:tcW w:w="3498" w:type="dxa"/>
            <w:vMerge/>
            <w:shd w:val="clear" w:color="auto" w:fill="FFF2CC" w:themeFill="accent4" w:themeFillTint="33"/>
          </w:tcPr>
          <w:p w14:paraId="184FA7B4" w14:textId="77777777" w:rsidR="0042643F" w:rsidRPr="0042643F" w:rsidRDefault="0042643F" w:rsidP="00B407BB">
            <w:pPr>
              <w:keepLines/>
              <w:rPr>
                <w:rFonts w:cstheme="minorHAnsi"/>
              </w:rPr>
            </w:pPr>
          </w:p>
        </w:tc>
        <w:tc>
          <w:tcPr>
            <w:tcW w:w="3498" w:type="dxa"/>
          </w:tcPr>
          <w:p w14:paraId="42E16115" w14:textId="77777777" w:rsidR="0042643F" w:rsidRPr="000A64DD" w:rsidRDefault="0042643F" w:rsidP="00E26709">
            <w:pPr>
              <w:jc w:val="both"/>
              <w:rPr>
                <w:rFonts w:cstheme="minorHAnsi"/>
              </w:rPr>
            </w:pPr>
          </w:p>
          <w:p w14:paraId="5B564169" w14:textId="77777777" w:rsidR="0042643F" w:rsidRPr="000A64DD" w:rsidRDefault="0042643F" w:rsidP="00E26709">
            <w:pPr>
              <w:jc w:val="both"/>
              <w:rPr>
                <w:rFonts w:cstheme="minorHAnsi"/>
              </w:rPr>
            </w:pPr>
          </w:p>
        </w:tc>
        <w:tc>
          <w:tcPr>
            <w:tcW w:w="3499" w:type="dxa"/>
          </w:tcPr>
          <w:p w14:paraId="171850BC" w14:textId="59651C70" w:rsidR="0042643F" w:rsidRPr="000A64DD" w:rsidRDefault="00BF1797" w:rsidP="00E26709">
            <w:pPr>
              <w:jc w:val="both"/>
              <w:rPr>
                <w:rFonts w:cstheme="minorHAnsi"/>
              </w:rPr>
            </w:pPr>
            <w:r w:rsidRPr="000A64DD">
              <w:rPr>
                <w:rFonts w:cstheme="minorHAnsi"/>
              </w:rPr>
              <w:t>E</w:t>
            </w:r>
            <w:r w:rsidR="004E5BD6">
              <w:rPr>
                <w:rFonts w:cstheme="minorHAnsi"/>
              </w:rPr>
              <w:t xml:space="preserve">laboration </w:t>
            </w:r>
            <w:r w:rsidRPr="000A64DD">
              <w:rPr>
                <w:rFonts w:cstheme="minorHAnsi"/>
              </w:rPr>
              <w:t>d’un référentiel de plan d’action par la DGAFP, soumis à l’avis du comité de suivi puis mis à la disposition des employeurs publics.</w:t>
            </w:r>
          </w:p>
        </w:tc>
        <w:tc>
          <w:tcPr>
            <w:tcW w:w="3499" w:type="dxa"/>
          </w:tcPr>
          <w:p w14:paraId="1ADDEBE1" w14:textId="09E32F62" w:rsidR="0042643F" w:rsidRPr="000A64DD" w:rsidRDefault="004E5BD6" w:rsidP="00E26709">
            <w:pPr>
              <w:jc w:val="both"/>
            </w:pPr>
            <w:r>
              <w:rPr>
                <w:rFonts w:cstheme="minorHAnsi"/>
              </w:rPr>
              <w:t xml:space="preserve">Premier trimestre </w:t>
            </w:r>
            <w:r w:rsidR="0042643F" w:rsidRPr="000A64DD">
              <w:rPr>
                <w:rFonts w:cstheme="minorHAnsi"/>
              </w:rPr>
              <w:t>2019.</w:t>
            </w:r>
          </w:p>
        </w:tc>
      </w:tr>
      <w:tr w:rsidR="0054296E" w14:paraId="0C2956F3" w14:textId="77777777" w:rsidTr="007E4EC9">
        <w:tc>
          <w:tcPr>
            <w:tcW w:w="3498" w:type="dxa"/>
            <w:shd w:val="clear" w:color="auto" w:fill="FFF2CC" w:themeFill="accent4" w:themeFillTint="33"/>
          </w:tcPr>
          <w:p w14:paraId="24877B06" w14:textId="77777777" w:rsidR="0054296E" w:rsidRPr="00B407BB" w:rsidRDefault="0054296E" w:rsidP="00E26709">
            <w:pPr>
              <w:pStyle w:val="Paragraphedeliste"/>
              <w:keepLines/>
              <w:ind w:left="0"/>
              <w:rPr>
                <w:rFonts w:asciiTheme="minorHAnsi" w:hAnsiTheme="minorHAnsi" w:cstheme="minorHAnsi"/>
                <w:sz w:val="22"/>
                <w:szCs w:val="22"/>
              </w:rPr>
            </w:pPr>
            <w:r w:rsidRPr="00B407BB">
              <w:rPr>
                <w:rFonts w:asciiTheme="minorHAnsi" w:hAnsiTheme="minorHAnsi" w:cstheme="minorHAnsi"/>
                <w:sz w:val="22"/>
                <w:szCs w:val="22"/>
              </w:rPr>
              <w:t>1.2. Conforter le rôle des acteurs du dialogue social dans le domaine de l’égalité professionnelle</w:t>
            </w:r>
          </w:p>
          <w:p w14:paraId="7C874FEC" w14:textId="77777777" w:rsidR="0054296E" w:rsidRPr="00B407BB" w:rsidRDefault="0054296E" w:rsidP="00E26709">
            <w:pPr>
              <w:jc w:val="both"/>
            </w:pPr>
          </w:p>
        </w:tc>
        <w:tc>
          <w:tcPr>
            <w:tcW w:w="3498" w:type="dxa"/>
          </w:tcPr>
          <w:p w14:paraId="6E11FA28" w14:textId="77777777" w:rsidR="00BF1797" w:rsidRPr="000A64DD" w:rsidRDefault="00A773AD" w:rsidP="007E48BD">
            <w:pPr>
              <w:pStyle w:val="Paragraphedeliste"/>
              <w:keepLines/>
              <w:ind w:left="0"/>
              <w:rPr>
                <w:rFonts w:asciiTheme="minorHAnsi" w:hAnsiTheme="minorHAnsi" w:cstheme="minorHAnsi"/>
                <w:sz w:val="22"/>
                <w:szCs w:val="22"/>
              </w:rPr>
            </w:pPr>
            <w:r w:rsidRPr="000A64DD">
              <w:rPr>
                <w:rFonts w:asciiTheme="minorHAnsi" w:hAnsiTheme="minorHAnsi" w:cstheme="minorHAnsi"/>
                <w:sz w:val="22"/>
                <w:szCs w:val="22"/>
              </w:rPr>
              <w:t>Elaboration et suivi de la</w:t>
            </w:r>
            <w:r w:rsidR="00BF1797" w:rsidRPr="000A64DD">
              <w:rPr>
                <w:rFonts w:asciiTheme="minorHAnsi" w:hAnsiTheme="minorHAnsi" w:cstheme="minorHAnsi"/>
                <w:sz w:val="22"/>
                <w:szCs w:val="22"/>
              </w:rPr>
              <w:t xml:space="preserve"> mise en œuvre des plans d’actions dans le cadre des instances de concertation </w:t>
            </w:r>
          </w:p>
          <w:p w14:paraId="42B6C040" w14:textId="0E1A33CA" w:rsidR="0054296E" w:rsidRPr="000A64DD" w:rsidRDefault="0054296E" w:rsidP="00A773AD">
            <w:pPr>
              <w:pStyle w:val="Paragraphedeliste"/>
              <w:keepLines/>
              <w:ind w:left="0"/>
              <w:rPr>
                <w:rFonts w:asciiTheme="minorHAnsi" w:hAnsiTheme="minorHAnsi" w:cstheme="minorHAnsi"/>
                <w:sz w:val="22"/>
                <w:szCs w:val="22"/>
              </w:rPr>
            </w:pPr>
          </w:p>
        </w:tc>
        <w:tc>
          <w:tcPr>
            <w:tcW w:w="3499" w:type="dxa"/>
          </w:tcPr>
          <w:p w14:paraId="77FA2A7E" w14:textId="77777777" w:rsidR="00BF1797" w:rsidRPr="000A64DD" w:rsidRDefault="00BF1797" w:rsidP="00E26709">
            <w:pPr>
              <w:jc w:val="both"/>
            </w:pPr>
            <w:r w:rsidRPr="000A64DD">
              <w:t xml:space="preserve">Compétence de droit commun des instances de concertation </w:t>
            </w:r>
          </w:p>
          <w:p w14:paraId="533D1C68" w14:textId="77777777" w:rsidR="0054296E" w:rsidRPr="000A64DD" w:rsidRDefault="00BF1797" w:rsidP="00E26709">
            <w:pPr>
              <w:jc w:val="both"/>
            </w:pPr>
            <w:r w:rsidRPr="000A64DD">
              <w:t xml:space="preserve">Modalités pratiques définies dans les plans d’action </w:t>
            </w:r>
          </w:p>
        </w:tc>
        <w:tc>
          <w:tcPr>
            <w:tcW w:w="3499" w:type="dxa"/>
          </w:tcPr>
          <w:p w14:paraId="6A77ACB4" w14:textId="1E417AEA" w:rsidR="0054296E" w:rsidRPr="000A64DD" w:rsidRDefault="008D62AD" w:rsidP="00E26709">
            <w:pPr>
              <w:jc w:val="both"/>
            </w:pPr>
            <w:r>
              <w:t>Permanent</w:t>
            </w:r>
          </w:p>
        </w:tc>
      </w:tr>
      <w:tr w:rsidR="0042643F" w14:paraId="1F3C04EB" w14:textId="77777777" w:rsidTr="0042643F">
        <w:trPr>
          <w:trHeight w:val="673"/>
        </w:trPr>
        <w:tc>
          <w:tcPr>
            <w:tcW w:w="3498" w:type="dxa"/>
            <w:vMerge w:val="restart"/>
            <w:shd w:val="clear" w:color="auto" w:fill="FFF2CC" w:themeFill="accent4" w:themeFillTint="33"/>
          </w:tcPr>
          <w:p w14:paraId="28F96EC9" w14:textId="77777777" w:rsidR="0042643F" w:rsidRPr="00B407BB" w:rsidRDefault="0042643F" w:rsidP="00E26709">
            <w:pPr>
              <w:keepLines/>
              <w:jc w:val="both"/>
              <w:rPr>
                <w:rFonts w:cstheme="minorHAnsi"/>
              </w:rPr>
            </w:pPr>
            <w:r w:rsidRPr="00B407BB">
              <w:rPr>
                <w:rFonts w:cstheme="minorHAnsi"/>
              </w:rPr>
              <w:t xml:space="preserve">1.3. Favoriser l’égal investissement des femmes et des hommes dans le dialogue social </w:t>
            </w:r>
          </w:p>
          <w:p w14:paraId="041BEBF1" w14:textId="77777777" w:rsidR="0042643F" w:rsidRPr="00B407BB" w:rsidRDefault="0042643F" w:rsidP="00E26709">
            <w:pPr>
              <w:jc w:val="both"/>
            </w:pPr>
          </w:p>
        </w:tc>
        <w:tc>
          <w:tcPr>
            <w:tcW w:w="3498" w:type="dxa"/>
          </w:tcPr>
          <w:p w14:paraId="3E3724A3" w14:textId="77777777" w:rsidR="0042643F" w:rsidRPr="000A64DD" w:rsidRDefault="0042643F" w:rsidP="00E26709">
            <w:pPr>
              <w:jc w:val="both"/>
            </w:pPr>
            <w:r w:rsidRPr="000A64DD">
              <w:rPr>
                <w:rFonts w:cstheme="minorHAnsi"/>
              </w:rPr>
              <w:t>Réalisation d’un bilan de la mise en œuvre de l’obligation de composition équilibrée des instances de dialogue social</w:t>
            </w:r>
          </w:p>
        </w:tc>
        <w:tc>
          <w:tcPr>
            <w:tcW w:w="3499" w:type="dxa"/>
          </w:tcPr>
          <w:p w14:paraId="648561DF" w14:textId="77777777" w:rsidR="0042643F" w:rsidRPr="000A64DD" w:rsidRDefault="00EF3C67" w:rsidP="00E26709">
            <w:pPr>
              <w:jc w:val="both"/>
            </w:pPr>
            <w:r w:rsidRPr="000A64DD">
              <w:t>Obligation de la loi « déontologie » de 2016</w:t>
            </w:r>
          </w:p>
        </w:tc>
        <w:tc>
          <w:tcPr>
            <w:tcW w:w="3499" w:type="dxa"/>
          </w:tcPr>
          <w:p w14:paraId="6C088DFD" w14:textId="35A40FD3" w:rsidR="0042643F" w:rsidRPr="000A64DD" w:rsidRDefault="0042643F" w:rsidP="003D1D3A">
            <w:pPr>
              <w:jc w:val="both"/>
            </w:pPr>
            <w:r w:rsidRPr="000A64DD">
              <w:t>2019</w:t>
            </w:r>
            <w:r w:rsidR="00A773AD" w:rsidRPr="000A64DD">
              <w:t xml:space="preserve"> </w:t>
            </w:r>
          </w:p>
        </w:tc>
      </w:tr>
      <w:tr w:rsidR="0042643F" w14:paraId="338F4F6E" w14:textId="77777777" w:rsidTr="007E4EC9">
        <w:trPr>
          <w:trHeight w:val="673"/>
        </w:trPr>
        <w:tc>
          <w:tcPr>
            <w:tcW w:w="3498" w:type="dxa"/>
            <w:vMerge/>
            <w:shd w:val="clear" w:color="auto" w:fill="FFF2CC" w:themeFill="accent4" w:themeFillTint="33"/>
          </w:tcPr>
          <w:p w14:paraId="5C957553" w14:textId="77777777" w:rsidR="0042643F" w:rsidRPr="00B407BB" w:rsidRDefault="0042643F" w:rsidP="00E26709">
            <w:pPr>
              <w:keepLines/>
              <w:jc w:val="both"/>
              <w:rPr>
                <w:rFonts w:cstheme="minorHAnsi"/>
              </w:rPr>
            </w:pPr>
          </w:p>
        </w:tc>
        <w:tc>
          <w:tcPr>
            <w:tcW w:w="3498" w:type="dxa"/>
          </w:tcPr>
          <w:p w14:paraId="6CC2D5B4" w14:textId="71FFED83" w:rsidR="0042643F" w:rsidRPr="000A64DD" w:rsidRDefault="00A773AD" w:rsidP="006C0B00">
            <w:pPr>
              <w:jc w:val="both"/>
              <w:rPr>
                <w:rFonts w:cstheme="minorHAnsi"/>
              </w:rPr>
            </w:pPr>
            <w:r w:rsidRPr="000A64DD">
              <w:rPr>
                <w:rFonts w:cstheme="minorHAnsi"/>
              </w:rPr>
              <w:t>R</w:t>
            </w:r>
            <w:r w:rsidR="0042643F" w:rsidRPr="000A64DD">
              <w:rPr>
                <w:rFonts w:cstheme="minorHAnsi"/>
              </w:rPr>
              <w:t xml:space="preserve">emplacement </w:t>
            </w:r>
            <w:r w:rsidRPr="000A64DD">
              <w:rPr>
                <w:rFonts w:cstheme="minorHAnsi"/>
              </w:rPr>
              <w:t xml:space="preserve">des agents </w:t>
            </w:r>
            <w:r w:rsidR="006C0B00">
              <w:rPr>
                <w:rFonts w:cstheme="minorHAnsi"/>
              </w:rPr>
              <w:t>représentants des personnels</w:t>
            </w:r>
            <w:r w:rsidRPr="000A64DD">
              <w:rPr>
                <w:rFonts w:cstheme="minorHAnsi"/>
              </w:rPr>
              <w:t xml:space="preserve"> en congé de maternité d’adoption </w:t>
            </w:r>
            <w:r w:rsidR="0042643F" w:rsidRPr="000A64DD">
              <w:rPr>
                <w:rFonts w:cstheme="minorHAnsi"/>
              </w:rPr>
              <w:t>pendant</w:t>
            </w:r>
            <w:r w:rsidRPr="000A64DD">
              <w:rPr>
                <w:rFonts w:cstheme="minorHAnsi"/>
              </w:rPr>
              <w:t xml:space="preserve"> leur</w:t>
            </w:r>
            <w:r w:rsidR="0042643F" w:rsidRPr="000A64DD">
              <w:rPr>
                <w:rFonts w:cstheme="minorHAnsi"/>
              </w:rPr>
              <w:t xml:space="preserve"> l’absence tout en </w:t>
            </w:r>
            <w:r w:rsidRPr="000A64DD">
              <w:rPr>
                <w:rFonts w:cstheme="minorHAnsi"/>
              </w:rPr>
              <w:t xml:space="preserve">leur </w:t>
            </w:r>
            <w:r w:rsidR="0042643F" w:rsidRPr="000A64DD">
              <w:rPr>
                <w:rFonts w:cstheme="minorHAnsi"/>
              </w:rPr>
              <w:t xml:space="preserve">conservant </w:t>
            </w:r>
            <w:r w:rsidRPr="000A64DD">
              <w:rPr>
                <w:rFonts w:cstheme="minorHAnsi"/>
              </w:rPr>
              <w:t>leur</w:t>
            </w:r>
            <w:r w:rsidR="0042643F" w:rsidRPr="000A64DD">
              <w:rPr>
                <w:rFonts w:cstheme="minorHAnsi"/>
              </w:rPr>
              <w:t xml:space="preserve"> mandat</w:t>
            </w:r>
          </w:p>
        </w:tc>
        <w:tc>
          <w:tcPr>
            <w:tcW w:w="3499" w:type="dxa"/>
          </w:tcPr>
          <w:p w14:paraId="098D5175" w14:textId="77777777" w:rsidR="0042643F" w:rsidRPr="000A64DD" w:rsidRDefault="00BF1797" w:rsidP="00BF1797">
            <w:pPr>
              <w:jc w:val="both"/>
            </w:pPr>
            <w:r w:rsidRPr="000A64DD">
              <w:rPr>
                <w:rFonts w:cstheme="minorHAnsi"/>
              </w:rPr>
              <w:t>Modification des t</w:t>
            </w:r>
            <w:r w:rsidR="0042643F" w:rsidRPr="000A64DD">
              <w:rPr>
                <w:rFonts w:cstheme="minorHAnsi"/>
              </w:rPr>
              <w:t>extes relatifs aux instances de concertation</w:t>
            </w:r>
          </w:p>
        </w:tc>
        <w:tc>
          <w:tcPr>
            <w:tcW w:w="3499" w:type="dxa"/>
          </w:tcPr>
          <w:p w14:paraId="0D7A9ABF" w14:textId="77777777" w:rsidR="0042643F" w:rsidRPr="000A64DD" w:rsidRDefault="00BF1797" w:rsidP="00E26709">
            <w:pPr>
              <w:jc w:val="both"/>
            </w:pPr>
            <w:r w:rsidRPr="000A64DD">
              <w:t>A partir du 2</w:t>
            </w:r>
            <w:r w:rsidRPr="000A64DD">
              <w:rPr>
                <w:vertAlign w:val="superscript"/>
              </w:rPr>
              <w:t>nd</w:t>
            </w:r>
            <w:r w:rsidRPr="000A64DD">
              <w:t xml:space="preserve"> semestre 2019</w:t>
            </w:r>
          </w:p>
        </w:tc>
      </w:tr>
      <w:tr w:rsidR="00EF3C67" w14:paraId="7C44CB9E" w14:textId="77777777" w:rsidTr="0021338F">
        <w:trPr>
          <w:trHeight w:val="1169"/>
        </w:trPr>
        <w:tc>
          <w:tcPr>
            <w:tcW w:w="3498" w:type="dxa"/>
            <w:vMerge w:val="restart"/>
            <w:shd w:val="clear" w:color="auto" w:fill="FFF2CC" w:themeFill="accent4" w:themeFillTint="33"/>
          </w:tcPr>
          <w:p w14:paraId="1BE6F1B9" w14:textId="77777777" w:rsidR="00EF3C67" w:rsidRPr="00D34F80" w:rsidRDefault="00EF3C67" w:rsidP="00E26709">
            <w:pPr>
              <w:keepLines/>
              <w:ind w:left="1"/>
              <w:jc w:val="both"/>
              <w:rPr>
                <w:rFonts w:cstheme="minorHAnsi"/>
              </w:rPr>
            </w:pPr>
            <w:r w:rsidRPr="00D34F80">
              <w:rPr>
                <w:rFonts w:cstheme="minorHAnsi"/>
              </w:rPr>
              <w:lastRenderedPageBreak/>
              <w:t>1.</w:t>
            </w:r>
            <w:r>
              <w:rPr>
                <w:rFonts w:cstheme="minorHAnsi"/>
              </w:rPr>
              <w:t>4</w:t>
            </w:r>
            <w:r w:rsidRPr="00D34F80">
              <w:rPr>
                <w:rFonts w:cstheme="minorHAnsi"/>
              </w:rPr>
              <w:t>. Renforcer la connaissance statistique de la situation comparée des femmes et des hommes, l’évaluation et le suivi des actions conduites en matière d’égalité professionnelle</w:t>
            </w:r>
          </w:p>
          <w:p w14:paraId="05D419FB" w14:textId="77777777" w:rsidR="00EF3C67" w:rsidRDefault="00EF3C67" w:rsidP="00E26709">
            <w:pPr>
              <w:jc w:val="both"/>
            </w:pPr>
          </w:p>
        </w:tc>
        <w:tc>
          <w:tcPr>
            <w:tcW w:w="3498" w:type="dxa"/>
          </w:tcPr>
          <w:p w14:paraId="34F56882" w14:textId="77777777" w:rsidR="00EF3C67" w:rsidRPr="000A64DD" w:rsidRDefault="00EF3C67" w:rsidP="00E26709">
            <w:pPr>
              <w:jc w:val="both"/>
            </w:pPr>
            <w:r w:rsidRPr="000A64DD">
              <w:rPr>
                <w:rFonts w:cstheme="minorHAnsi"/>
              </w:rPr>
              <w:t xml:space="preserve">Réexamen des indicateurs des rapports de situation comparée des bilans sociaux </w:t>
            </w:r>
          </w:p>
        </w:tc>
        <w:tc>
          <w:tcPr>
            <w:tcW w:w="3499" w:type="dxa"/>
          </w:tcPr>
          <w:p w14:paraId="45B71127" w14:textId="77777777" w:rsidR="00EF3C67" w:rsidRDefault="00EF3C67" w:rsidP="00E26709">
            <w:pPr>
              <w:jc w:val="both"/>
            </w:pPr>
            <w:r w:rsidRPr="000A64DD">
              <w:t>Mise en place d’un GT avec les signataires</w:t>
            </w:r>
            <w:r w:rsidR="008E6355" w:rsidRPr="000A64DD">
              <w:t xml:space="preserve"> du présent protocole</w:t>
            </w:r>
          </w:p>
          <w:p w14:paraId="479E36C5" w14:textId="77777777" w:rsidR="00A46027" w:rsidRPr="000A64DD" w:rsidRDefault="00A46027" w:rsidP="00E26709">
            <w:pPr>
              <w:jc w:val="both"/>
            </w:pPr>
          </w:p>
          <w:p w14:paraId="1B19DB6A" w14:textId="77777777" w:rsidR="008E6355" w:rsidRPr="000A64DD" w:rsidRDefault="008E6355" w:rsidP="00E26709">
            <w:pPr>
              <w:jc w:val="both"/>
            </w:pPr>
            <w:r w:rsidRPr="000A64DD">
              <w:t>Clarification de l’obligation juridique de produire ces données dans PJL Fonction publique</w:t>
            </w:r>
          </w:p>
        </w:tc>
        <w:tc>
          <w:tcPr>
            <w:tcW w:w="3499" w:type="dxa"/>
          </w:tcPr>
          <w:p w14:paraId="4A03279B" w14:textId="77777777" w:rsidR="00EF3C67" w:rsidRPr="000A64DD" w:rsidRDefault="00EF3C67" w:rsidP="00E26709">
            <w:pPr>
              <w:jc w:val="both"/>
            </w:pPr>
            <w:r w:rsidRPr="000A64DD">
              <w:t>2019</w:t>
            </w:r>
          </w:p>
          <w:p w14:paraId="761344B0" w14:textId="77777777" w:rsidR="008E6355" w:rsidRDefault="008E6355" w:rsidP="00E26709">
            <w:pPr>
              <w:jc w:val="both"/>
            </w:pPr>
          </w:p>
          <w:p w14:paraId="14BD9232" w14:textId="77777777" w:rsidR="00A46027" w:rsidRDefault="00A46027" w:rsidP="00E26709">
            <w:pPr>
              <w:jc w:val="both"/>
            </w:pPr>
          </w:p>
          <w:p w14:paraId="422C0ED2" w14:textId="2F4171A5" w:rsidR="0069389E" w:rsidRPr="000A64DD" w:rsidRDefault="0069389E" w:rsidP="00E26709">
            <w:pPr>
              <w:jc w:val="both"/>
            </w:pPr>
            <w:r>
              <w:t>2019</w:t>
            </w:r>
          </w:p>
          <w:p w14:paraId="5C3F1CE8" w14:textId="38510395" w:rsidR="008E6355" w:rsidRPr="000A64DD" w:rsidRDefault="008E6355" w:rsidP="0069389E">
            <w:pPr>
              <w:jc w:val="both"/>
            </w:pPr>
          </w:p>
        </w:tc>
      </w:tr>
      <w:tr w:rsidR="00EF3C67" w14:paraId="4A681C21" w14:textId="77777777" w:rsidTr="00EF3C67">
        <w:trPr>
          <w:trHeight w:val="1001"/>
        </w:trPr>
        <w:tc>
          <w:tcPr>
            <w:tcW w:w="3498" w:type="dxa"/>
            <w:vMerge/>
            <w:shd w:val="clear" w:color="auto" w:fill="FFF2CC" w:themeFill="accent4" w:themeFillTint="33"/>
          </w:tcPr>
          <w:p w14:paraId="76445658" w14:textId="77777777" w:rsidR="00EF3C67" w:rsidRPr="00D34F80" w:rsidRDefault="00EF3C67" w:rsidP="00B407BB">
            <w:pPr>
              <w:keepLines/>
              <w:ind w:left="1"/>
              <w:rPr>
                <w:rFonts w:cstheme="minorHAnsi"/>
              </w:rPr>
            </w:pPr>
          </w:p>
        </w:tc>
        <w:tc>
          <w:tcPr>
            <w:tcW w:w="3498" w:type="dxa"/>
          </w:tcPr>
          <w:p w14:paraId="36B1682D" w14:textId="77777777" w:rsidR="00EF3C67" w:rsidRPr="000A64DD" w:rsidRDefault="00BF1797" w:rsidP="00BF1797">
            <w:pPr>
              <w:jc w:val="both"/>
              <w:rPr>
                <w:rFonts w:cstheme="minorHAnsi"/>
              </w:rPr>
            </w:pPr>
            <w:r w:rsidRPr="000A64DD">
              <w:rPr>
                <w:rFonts w:cstheme="minorHAnsi"/>
              </w:rPr>
              <w:t xml:space="preserve">Exploitation des données issues de la </w:t>
            </w:r>
            <w:r w:rsidR="00EF3C67" w:rsidRPr="000A64DD">
              <w:rPr>
                <w:rFonts w:cstheme="minorHAnsi"/>
              </w:rPr>
              <w:t xml:space="preserve">Base concours </w:t>
            </w:r>
          </w:p>
        </w:tc>
        <w:tc>
          <w:tcPr>
            <w:tcW w:w="3499" w:type="dxa"/>
          </w:tcPr>
          <w:p w14:paraId="4EF66A14" w14:textId="77777777" w:rsidR="00EF3C67" w:rsidRPr="000A64DD" w:rsidRDefault="0091600F" w:rsidP="00E26709">
            <w:pPr>
              <w:jc w:val="both"/>
            </w:pPr>
            <w:r w:rsidRPr="000A64DD">
              <w:rPr>
                <w:rFonts w:cstheme="minorHAnsi"/>
              </w:rPr>
              <w:t>L</w:t>
            </w:r>
            <w:r w:rsidR="00EF3C67" w:rsidRPr="000A64DD">
              <w:rPr>
                <w:rFonts w:cstheme="minorHAnsi"/>
              </w:rPr>
              <w:t>oi n° 2017-86 du 27 janvier 2017 relative à l’égalité et à la citoyenneté</w:t>
            </w:r>
          </w:p>
        </w:tc>
        <w:tc>
          <w:tcPr>
            <w:tcW w:w="3499" w:type="dxa"/>
          </w:tcPr>
          <w:p w14:paraId="14778E4E" w14:textId="77777777" w:rsidR="00637012" w:rsidRPr="000A64DD" w:rsidRDefault="00637012" w:rsidP="00287671">
            <w:pPr>
              <w:jc w:val="both"/>
            </w:pPr>
            <w:r w:rsidRPr="000A64DD">
              <w:t>Début de la collecte en 2020</w:t>
            </w:r>
          </w:p>
          <w:p w14:paraId="5E505209" w14:textId="7AC5632D" w:rsidR="00EF3C67" w:rsidRPr="000A64DD" w:rsidRDefault="00BF1797" w:rsidP="00287671">
            <w:pPr>
              <w:jc w:val="both"/>
            </w:pPr>
            <w:r w:rsidRPr="000A64DD">
              <w:t xml:space="preserve">A partir du </w:t>
            </w:r>
            <w:r w:rsidR="00EF3C67" w:rsidRPr="000A64DD">
              <w:t>1</w:t>
            </w:r>
            <w:r w:rsidR="00EF3C67" w:rsidRPr="000A64DD">
              <w:rPr>
                <w:vertAlign w:val="superscript"/>
              </w:rPr>
              <w:t>er</w:t>
            </w:r>
            <w:r w:rsidR="00EF3C67" w:rsidRPr="000A64DD">
              <w:t xml:space="preserve"> janvier 202</w:t>
            </w:r>
            <w:r w:rsidR="00287671" w:rsidRPr="000A64DD">
              <w:t>1</w:t>
            </w:r>
            <w:r w:rsidR="00637012" w:rsidRPr="000A64DD">
              <w:t xml:space="preserve"> pour l’exploitation des résultats</w:t>
            </w:r>
          </w:p>
        </w:tc>
      </w:tr>
      <w:tr w:rsidR="00EF3C67" w14:paraId="57EA0B31" w14:textId="77777777" w:rsidTr="007E4EC9">
        <w:trPr>
          <w:trHeight w:val="1000"/>
        </w:trPr>
        <w:tc>
          <w:tcPr>
            <w:tcW w:w="3498" w:type="dxa"/>
            <w:vMerge/>
            <w:shd w:val="clear" w:color="auto" w:fill="FFF2CC" w:themeFill="accent4" w:themeFillTint="33"/>
          </w:tcPr>
          <w:p w14:paraId="170BF74E" w14:textId="499AF7B7" w:rsidR="00EF3C67" w:rsidRPr="00D34F80" w:rsidRDefault="00EF3C67" w:rsidP="00B407BB">
            <w:pPr>
              <w:keepLines/>
              <w:ind w:left="1"/>
              <w:rPr>
                <w:rFonts w:cstheme="minorHAnsi"/>
              </w:rPr>
            </w:pPr>
          </w:p>
        </w:tc>
        <w:tc>
          <w:tcPr>
            <w:tcW w:w="3498" w:type="dxa"/>
          </w:tcPr>
          <w:p w14:paraId="411B3298" w14:textId="77777777" w:rsidR="00EF3C67" w:rsidRPr="000A64DD" w:rsidRDefault="00EF3C67" w:rsidP="008E6355">
            <w:pPr>
              <w:jc w:val="both"/>
              <w:rPr>
                <w:rFonts w:cstheme="minorHAnsi"/>
              </w:rPr>
            </w:pPr>
            <w:proofErr w:type="spellStart"/>
            <w:r w:rsidRPr="000A64DD">
              <w:rPr>
                <w:rFonts w:cstheme="minorHAnsi"/>
                <w:i/>
              </w:rPr>
              <w:t>Testing</w:t>
            </w:r>
            <w:proofErr w:type="spellEnd"/>
            <w:r w:rsidRPr="000A64DD">
              <w:rPr>
                <w:rFonts w:cstheme="minorHAnsi"/>
              </w:rPr>
              <w:t xml:space="preserve"> et travaux statistiques pour améliorer la connaissance des discriminations </w:t>
            </w:r>
            <w:r w:rsidR="008E6355" w:rsidRPr="000A64DD">
              <w:rPr>
                <w:rFonts w:cstheme="minorHAnsi"/>
              </w:rPr>
              <w:t>liées au sexe dans l’</w:t>
            </w:r>
            <w:r w:rsidRPr="000A64DD">
              <w:rPr>
                <w:rFonts w:cstheme="minorHAnsi"/>
              </w:rPr>
              <w:t>accès</w:t>
            </w:r>
            <w:r w:rsidR="008E6355" w:rsidRPr="000A64DD">
              <w:rPr>
                <w:rFonts w:cstheme="minorHAnsi"/>
              </w:rPr>
              <w:t xml:space="preserve"> </w:t>
            </w:r>
            <w:r w:rsidRPr="000A64DD">
              <w:rPr>
                <w:rFonts w:cstheme="minorHAnsi"/>
              </w:rPr>
              <w:t>à la FP</w:t>
            </w:r>
          </w:p>
        </w:tc>
        <w:tc>
          <w:tcPr>
            <w:tcW w:w="3499" w:type="dxa"/>
          </w:tcPr>
          <w:p w14:paraId="4B70C118" w14:textId="77777777" w:rsidR="00D41774" w:rsidRPr="000A64DD" w:rsidRDefault="00D41774" w:rsidP="00D41774">
            <w:pPr>
              <w:jc w:val="both"/>
              <w:rPr>
                <w:rFonts w:cstheme="minorHAnsi"/>
              </w:rPr>
            </w:pPr>
            <w:r w:rsidRPr="000A64DD">
              <w:t xml:space="preserve">Nouvelle campagne </w:t>
            </w:r>
          </w:p>
        </w:tc>
        <w:tc>
          <w:tcPr>
            <w:tcW w:w="3499" w:type="dxa"/>
          </w:tcPr>
          <w:p w14:paraId="3FAC8152" w14:textId="77777777" w:rsidR="00D41774" w:rsidRPr="000A64DD" w:rsidRDefault="00D41774" w:rsidP="00BF1797">
            <w:pPr>
              <w:jc w:val="both"/>
            </w:pPr>
            <w:r w:rsidRPr="000A64DD">
              <w:t>2019-2020</w:t>
            </w:r>
          </w:p>
        </w:tc>
      </w:tr>
      <w:tr w:rsidR="00EF3C67" w14:paraId="386F41DB" w14:textId="77777777" w:rsidTr="007E4EC9">
        <w:trPr>
          <w:trHeight w:val="486"/>
        </w:trPr>
        <w:tc>
          <w:tcPr>
            <w:tcW w:w="3498" w:type="dxa"/>
            <w:vMerge/>
            <w:shd w:val="clear" w:color="auto" w:fill="FFF2CC" w:themeFill="accent4" w:themeFillTint="33"/>
          </w:tcPr>
          <w:p w14:paraId="48BC3FED" w14:textId="77777777" w:rsidR="00EF3C67" w:rsidRPr="00D34F80" w:rsidRDefault="00EF3C67" w:rsidP="00B407BB">
            <w:pPr>
              <w:keepLines/>
              <w:ind w:left="1"/>
              <w:rPr>
                <w:rFonts w:cstheme="minorHAnsi"/>
              </w:rPr>
            </w:pPr>
          </w:p>
        </w:tc>
        <w:tc>
          <w:tcPr>
            <w:tcW w:w="3498" w:type="dxa"/>
          </w:tcPr>
          <w:p w14:paraId="78ED3ADD" w14:textId="77777777" w:rsidR="00EF3C67" w:rsidRPr="000A64DD" w:rsidRDefault="00EF3C67" w:rsidP="00E26709">
            <w:pPr>
              <w:jc w:val="both"/>
              <w:rPr>
                <w:rFonts w:cstheme="minorHAnsi"/>
              </w:rPr>
            </w:pPr>
            <w:r w:rsidRPr="000A64DD">
              <w:rPr>
                <w:rFonts w:cstheme="minorHAnsi"/>
              </w:rPr>
              <w:t>Étude de cohortes visant  à comparer et analyser les trajectoires et parcours professionnels des femmes et des hommes</w:t>
            </w:r>
          </w:p>
        </w:tc>
        <w:tc>
          <w:tcPr>
            <w:tcW w:w="3499" w:type="dxa"/>
          </w:tcPr>
          <w:p w14:paraId="3FF83356" w14:textId="6425BDAC" w:rsidR="00EF3C67" w:rsidRDefault="00EF3C67" w:rsidP="00D41774">
            <w:pPr>
              <w:jc w:val="both"/>
              <w:rPr>
                <w:rFonts w:cstheme="minorHAnsi"/>
              </w:rPr>
            </w:pPr>
            <w:r w:rsidRPr="000A64DD">
              <w:rPr>
                <w:rFonts w:cstheme="minorHAnsi"/>
              </w:rPr>
              <w:t>Le cahier des charges de cette étude sera examiné dans le cadre de</w:t>
            </w:r>
            <w:r w:rsidR="00855A9F">
              <w:rPr>
                <w:rFonts w:cstheme="minorHAnsi"/>
              </w:rPr>
              <w:t>s</w:t>
            </w:r>
            <w:r w:rsidRPr="000A64DD">
              <w:rPr>
                <w:rFonts w:cstheme="minorHAnsi"/>
              </w:rPr>
              <w:t xml:space="preserve"> formation</w:t>
            </w:r>
            <w:r w:rsidR="00855A9F">
              <w:rPr>
                <w:rFonts w:cstheme="minorHAnsi"/>
              </w:rPr>
              <w:t>s</w:t>
            </w:r>
            <w:r w:rsidRPr="000A64DD">
              <w:rPr>
                <w:rFonts w:cstheme="minorHAnsi"/>
              </w:rPr>
              <w:t xml:space="preserve"> spécialisée</w:t>
            </w:r>
            <w:r w:rsidR="00855A9F">
              <w:rPr>
                <w:rFonts w:cstheme="minorHAnsi"/>
              </w:rPr>
              <w:t>s</w:t>
            </w:r>
            <w:r w:rsidRPr="000A64DD">
              <w:rPr>
                <w:rFonts w:cstheme="minorHAnsi"/>
              </w:rPr>
              <w:t xml:space="preserve"> dédiée</w:t>
            </w:r>
            <w:r w:rsidR="00855A9F">
              <w:rPr>
                <w:rFonts w:cstheme="minorHAnsi"/>
              </w:rPr>
              <w:t>s</w:t>
            </w:r>
            <w:r w:rsidRPr="000A64DD">
              <w:rPr>
                <w:rFonts w:cstheme="minorHAnsi"/>
              </w:rPr>
              <w:t xml:space="preserve"> du Conseil commun de la fonction publique (formation spécialisée relative à la connaissance statistique</w:t>
            </w:r>
            <w:r w:rsidR="00855A9F">
              <w:rPr>
                <w:rFonts w:cstheme="minorHAnsi"/>
              </w:rPr>
              <w:t xml:space="preserve"> et formation spécialisée relative à l’égalité</w:t>
            </w:r>
            <w:r w:rsidRPr="000A64DD">
              <w:rPr>
                <w:rFonts w:cstheme="minorHAnsi"/>
              </w:rPr>
              <w:t xml:space="preserve">) </w:t>
            </w:r>
          </w:p>
          <w:p w14:paraId="7E19F9EA" w14:textId="77777777" w:rsidR="00A46027" w:rsidRPr="000A64DD" w:rsidRDefault="00A46027" w:rsidP="00D41774">
            <w:pPr>
              <w:jc w:val="both"/>
              <w:rPr>
                <w:rFonts w:cstheme="minorHAnsi"/>
              </w:rPr>
            </w:pPr>
          </w:p>
          <w:p w14:paraId="2FD6383E" w14:textId="77777777" w:rsidR="00D41774" w:rsidRPr="000A64DD" w:rsidRDefault="00D41774" w:rsidP="00D41774">
            <w:pPr>
              <w:jc w:val="both"/>
            </w:pPr>
            <w:r w:rsidRPr="000A64DD">
              <w:t>Conduite de l’étude</w:t>
            </w:r>
          </w:p>
        </w:tc>
        <w:tc>
          <w:tcPr>
            <w:tcW w:w="3499" w:type="dxa"/>
          </w:tcPr>
          <w:p w14:paraId="48387FBC" w14:textId="18755F82" w:rsidR="00D41774" w:rsidRPr="000A64DD" w:rsidRDefault="000A64DD" w:rsidP="00D41774">
            <w:pPr>
              <w:jc w:val="both"/>
            </w:pPr>
            <w:r>
              <w:rPr>
                <w:rFonts w:cstheme="minorHAnsi"/>
              </w:rPr>
              <w:t>C</w:t>
            </w:r>
            <w:r w:rsidR="00D41774" w:rsidRPr="000A64DD">
              <w:rPr>
                <w:rFonts w:cstheme="minorHAnsi"/>
              </w:rPr>
              <w:t>ourant 2019</w:t>
            </w:r>
          </w:p>
          <w:p w14:paraId="3A8927A3" w14:textId="77777777" w:rsidR="00D41774" w:rsidRPr="000A64DD" w:rsidRDefault="00D41774" w:rsidP="00D41774">
            <w:pPr>
              <w:jc w:val="both"/>
            </w:pPr>
          </w:p>
          <w:p w14:paraId="3AC277F9" w14:textId="77777777" w:rsidR="00D41774" w:rsidRPr="000A64DD" w:rsidRDefault="00D41774" w:rsidP="00D41774">
            <w:pPr>
              <w:jc w:val="both"/>
            </w:pPr>
          </w:p>
          <w:p w14:paraId="51816A8A" w14:textId="77777777" w:rsidR="00D41774" w:rsidRPr="000A64DD" w:rsidRDefault="00D41774" w:rsidP="00D41774">
            <w:pPr>
              <w:jc w:val="both"/>
            </w:pPr>
          </w:p>
          <w:p w14:paraId="6CE11D3A" w14:textId="77777777" w:rsidR="00D41774" w:rsidRPr="000A64DD" w:rsidRDefault="00D41774" w:rsidP="00D41774">
            <w:pPr>
              <w:jc w:val="both"/>
            </w:pPr>
          </w:p>
          <w:p w14:paraId="132B25E5" w14:textId="77777777" w:rsidR="00D41774" w:rsidRPr="000A64DD" w:rsidRDefault="00D41774" w:rsidP="00D41774">
            <w:pPr>
              <w:jc w:val="both"/>
            </w:pPr>
          </w:p>
          <w:p w14:paraId="7959845A" w14:textId="77777777" w:rsidR="00D41774" w:rsidRPr="000A64DD" w:rsidRDefault="00D41774" w:rsidP="00D41774">
            <w:pPr>
              <w:jc w:val="both"/>
            </w:pPr>
          </w:p>
          <w:p w14:paraId="025B69E3" w14:textId="77777777" w:rsidR="00855A9F" w:rsidRDefault="00855A9F" w:rsidP="00D41774">
            <w:pPr>
              <w:jc w:val="both"/>
            </w:pPr>
          </w:p>
          <w:p w14:paraId="45958935" w14:textId="77777777" w:rsidR="00A46027" w:rsidRDefault="00A46027" w:rsidP="00D41774">
            <w:pPr>
              <w:jc w:val="both"/>
            </w:pPr>
          </w:p>
          <w:p w14:paraId="7A375971" w14:textId="77777777" w:rsidR="00EF3C67" w:rsidRPr="000A64DD" w:rsidRDefault="004C086A" w:rsidP="00D41774">
            <w:pPr>
              <w:jc w:val="both"/>
            </w:pPr>
            <w:r w:rsidRPr="000A64DD">
              <w:t>A</w:t>
            </w:r>
            <w:r w:rsidR="00D41774" w:rsidRPr="000A64DD">
              <w:t xml:space="preserve"> partir de </w:t>
            </w:r>
            <w:r w:rsidR="00EF3C67" w:rsidRPr="000A64DD">
              <w:t>2020</w:t>
            </w:r>
          </w:p>
        </w:tc>
      </w:tr>
      <w:tr w:rsidR="0054296E" w14:paraId="73BFF85A" w14:textId="77777777" w:rsidTr="007E4EC9">
        <w:tc>
          <w:tcPr>
            <w:tcW w:w="3498" w:type="dxa"/>
            <w:shd w:val="clear" w:color="auto" w:fill="FFF2CC" w:themeFill="accent4" w:themeFillTint="33"/>
          </w:tcPr>
          <w:p w14:paraId="1F3E4780" w14:textId="77777777" w:rsidR="0054296E" w:rsidRPr="000A64DD" w:rsidRDefault="0054296E" w:rsidP="00E26709">
            <w:pPr>
              <w:keepLines/>
              <w:jc w:val="both"/>
              <w:rPr>
                <w:rFonts w:cstheme="minorHAnsi"/>
              </w:rPr>
            </w:pPr>
            <w:r w:rsidRPr="000A64DD">
              <w:rPr>
                <w:rFonts w:cstheme="minorHAnsi"/>
              </w:rPr>
              <w:t>1.</w:t>
            </w:r>
            <w:r w:rsidR="0021338F" w:rsidRPr="000A64DD">
              <w:rPr>
                <w:rFonts w:cstheme="minorHAnsi"/>
              </w:rPr>
              <w:t>5</w:t>
            </w:r>
            <w:r w:rsidRPr="000A64DD">
              <w:rPr>
                <w:rFonts w:cstheme="minorHAnsi"/>
              </w:rPr>
              <w:t xml:space="preserve">. Déployer auprès des employeurs publics un ou des référents Egalité travaillant en réseau, en articulation avec les acteurs déjà en place </w:t>
            </w:r>
          </w:p>
          <w:p w14:paraId="3349C448" w14:textId="77777777" w:rsidR="0054296E" w:rsidRPr="000A64DD" w:rsidRDefault="0054296E" w:rsidP="00E26709">
            <w:pPr>
              <w:keepLines/>
              <w:ind w:left="1"/>
              <w:jc w:val="both"/>
              <w:rPr>
                <w:rFonts w:cstheme="minorHAnsi"/>
              </w:rPr>
            </w:pPr>
          </w:p>
        </w:tc>
        <w:tc>
          <w:tcPr>
            <w:tcW w:w="3498" w:type="dxa"/>
          </w:tcPr>
          <w:p w14:paraId="2FFBBC46" w14:textId="77777777" w:rsidR="0054296E" w:rsidRPr="000A64DD" w:rsidRDefault="0021338F" w:rsidP="00E26709">
            <w:pPr>
              <w:jc w:val="both"/>
            </w:pPr>
            <w:r w:rsidRPr="000A64DD">
              <w:t>Obligation d’avoir un ou plusieurs référents  Égalité (en fonction des effectifs), ou appui sur un réseau de référents mutualisés</w:t>
            </w:r>
          </w:p>
        </w:tc>
        <w:tc>
          <w:tcPr>
            <w:tcW w:w="3499" w:type="dxa"/>
          </w:tcPr>
          <w:p w14:paraId="67729328" w14:textId="5CA8289F" w:rsidR="00D41774" w:rsidRPr="000A64DD" w:rsidRDefault="0021338F" w:rsidP="00637012">
            <w:pPr>
              <w:jc w:val="both"/>
              <w:rPr>
                <w:rFonts w:cstheme="minorHAnsi"/>
              </w:rPr>
            </w:pPr>
            <w:r w:rsidRPr="000A64DD">
              <w:rPr>
                <w:rFonts w:cstheme="minorHAnsi"/>
              </w:rPr>
              <w:t>Après conc</w:t>
            </w:r>
            <w:r w:rsidR="00A46027">
              <w:rPr>
                <w:rFonts w:cstheme="minorHAnsi"/>
              </w:rPr>
              <w:t xml:space="preserve">ertation avec les organisations </w:t>
            </w:r>
            <w:r w:rsidRPr="000A64DD">
              <w:rPr>
                <w:rFonts w:cstheme="minorHAnsi"/>
              </w:rPr>
              <w:t>syndicales représentatives, la DGAFP, la DGCL et la DGOS publ</w:t>
            </w:r>
            <w:r w:rsidR="00D41774" w:rsidRPr="000A64DD">
              <w:rPr>
                <w:rFonts w:cstheme="minorHAnsi"/>
              </w:rPr>
              <w:t xml:space="preserve">ieront une circulaire </w:t>
            </w:r>
            <w:r w:rsidR="00637012" w:rsidRPr="000A64DD">
              <w:rPr>
                <w:rFonts w:cstheme="minorHAnsi"/>
              </w:rPr>
              <w:t xml:space="preserve">d’application par versant </w:t>
            </w:r>
          </w:p>
        </w:tc>
        <w:tc>
          <w:tcPr>
            <w:tcW w:w="3499" w:type="dxa"/>
          </w:tcPr>
          <w:p w14:paraId="31845B8B" w14:textId="77777777" w:rsidR="0054296E" w:rsidRPr="000A64DD" w:rsidRDefault="00747901" w:rsidP="00E26709">
            <w:pPr>
              <w:jc w:val="both"/>
            </w:pPr>
            <w:r w:rsidRPr="000A64DD">
              <w:t xml:space="preserve">Circulaire en </w:t>
            </w:r>
            <w:r w:rsidR="00796470" w:rsidRPr="000A64DD">
              <w:t>2019</w:t>
            </w:r>
          </w:p>
          <w:p w14:paraId="3DB8C08F" w14:textId="16EA6D11" w:rsidR="00747901" w:rsidRPr="000A64DD" w:rsidRDefault="00747901" w:rsidP="00E26709">
            <w:pPr>
              <w:jc w:val="both"/>
            </w:pPr>
          </w:p>
        </w:tc>
      </w:tr>
      <w:tr w:rsidR="00FD3CE6" w14:paraId="173FC7C0" w14:textId="77777777" w:rsidTr="007E4EC9">
        <w:trPr>
          <w:trHeight w:val="673"/>
        </w:trPr>
        <w:tc>
          <w:tcPr>
            <w:tcW w:w="3498" w:type="dxa"/>
            <w:shd w:val="clear" w:color="auto" w:fill="FFF2CC" w:themeFill="accent4" w:themeFillTint="33"/>
          </w:tcPr>
          <w:p w14:paraId="31EBFD40" w14:textId="3CB76EE3" w:rsidR="00FD3CE6" w:rsidRPr="000A64DD" w:rsidRDefault="00D21C2D" w:rsidP="00E26709">
            <w:pPr>
              <w:keepLines/>
              <w:jc w:val="both"/>
              <w:rPr>
                <w:rFonts w:cstheme="minorHAnsi"/>
              </w:rPr>
            </w:pPr>
            <w:r>
              <w:rPr>
                <w:rFonts w:cstheme="minorHAnsi"/>
              </w:rPr>
              <w:t>1.6  Responsabiliser l’encadrement sur l’égalité professionnelle</w:t>
            </w:r>
          </w:p>
        </w:tc>
        <w:tc>
          <w:tcPr>
            <w:tcW w:w="3498" w:type="dxa"/>
          </w:tcPr>
          <w:p w14:paraId="455F5E6F" w14:textId="77777777" w:rsidR="00FD3CE6" w:rsidRPr="000A64DD" w:rsidRDefault="00FD3CE6" w:rsidP="00E26709">
            <w:pPr>
              <w:jc w:val="both"/>
            </w:pPr>
            <w:r w:rsidRPr="000A64DD">
              <w:t>Prise en compte de l’action des encadrants dans le domaine de l’égalité F/H</w:t>
            </w:r>
          </w:p>
        </w:tc>
        <w:tc>
          <w:tcPr>
            <w:tcW w:w="3499" w:type="dxa"/>
          </w:tcPr>
          <w:p w14:paraId="76B6AE86" w14:textId="77777777" w:rsidR="00FD3CE6" w:rsidRPr="000A64DD" w:rsidRDefault="00FD3CE6" w:rsidP="00E26709">
            <w:pPr>
              <w:jc w:val="both"/>
              <w:rPr>
                <w:rFonts w:cstheme="minorHAnsi"/>
              </w:rPr>
            </w:pPr>
            <w:r w:rsidRPr="000A64DD">
              <w:rPr>
                <w:rFonts w:cstheme="minorHAnsi"/>
              </w:rPr>
              <w:t>Modification des textes règlementaires relatifs à l’évaluation annuelle des cadres supérieurs et dirigeants</w:t>
            </w:r>
          </w:p>
        </w:tc>
        <w:tc>
          <w:tcPr>
            <w:tcW w:w="3499" w:type="dxa"/>
          </w:tcPr>
          <w:p w14:paraId="59524197" w14:textId="77777777" w:rsidR="00FD3CE6" w:rsidRPr="000A64DD" w:rsidRDefault="00FD3CE6" w:rsidP="00E26709">
            <w:pPr>
              <w:jc w:val="both"/>
            </w:pPr>
            <w:r w:rsidRPr="000A64DD">
              <w:t>2019</w:t>
            </w:r>
          </w:p>
          <w:p w14:paraId="43AB21E3" w14:textId="4AA3F2F1" w:rsidR="00747901" w:rsidRPr="000A64DD" w:rsidRDefault="00747901" w:rsidP="00E26709">
            <w:pPr>
              <w:jc w:val="both"/>
            </w:pPr>
          </w:p>
        </w:tc>
      </w:tr>
      <w:tr w:rsidR="0021338F" w14:paraId="4ABF4343" w14:textId="77777777" w:rsidTr="007E4EC9">
        <w:tc>
          <w:tcPr>
            <w:tcW w:w="3498" w:type="dxa"/>
            <w:shd w:val="clear" w:color="auto" w:fill="FFF2CC" w:themeFill="accent4" w:themeFillTint="33"/>
          </w:tcPr>
          <w:p w14:paraId="04DED2C4" w14:textId="77777777" w:rsidR="0021338F" w:rsidRPr="000A64DD" w:rsidRDefault="0021338F" w:rsidP="00E26709">
            <w:pPr>
              <w:keepLines/>
              <w:ind w:left="1"/>
              <w:jc w:val="both"/>
              <w:rPr>
                <w:rFonts w:cstheme="minorHAnsi"/>
              </w:rPr>
            </w:pPr>
            <w:r w:rsidRPr="000A64DD">
              <w:rPr>
                <w:rFonts w:cstheme="minorHAnsi"/>
              </w:rPr>
              <w:lastRenderedPageBreak/>
              <w:t>1.7 - Créer un fonds pour l’égalité professionnelle dans la fonction publique</w:t>
            </w:r>
          </w:p>
          <w:p w14:paraId="73485DA6" w14:textId="77777777" w:rsidR="0021338F" w:rsidRPr="000A64DD" w:rsidRDefault="0021338F" w:rsidP="00E26709">
            <w:pPr>
              <w:keepLines/>
              <w:jc w:val="both"/>
              <w:rPr>
                <w:rFonts w:cstheme="minorHAnsi"/>
              </w:rPr>
            </w:pPr>
          </w:p>
        </w:tc>
        <w:tc>
          <w:tcPr>
            <w:tcW w:w="3498" w:type="dxa"/>
          </w:tcPr>
          <w:p w14:paraId="3A3DAF34" w14:textId="2D3862D3" w:rsidR="0021338F" w:rsidRPr="000A64DD" w:rsidRDefault="00FD3CE6" w:rsidP="00D21C2D">
            <w:pPr>
              <w:jc w:val="both"/>
            </w:pPr>
            <w:r w:rsidRPr="000A64DD">
              <w:rPr>
                <w:rFonts w:cstheme="minorHAnsi"/>
              </w:rPr>
              <w:t xml:space="preserve">Fonds en faveur de  l’égalité professionnelle sur le programme 148 </w:t>
            </w:r>
            <w:r w:rsidRPr="000A64DD">
              <w:rPr>
                <w:rFonts w:cstheme="minorHAnsi"/>
                <w:i/>
              </w:rPr>
              <w:t>Fonction publique</w:t>
            </w:r>
            <w:r w:rsidRPr="000A64DD">
              <w:rPr>
                <w:rFonts w:cstheme="minorHAnsi"/>
              </w:rPr>
              <w:t>,</w:t>
            </w:r>
            <w:r w:rsidR="002A34A3">
              <w:rPr>
                <w:rFonts w:cstheme="minorHAnsi"/>
              </w:rPr>
              <w:t xml:space="preserve"> pour l’Etat</w:t>
            </w:r>
          </w:p>
        </w:tc>
        <w:tc>
          <w:tcPr>
            <w:tcW w:w="3499" w:type="dxa"/>
          </w:tcPr>
          <w:p w14:paraId="6B772824" w14:textId="739063B9" w:rsidR="002E024A" w:rsidRDefault="002E024A" w:rsidP="00E26709">
            <w:pPr>
              <w:jc w:val="both"/>
              <w:rPr>
                <w:rFonts w:cstheme="minorHAnsi"/>
              </w:rPr>
            </w:pPr>
            <w:r w:rsidRPr="000A64DD">
              <w:rPr>
                <w:rFonts w:cstheme="minorHAnsi"/>
              </w:rPr>
              <w:t>Mise en place du fonds</w:t>
            </w:r>
            <w:r w:rsidR="002A34A3">
              <w:rPr>
                <w:rFonts w:cstheme="minorHAnsi"/>
              </w:rPr>
              <w:t xml:space="preserve"> Etat</w:t>
            </w:r>
          </w:p>
          <w:p w14:paraId="55731938" w14:textId="77777777" w:rsidR="00A46027" w:rsidRPr="000A64DD" w:rsidRDefault="00A46027" w:rsidP="00E26709">
            <w:pPr>
              <w:jc w:val="both"/>
              <w:rPr>
                <w:rFonts w:cstheme="minorHAnsi"/>
              </w:rPr>
            </w:pPr>
          </w:p>
          <w:p w14:paraId="554BED81" w14:textId="77777777" w:rsidR="00796470" w:rsidRDefault="002E024A" w:rsidP="00E26709">
            <w:pPr>
              <w:jc w:val="both"/>
              <w:rPr>
                <w:rFonts w:cstheme="minorHAnsi"/>
              </w:rPr>
            </w:pPr>
            <w:r w:rsidRPr="000A64DD">
              <w:rPr>
                <w:rFonts w:cstheme="minorHAnsi"/>
              </w:rPr>
              <w:t>Lancement d’</w:t>
            </w:r>
            <w:r w:rsidR="00796470" w:rsidRPr="000A64DD">
              <w:rPr>
                <w:rFonts w:cstheme="minorHAnsi"/>
              </w:rPr>
              <w:t>appel</w:t>
            </w:r>
            <w:r w:rsidRPr="000A64DD">
              <w:rPr>
                <w:rFonts w:cstheme="minorHAnsi"/>
              </w:rPr>
              <w:t>s</w:t>
            </w:r>
            <w:r w:rsidR="00796470" w:rsidRPr="000A64DD">
              <w:rPr>
                <w:rFonts w:cstheme="minorHAnsi"/>
              </w:rPr>
              <w:t xml:space="preserve"> à projets </w:t>
            </w:r>
          </w:p>
          <w:p w14:paraId="3B9B6F95" w14:textId="77777777" w:rsidR="00A46027" w:rsidRPr="000A64DD" w:rsidRDefault="00A46027" w:rsidP="00E26709">
            <w:pPr>
              <w:jc w:val="both"/>
              <w:rPr>
                <w:rFonts w:cstheme="minorHAnsi"/>
              </w:rPr>
            </w:pPr>
          </w:p>
          <w:p w14:paraId="5CE35497" w14:textId="77777777" w:rsidR="0021338F" w:rsidRPr="000A64DD" w:rsidRDefault="00FD3CE6" w:rsidP="00E26709">
            <w:pPr>
              <w:jc w:val="both"/>
              <w:rPr>
                <w:rFonts w:cstheme="minorHAnsi"/>
              </w:rPr>
            </w:pPr>
            <w:r w:rsidRPr="000A64DD">
              <w:rPr>
                <w:rFonts w:cstheme="minorHAnsi"/>
              </w:rPr>
              <w:t>C</w:t>
            </w:r>
            <w:r w:rsidR="00796470" w:rsidRPr="000A64DD">
              <w:rPr>
                <w:rFonts w:cstheme="minorHAnsi"/>
              </w:rPr>
              <w:t>réation d’un c</w:t>
            </w:r>
            <w:r w:rsidRPr="000A64DD">
              <w:rPr>
                <w:rFonts w:cstheme="minorHAnsi"/>
              </w:rPr>
              <w:t xml:space="preserve">omité de pilotage </w:t>
            </w:r>
            <w:r w:rsidR="002E024A" w:rsidRPr="000A64DD">
              <w:rPr>
                <w:rFonts w:cstheme="minorHAnsi"/>
              </w:rPr>
              <w:t>dirigé par</w:t>
            </w:r>
            <w:r w:rsidRPr="000A64DD">
              <w:rPr>
                <w:rFonts w:cstheme="minorHAnsi"/>
              </w:rPr>
              <w:t xml:space="preserve"> la DGAFP, </w:t>
            </w:r>
            <w:r w:rsidR="002E024A" w:rsidRPr="000A64DD">
              <w:rPr>
                <w:rFonts w:cstheme="minorHAnsi"/>
              </w:rPr>
              <w:t>en associant à ce comité le SDFE</w:t>
            </w:r>
          </w:p>
          <w:p w14:paraId="1830FFD2" w14:textId="77777777" w:rsidR="00FD3CE6" w:rsidRPr="000A64DD" w:rsidRDefault="00FD3CE6" w:rsidP="00E26709">
            <w:pPr>
              <w:jc w:val="both"/>
              <w:rPr>
                <w:rFonts w:cstheme="minorHAnsi"/>
              </w:rPr>
            </w:pPr>
          </w:p>
          <w:p w14:paraId="2AD2E266" w14:textId="77777777" w:rsidR="00FD3CE6" w:rsidRPr="000A64DD" w:rsidRDefault="00FD3CE6" w:rsidP="00E26709">
            <w:pPr>
              <w:jc w:val="both"/>
            </w:pPr>
            <w:r w:rsidRPr="000A64DD">
              <w:rPr>
                <w:rFonts w:cstheme="minorHAnsi"/>
              </w:rPr>
              <w:t>Pour la FPH/FPT, mise en place d’un GT pour créer un dispositif équivalent</w:t>
            </w:r>
          </w:p>
        </w:tc>
        <w:tc>
          <w:tcPr>
            <w:tcW w:w="3499" w:type="dxa"/>
          </w:tcPr>
          <w:p w14:paraId="122AD427" w14:textId="04F55042" w:rsidR="00317016" w:rsidRDefault="00287671" w:rsidP="00E26709">
            <w:pPr>
              <w:jc w:val="both"/>
            </w:pPr>
            <w:r w:rsidRPr="000A64DD">
              <w:t>2019</w:t>
            </w:r>
          </w:p>
          <w:p w14:paraId="551472BB" w14:textId="77777777" w:rsidR="00A46027" w:rsidRDefault="00A46027" w:rsidP="00E26709">
            <w:pPr>
              <w:jc w:val="both"/>
            </w:pPr>
          </w:p>
          <w:p w14:paraId="0C4BF81F" w14:textId="3CE154CD" w:rsidR="0021338F" w:rsidRPr="000A64DD" w:rsidRDefault="00FD3CE6" w:rsidP="00E26709">
            <w:pPr>
              <w:jc w:val="both"/>
            </w:pPr>
            <w:r w:rsidRPr="000A64DD">
              <w:t>2019</w:t>
            </w:r>
          </w:p>
          <w:p w14:paraId="3B2A4EFF" w14:textId="77777777" w:rsidR="00D55A75" w:rsidRDefault="00D55A75" w:rsidP="00E26709">
            <w:pPr>
              <w:jc w:val="both"/>
            </w:pPr>
          </w:p>
          <w:p w14:paraId="61255577" w14:textId="0C825457" w:rsidR="00D55A75" w:rsidRDefault="00A46027" w:rsidP="00E26709">
            <w:pPr>
              <w:jc w:val="both"/>
            </w:pPr>
            <w:r>
              <w:t>2019</w:t>
            </w:r>
          </w:p>
          <w:p w14:paraId="704CA559" w14:textId="77777777" w:rsidR="00D55A75" w:rsidRDefault="00D55A75" w:rsidP="00E26709">
            <w:pPr>
              <w:jc w:val="both"/>
            </w:pPr>
          </w:p>
          <w:p w14:paraId="47702F7B" w14:textId="77777777" w:rsidR="00D55A75" w:rsidRDefault="00D55A75" w:rsidP="00E26709">
            <w:pPr>
              <w:jc w:val="both"/>
            </w:pPr>
          </w:p>
          <w:p w14:paraId="7EEA505D" w14:textId="77777777" w:rsidR="00A46027" w:rsidRDefault="00A46027" w:rsidP="00855A9F">
            <w:pPr>
              <w:jc w:val="both"/>
            </w:pPr>
          </w:p>
          <w:p w14:paraId="597A7AA0" w14:textId="5E384F8A" w:rsidR="00287671" w:rsidRPr="000A64DD" w:rsidRDefault="00D21C2D" w:rsidP="00855A9F">
            <w:pPr>
              <w:jc w:val="both"/>
            </w:pPr>
            <w:r>
              <w:t xml:space="preserve">2019 </w:t>
            </w:r>
          </w:p>
        </w:tc>
      </w:tr>
      <w:tr w:rsidR="00FD3CE6" w14:paraId="515AE9C2" w14:textId="77777777" w:rsidTr="00FD3CE6">
        <w:trPr>
          <w:trHeight w:val="842"/>
        </w:trPr>
        <w:tc>
          <w:tcPr>
            <w:tcW w:w="3498" w:type="dxa"/>
            <w:shd w:val="clear" w:color="auto" w:fill="FFF2CC" w:themeFill="accent4" w:themeFillTint="33"/>
          </w:tcPr>
          <w:p w14:paraId="268433D6" w14:textId="7FD6C497" w:rsidR="00FD3CE6" w:rsidRPr="000A64DD" w:rsidRDefault="00FD3CE6" w:rsidP="00C03C84">
            <w:pPr>
              <w:keepLines/>
              <w:jc w:val="both"/>
              <w:rPr>
                <w:rFonts w:cstheme="minorHAnsi"/>
              </w:rPr>
            </w:pPr>
            <w:r w:rsidRPr="000A64DD">
              <w:rPr>
                <w:rFonts w:cstheme="minorHAnsi"/>
              </w:rPr>
              <w:t xml:space="preserve">1.8. Déployer une communication appropriée </w:t>
            </w:r>
            <w:r w:rsidR="00C03C84">
              <w:rPr>
                <w:rFonts w:cstheme="minorHAnsi"/>
              </w:rPr>
              <w:t xml:space="preserve">auprès des agents publics </w:t>
            </w:r>
            <w:r w:rsidRPr="000A64DD">
              <w:rPr>
                <w:rFonts w:cstheme="minorHAnsi"/>
              </w:rPr>
              <w:t>favorisant l’implication et l’appropriation par chacun des enjeux de l’égalité professionnelle</w:t>
            </w:r>
          </w:p>
        </w:tc>
        <w:tc>
          <w:tcPr>
            <w:tcW w:w="3498" w:type="dxa"/>
          </w:tcPr>
          <w:p w14:paraId="38C5720F" w14:textId="3C3302B6" w:rsidR="00FD3CE6" w:rsidRPr="000A64DD" w:rsidRDefault="00796470" w:rsidP="00E26709">
            <w:pPr>
              <w:jc w:val="both"/>
            </w:pPr>
            <w:r w:rsidRPr="000A64DD">
              <w:t xml:space="preserve">Association des agents publics </w:t>
            </w:r>
            <w:r w:rsidR="00273845">
              <w:t xml:space="preserve">dans le cadre de </w:t>
            </w:r>
            <w:r w:rsidRPr="000A64DD">
              <w:t xml:space="preserve">l’élaboration et </w:t>
            </w:r>
            <w:r w:rsidR="00273845">
              <w:t xml:space="preserve">de </w:t>
            </w:r>
            <w:r w:rsidRPr="000A64DD">
              <w:t xml:space="preserve"> la mise en œuvre des plans d’ac</w:t>
            </w:r>
            <w:r w:rsidR="002E024A" w:rsidRPr="000A64DD">
              <w:t>tions par tout moyen approprié, et information des agents</w:t>
            </w:r>
          </w:p>
          <w:p w14:paraId="09B570B6" w14:textId="77777777" w:rsidR="00FD3CE6" w:rsidRPr="000A64DD" w:rsidRDefault="00FD3CE6" w:rsidP="00E26709">
            <w:pPr>
              <w:jc w:val="both"/>
            </w:pPr>
          </w:p>
        </w:tc>
        <w:tc>
          <w:tcPr>
            <w:tcW w:w="3499" w:type="dxa"/>
          </w:tcPr>
          <w:p w14:paraId="10B19FA1" w14:textId="69070B8B" w:rsidR="00FD3CE6" w:rsidRPr="000A64DD" w:rsidRDefault="00FD3CE6" w:rsidP="00E26709">
            <w:pPr>
              <w:jc w:val="both"/>
            </w:pPr>
          </w:p>
        </w:tc>
        <w:tc>
          <w:tcPr>
            <w:tcW w:w="3499" w:type="dxa"/>
          </w:tcPr>
          <w:p w14:paraId="0945AF18" w14:textId="376AD6F7" w:rsidR="00FD3CE6" w:rsidRPr="000A64DD" w:rsidRDefault="002A34A3" w:rsidP="003D1D3A">
            <w:pPr>
              <w:jc w:val="both"/>
            </w:pPr>
            <w:r>
              <w:t>Permanent</w:t>
            </w:r>
            <w:r w:rsidR="002E024A" w:rsidRPr="000A64DD">
              <w:t xml:space="preserve"> </w:t>
            </w:r>
          </w:p>
        </w:tc>
      </w:tr>
    </w:tbl>
    <w:p w14:paraId="27C6A09A" w14:textId="77777777" w:rsidR="00FD3CE6" w:rsidRDefault="00FD3CE6">
      <w:r>
        <w:br w:type="page"/>
      </w:r>
    </w:p>
    <w:tbl>
      <w:tblPr>
        <w:tblStyle w:val="Grilledutableau"/>
        <w:tblW w:w="0" w:type="auto"/>
        <w:tblLook w:val="04A0" w:firstRow="1" w:lastRow="0" w:firstColumn="1" w:lastColumn="0" w:noHBand="0" w:noVBand="1"/>
      </w:tblPr>
      <w:tblGrid>
        <w:gridCol w:w="3498"/>
        <w:gridCol w:w="3498"/>
        <w:gridCol w:w="3499"/>
        <w:gridCol w:w="3499"/>
      </w:tblGrid>
      <w:tr w:rsidR="007E4EC9" w14:paraId="0A90D42C" w14:textId="77777777" w:rsidTr="004B2C8C">
        <w:tc>
          <w:tcPr>
            <w:tcW w:w="13994" w:type="dxa"/>
            <w:gridSpan w:val="4"/>
            <w:shd w:val="clear" w:color="auto" w:fill="FFD966" w:themeFill="accent4" w:themeFillTint="99"/>
          </w:tcPr>
          <w:p w14:paraId="0A0C07B8" w14:textId="77777777" w:rsidR="007E4EC9" w:rsidRDefault="007E4EC9" w:rsidP="007E4EC9">
            <w:pPr>
              <w:jc w:val="center"/>
            </w:pPr>
            <w:r w:rsidRPr="00D34F80">
              <w:rPr>
                <w:rFonts w:cstheme="minorHAnsi"/>
                <w:b/>
              </w:rPr>
              <w:lastRenderedPageBreak/>
              <w:t>Axe 2 : Créer les conditions d’un égal accès aux métiers et aux responsabilités</w:t>
            </w:r>
            <w:r>
              <w:rPr>
                <w:rFonts w:cstheme="minorHAnsi"/>
                <w:b/>
              </w:rPr>
              <w:t xml:space="preserve"> professionnelles</w:t>
            </w:r>
          </w:p>
        </w:tc>
      </w:tr>
      <w:tr w:rsidR="00E30DB2" w:rsidRPr="00E30DB2" w14:paraId="5E5E2994" w14:textId="77777777" w:rsidTr="007E4EC9">
        <w:tc>
          <w:tcPr>
            <w:tcW w:w="3498" w:type="dxa"/>
            <w:vMerge w:val="restart"/>
            <w:shd w:val="clear" w:color="auto" w:fill="FFF2CC" w:themeFill="accent4" w:themeFillTint="33"/>
          </w:tcPr>
          <w:p w14:paraId="7128438B" w14:textId="77777777" w:rsidR="00E26709" w:rsidRPr="00E30DB2" w:rsidRDefault="00E26709" w:rsidP="00E30DB2">
            <w:pPr>
              <w:keepLines/>
              <w:jc w:val="both"/>
              <w:rPr>
                <w:rFonts w:cstheme="minorHAnsi"/>
              </w:rPr>
            </w:pPr>
            <w:r w:rsidRPr="00E30DB2">
              <w:rPr>
                <w:rFonts w:cstheme="minorHAnsi"/>
              </w:rPr>
              <w:t xml:space="preserve">2.1. Développer la connaissance des métiers de la fonction publique, élargir les viviers et renforcer l’action des écoles de service public pour une plus grande mixité des métiers </w:t>
            </w:r>
          </w:p>
          <w:p w14:paraId="30B4281A" w14:textId="77777777" w:rsidR="00E26709" w:rsidRPr="00E30DB2" w:rsidRDefault="00E26709" w:rsidP="00E30DB2">
            <w:pPr>
              <w:keepLines/>
              <w:ind w:left="1"/>
              <w:jc w:val="both"/>
              <w:rPr>
                <w:rFonts w:cstheme="minorHAnsi"/>
              </w:rPr>
            </w:pPr>
          </w:p>
        </w:tc>
        <w:tc>
          <w:tcPr>
            <w:tcW w:w="3498" w:type="dxa"/>
          </w:tcPr>
          <w:p w14:paraId="0A7349FC" w14:textId="77777777" w:rsidR="00E26709" w:rsidRPr="00E30DB2" w:rsidRDefault="00E26709" w:rsidP="00E30DB2">
            <w:pPr>
              <w:jc w:val="both"/>
            </w:pPr>
            <w:r w:rsidRPr="00E30DB2">
              <w:rPr>
                <w:rFonts w:cstheme="minorHAnsi"/>
              </w:rPr>
              <w:t xml:space="preserve">Campagnes </w:t>
            </w:r>
            <w:r w:rsidR="00796470" w:rsidRPr="00E30DB2">
              <w:rPr>
                <w:rFonts w:cstheme="minorHAnsi"/>
              </w:rPr>
              <w:t xml:space="preserve">nationales </w:t>
            </w:r>
            <w:r w:rsidRPr="00E30DB2">
              <w:rPr>
                <w:rFonts w:cstheme="minorHAnsi"/>
              </w:rPr>
              <w:t>de communication sur la diversité des métiers et de la fonction publique auprès des lycéens et des étudiants</w:t>
            </w:r>
          </w:p>
        </w:tc>
        <w:tc>
          <w:tcPr>
            <w:tcW w:w="3499" w:type="dxa"/>
          </w:tcPr>
          <w:p w14:paraId="03EA088A" w14:textId="77777777" w:rsidR="00E26709" w:rsidRPr="00E30DB2" w:rsidRDefault="00EF3C67" w:rsidP="00E30DB2">
            <w:pPr>
              <w:jc w:val="both"/>
              <w:rPr>
                <w:rFonts w:cstheme="minorHAnsi"/>
              </w:rPr>
            </w:pPr>
            <w:r w:rsidRPr="00E30DB2">
              <w:rPr>
                <w:rFonts w:cstheme="minorHAnsi"/>
              </w:rPr>
              <w:t>Loi n° 2017-86 du 27 janvier 2017 relative à l’égalité et à la citoyenneté</w:t>
            </w:r>
          </w:p>
          <w:p w14:paraId="44564E41" w14:textId="77777777" w:rsidR="00EF3C67" w:rsidRPr="00E30DB2" w:rsidRDefault="00EF3C67" w:rsidP="00E30DB2">
            <w:pPr>
              <w:jc w:val="both"/>
            </w:pPr>
            <w:r w:rsidRPr="00E30DB2">
              <w:rPr>
                <w:rFonts w:cstheme="minorHAnsi"/>
              </w:rPr>
              <w:t>Circulaire du Premier ministre du 17 juillet 2018, à renforcer</w:t>
            </w:r>
          </w:p>
        </w:tc>
        <w:tc>
          <w:tcPr>
            <w:tcW w:w="3499" w:type="dxa"/>
          </w:tcPr>
          <w:p w14:paraId="3E04EF53" w14:textId="77777777" w:rsidR="00E26709" w:rsidRPr="00E30DB2" w:rsidRDefault="002E024A" w:rsidP="00E30DB2">
            <w:pPr>
              <w:jc w:val="both"/>
            </w:pPr>
            <w:r w:rsidRPr="00E30DB2">
              <w:t xml:space="preserve">Dès </w:t>
            </w:r>
            <w:r w:rsidR="00E26709" w:rsidRPr="00E30DB2">
              <w:t>2019</w:t>
            </w:r>
          </w:p>
        </w:tc>
      </w:tr>
      <w:tr w:rsidR="00E30DB2" w:rsidRPr="00E30DB2" w14:paraId="0D873C70" w14:textId="77777777" w:rsidTr="007E4EC9">
        <w:tc>
          <w:tcPr>
            <w:tcW w:w="3498" w:type="dxa"/>
            <w:vMerge/>
            <w:shd w:val="clear" w:color="auto" w:fill="FFF2CC" w:themeFill="accent4" w:themeFillTint="33"/>
          </w:tcPr>
          <w:p w14:paraId="5D6DF838" w14:textId="77777777" w:rsidR="00E26709" w:rsidRPr="00E30DB2" w:rsidRDefault="00E26709" w:rsidP="00E30DB2">
            <w:pPr>
              <w:keepLines/>
              <w:jc w:val="both"/>
              <w:rPr>
                <w:rFonts w:cstheme="minorHAnsi"/>
              </w:rPr>
            </w:pPr>
          </w:p>
        </w:tc>
        <w:tc>
          <w:tcPr>
            <w:tcW w:w="3498" w:type="dxa"/>
          </w:tcPr>
          <w:p w14:paraId="5ED853EF" w14:textId="77777777" w:rsidR="00E26709" w:rsidRPr="00E30DB2" w:rsidRDefault="00E26709" w:rsidP="00E30DB2">
            <w:pPr>
              <w:jc w:val="both"/>
              <w:rPr>
                <w:rFonts w:cstheme="minorHAnsi"/>
              </w:rPr>
            </w:pPr>
            <w:r w:rsidRPr="00E30DB2">
              <w:rPr>
                <w:rFonts w:cstheme="minorHAnsi"/>
              </w:rPr>
              <w:t xml:space="preserve">Fixer </w:t>
            </w:r>
            <w:r w:rsidR="00796470" w:rsidRPr="00E30DB2">
              <w:rPr>
                <w:rFonts w:cstheme="minorHAnsi"/>
              </w:rPr>
              <w:t xml:space="preserve">aux écoles de service public </w:t>
            </w:r>
            <w:r w:rsidRPr="00E30DB2">
              <w:rPr>
                <w:rFonts w:cstheme="minorHAnsi"/>
              </w:rPr>
              <w:t>des objectifs pluriannuels liés à l’égalité F/H, et des indicateurs de suivi</w:t>
            </w:r>
          </w:p>
        </w:tc>
        <w:tc>
          <w:tcPr>
            <w:tcW w:w="3499" w:type="dxa"/>
          </w:tcPr>
          <w:p w14:paraId="2C18DEA1" w14:textId="149D281F" w:rsidR="00E26709" w:rsidRPr="00E30DB2" w:rsidRDefault="00E26709" w:rsidP="002A34A3">
            <w:pPr>
              <w:jc w:val="both"/>
            </w:pPr>
            <w:r w:rsidRPr="00E30DB2">
              <w:rPr>
                <w:rFonts w:cstheme="minorHAnsi"/>
              </w:rPr>
              <w:t>Conventions d’objectif et de performance étab</w:t>
            </w:r>
            <w:r w:rsidR="002A34A3">
              <w:rPr>
                <w:rFonts w:cstheme="minorHAnsi"/>
              </w:rPr>
              <w:t>lies avec les écoles de service</w:t>
            </w:r>
            <w:r w:rsidRPr="00E30DB2">
              <w:rPr>
                <w:rFonts w:cstheme="minorHAnsi"/>
              </w:rPr>
              <w:t xml:space="preserve"> public</w:t>
            </w:r>
            <w:r w:rsidR="002A34A3">
              <w:rPr>
                <w:rFonts w:cstheme="minorHAnsi"/>
              </w:rPr>
              <w:t>.</w:t>
            </w:r>
          </w:p>
        </w:tc>
        <w:tc>
          <w:tcPr>
            <w:tcW w:w="3499" w:type="dxa"/>
          </w:tcPr>
          <w:p w14:paraId="5121820E" w14:textId="53C60C4C" w:rsidR="00E26709" w:rsidRPr="00E30DB2" w:rsidRDefault="00796470" w:rsidP="00E30DB2">
            <w:pPr>
              <w:jc w:val="both"/>
            </w:pPr>
            <w:r w:rsidRPr="00E30DB2">
              <w:t>Dès 2019, au fur et à mesure d</w:t>
            </w:r>
            <w:r w:rsidR="003D1D3A" w:rsidRPr="00E30DB2">
              <w:t>u</w:t>
            </w:r>
            <w:r w:rsidRPr="00E30DB2">
              <w:t xml:space="preserve"> renouvellement</w:t>
            </w:r>
            <w:r w:rsidR="003D1D3A" w:rsidRPr="00E30DB2">
              <w:t xml:space="preserve"> des COP</w:t>
            </w:r>
            <w:r w:rsidRPr="00E30DB2">
              <w:t xml:space="preserve"> </w:t>
            </w:r>
          </w:p>
        </w:tc>
      </w:tr>
      <w:tr w:rsidR="00E30DB2" w:rsidRPr="00E30DB2" w14:paraId="017F0A33" w14:textId="77777777" w:rsidTr="007E4EC9">
        <w:tc>
          <w:tcPr>
            <w:tcW w:w="3498" w:type="dxa"/>
            <w:shd w:val="clear" w:color="auto" w:fill="FFF2CC" w:themeFill="accent4" w:themeFillTint="33"/>
          </w:tcPr>
          <w:p w14:paraId="1E1FD58F" w14:textId="77777777" w:rsidR="00E26709" w:rsidRPr="00E30DB2" w:rsidRDefault="00E26709" w:rsidP="00E30DB2">
            <w:pPr>
              <w:keepLines/>
              <w:jc w:val="both"/>
              <w:rPr>
                <w:rFonts w:cstheme="minorHAnsi"/>
              </w:rPr>
            </w:pPr>
            <w:r w:rsidRPr="00E30DB2">
              <w:rPr>
                <w:rFonts w:cstheme="minorHAnsi"/>
              </w:rPr>
              <w:t>2.2. Renforcer la formation et la sensibilisation pour mettre fin aux stéréotypes de genre et lutter contre les discriminations</w:t>
            </w:r>
          </w:p>
          <w:p w14:paraId="465093CF" w14:textId="77777777" w:rsidR="00E26709" w:rsidRPr="00E30DB2" w:rsidRDefault="00E26709" w:rsidP="00E30DB2">
            <w:pPr>
              <w:keepLines/>
              <w:ind w:left="1"/>
              <w:jc w:val="both"/>
              <w:rPr>
                <w:rFonts w:cstheme="minorHAnsi"/>
              </w:rPr>
            </w:pPr>
          </w:p>
        </w:tc>
        <w:tc>
          <w:tcPr>
            <w:tcW w:w="3498" w:type="dxa"/>
          </w:tcPr>
          <w:p w14:paraId="1C434345" w14:textId="6DB05AAF" w:rsidR="00E26709" w:rsidRPr="00E30DB2" w:rsidRDefault="00E26709" w:rsidP="002A34A3">
            <w:pPr>
              <w:jc w:val="both"/>
            </w:pPr>
            <w:r w:rsidRPr="00E30DB2">
              <w:rPr>
                <w:rFonts w:cstheme="minorHAnsi"/>
              </w:rPr>
              <w:t>Action de sensibilisation à l’égalité professionnelle et à la lutte contre les stéréotypes de genre et les discriminations déployée</w:t>
            </w:r>
            <w:r w:rsidR="002A34A3">
              <w:rPr>
                <w:rFonts w:cstheme="minorHAnsi"/>
              </w:rPr>
              <w:t>s</w:t>
            </w:r>
            <w:r w:rsidRPr="00E30DB2">
              <w:rPr>
                <w:rFonts w:cstheme="minorHAnsi"/>
              </w:rPr>
              <w:t xml:space="preserve"> pour tous les agents publics et l</w:t>
            </w:r>
            <w:r w:rsidR="002A34A3">
              <w:rPr>
                <w:rFonts w:cstheme="minorHAnsi"/>
              </w:rPr>
              <w:t>es élèves des écoles de service</w:t>
            </w:r>
            <w:r w:rsidRPr="00E30DB2">
              <w:rPr>
                <w:rFonts w:cstheme="minorHAnsi"/>
              </w:rPr>
              <w:t xml:space="preserve"> public</w:t>
            </w:r>
            <w:r w:rsidR="002A34A3">
              <w:rPr>
                <w:rFonts w:cstheme="minorHAnsi"/>
              </w:rPr>
              <w:t>.</w:t>
            </w:r>
          </w:p>
        </w:tc>
        <w:tc>
          <w:tcPr>
            <w:tcW w:w="3499" w:type="dxa"/>
          </w:tcPr>
          <w:p w14:paraId="5B786417" w14:textId="77777777" w:rsidR="00EF3C67" w:rsidRPr="00E30DB2" w:rsidRDefault="00E26709" w:rsidP="00E30DB2">
            <w:pPr>
              <w:jc w:val="both"/>
              <w:rPr>
                <w:rFonts w:cstheme="minorHAnsi"/>
              </w:rPr>
            </w:pPr>
            <w:r w:rsidRPr="00E30DB2">
              <w:t>Modalités à préciser dans les plans d’actions</w:t>
            </w:r>
            <w:r w:rsidR="00EF3C67" w:rsidRPr="00E30DB2">
              <w:rPr>
                <w:rFonts w:cstheme="minorHAnsi"/>
              </w:rPr>
              <w:t xml:space="preserve"> </w:t>
            </w:r>
          </w:p>
          <w:p w14:paraId="34A49EC6" w14:textId="77777777" w:rsidR="00EF3C67" w:rsidRPr="00E30DB2" w:rsidRDefault="00EF3C67" w:rsidP="00E30DB2">
            <w:pPr>
              <w:jc w:val="both"/>
              <w:rPr>
                <w:rFonts w:cstheme="minorHAnsi"/>
              </w:rPr>
            </w:pPr>
          </w:p>
          <w:p w14:paraId="342FC9A7" w14:textId="77777777" w:rsidR="00E26709" w:rsidRDefault="00EF3C67" w:rsidP="00E30DB2">
            <w:pPr>
              <w:jc w:val="both"/>
              <w:rPr>
                <w:rFonts w:cstheme="minorHAnsi"/>
              </w:rPr>
            </w:pPr>
            <w:r w:rsidRPr="00E30DB2">
              <w:rPr>
                <w:rFonts w:cstheme="minorHAnsi"/>
              </w:rPr>
              <w:t>Référentiel de formation mis à la disposition des employeurs et des écoles de service public</w:t>
            </w:r>
          </w:p>
          <w:p w14:paraId="2857DDF1" w14:textId="77777777" w:rsidR="00585CF0" w:rsidRDefault="00585CF0" w:rsidP="00E30DB2">
            <w:pPr>
              <w:jc w:val="both"/>
              <w:rPr>
                <w:rFonts w:cstheme="minorHAnsi"/>
              </w:rPr>
            </w:pPr>
          </w:p>
          <w:p w14:paraId="2A6BD24B" w14:textId="728AB38E" w:rsidR="00585CF0" w:rsidRPr="00E30DB2" w:rsidRDefault="00585CF0" w:rsidP="00317016">
            <w:pPr>
              <w:tabs>
                <w:tab w:val="center" w:pos="1641"/>
              </w:tabs>
              <w:jc w:val="both"/>
            </w:pPr>
            <w:r>
              <w:rPr>
                <w:rFonts w:cstheme="minorHAnsi"/>
              </w:rPr>
              <w:t>Formation de l’ensemble des personnels d’encadrement de la FPE</w:t>
            </w:r>
            <w:r>
              <w:rPr>
                <w:rFonts w:cstheme="minorHAnsi"/>
              </w:rPr>
              <w:tab/>
            </w:r>
          </w:p>
        </w:tc>
        <w:tc>
          <w:tcPr>
            <w:tcW w:w="3499" w:type="dxa"/>
          </w:tcPr>
          <w:p w14:paraId="056F6237" w14:textId="01A305D3" w:rsidR="00F40A53" w:rsidRPr="00E30DB2" w:rsidRDefault="003D1D3A" w:rsidP="00E30DB2">
            <w:pPr>
              <w:jc w:val="both"/>
            </w:pPr>
            <w:r w:rsidRPr="00E30DB2">
              <w:t>Dès 2019</w:t>
            </w:r>
          </w:p>
          <w:p w14:paraId="1D1778BA" w14:textId="77777777" w:rsidR="00F40A53" w:rsidRPr="00E30DB2" w:rsidRDefault="00F40A53" w:rsidP="00E30DB2">
            <w:pPr>
              <w:jc w:val="both"/>
            </w:pPr>
          </w:p>
          <w:p w14:paraId="287F3982" w14:textId="77777777" w:rsidR="00F40A53" w:rsidRPr="00E30DB2" w:rsidRDefault="00F40A53" w:rsidP="00E30DB2">
            <w:pPr>
              <w:jc w:val="both"/>
            </w:pPr>
          </w:p>
          <w:p w14:paraId="2632F70E" w14:textId="77777777" w:rsidR="00E26709" w:rsidRDefault="00F40A53" w:rsidP="00E30DB2">
            <w:pPr>
              <w:jc w:val="both"/>
            </w:pPr>
            <w:r w:rsidRPr="00E30DB2">
              <w:t>C</w:t>
            </w:r>
            <w:r w:rsidR="00EF3C67" w:rsidRPr="00E30DB2">
              <w:t>ourant 2019</w:t>
            </w:r>
          </w:p>
          <w:p w14:paraId="0C3C8C83" w14:textId="77777777" w:rsidR="00585CF0" w:rsidRDefault="00585CF0" w:rsidP="00E30DB2">
            <w:pPr>
              <w:jc w:val="both"/>
            </w:pPr>
          </w:p>
          <w:p w14:paraId="09E72874" w14:textId="77777777" w:rsidR="00585CF0" w:rsidRDefault="00585CF0" w:rsidP="00E30DB2">
            <w:pPr>
              <w:jc w:val="both"/>
            </w:pPr>
          </w:p>
          <w:p w14:paraId="040799B9" w14:textId="77777777" w:rsidR="00585CF0" w:rsidRDefault="00585CF0" w:rsidP="00E30DB2">
            <w:pPr>
              <w:jc w:val="both"/>
            </w:pPr>
          </w:p>
          <w:p w14:paraId="33CE0413" w14:textId="67C1719D" w:rsidR="00585CF0" w:rsidRPr="00E30DB2" w:rsidRDefault="00585CF0" w:rsidP="00E30DB2">
            <w:pPr>
              <w:jc w:val="both"/>
            </w:pPr>
            <w:r>
              <w:t>2020</w:t>
            </w:r>
          </w:p>
        </w:tc>
      </w:tr>
      <w:tr w:rsidR="00A46027" w:rsidRPr="00E30DB2" w14:paraId="51CBE7C5" w14:textId="77777777" w:rsidTr="00FE4225">
        <w:tc>
          <w:tcPr>
            <w:tcW w:w="3498" w:type="dxa"/>
            <w:vMerge w:val="restart"/>
            <w:shd w:val="clear" w:color="auto" w:fill="FFF2CC" w:themeFill="accent4" w:themeFillTint="33"/>
          </w:tcPr>
          <w:p w14:paraId="613AA5B6" w14:textId="12FE8E7C" w:rsidR="00A46027" w:rsidRPr="00E30DB2" w:rsidRDefault="00F40A53" w:rsidP="00E30DB2">
            <w:pPr>
              <w:keepLines/>
              <w:jc w:val="both"/>
              <w:rPr>
                <w:rFonts w:cstheme="minorHAnsi"/>
              </w:rPr>
            </w:pPr>
            <w:r w:rsidRPr="00E30DB2">
              <w:br w:type="page"/>
            </w:r>
            <w:r w:rsidR="00A46027" w:rsidRPr="00E30DB2">
              <w:rPr>
                <w:rFonts w:cstheme="minorHAnsi"/>
              </w:rPr>
              <w:t>2.3. Etendre et renforcer le dispositif des nominations équilibrées dans l’encadrement supérieur et dirigeant de la fonction publique</w:t>
            </w:r>
          </w:p>
          <w:p w14:paraId="21F41B8F" w14:textId="77777777" w:rsidR="00A46027" w:rsidRPr="00E30DB2" w:rsidRDefault="00A46027" w:rsidP="00E30DB2">
            <w:pPr>
              <w:keepLines/>
              <w:ind w:left="1"/>
              <w:jc w:val="both"/>
              <w:rPr>
                <w:rFonts w:cstheme="minorHAnsi"/>
              </w:rPr>
            </w:pPr>
          </w:p>
        </w:tc>
        <w:tc>
          <w:tcPr>
            <w:tcW w:w="3498" w:type="dxa"/>
          </w:tcPr>
          <w:p w14:paraId="2CD1FF6A" w14:textId="77777777" w:rsidR="00A46027" w:rsidRPr="00E30DB2" w:rsidRDefault="00A46027" w:rsidP="00E30DB2">
            <w:pPr>
              <w:jc w:val="both"/>
            </w:pPr>
            <w:r w:rsidRPr="00E30DB2">
              <w:t xml:space="preserve">Elargissement du dispositif de primo-nominations pour les emplois de direction et d’encadrement :  </w:t>
            </w:r>
          </w:p>
          <w:p w14:paraId="0F403D68" w14:textId="77777777" w:rsidR="00A46027" w:rsidRPr="00E30DB2" w:rsidRDefault="00A46027" w:rsidP="00E30DB2">
            <w:pPr>
              <w:jc w:val="both"/>
            </w:pPr>
            <w:r w:rsidRPr="00E30DB2">
              <w:t>Elargissement du dispositif aux dirigeants d’EP dans la FPE</w:t>
            </w:r>
          </w:p>
          <w:p w14:paraId="1391BE49" w14:textId="77777777" w:rsidR="00A46027" w:rsidRPr="00E30DB2" w:rsidRDefault="00A46027" w:rsidP="00E30DB2">
            <w:pPr>
              <w:jc w:val="both"/>
            </w:pPr>
          </w:p>
          <w:p w14:paraId="593DB47C" w14:textId="6C18F38B" w:rsidR="00A46027" w:rsidRPr="00E30DB2" w:rsidRDefault="00A46027" w:rsidP="00E30DB2">
            <w:pPr>
              <w:jc w:val="both"/>
            </w:pPr>
            <w:r w:rsidRPr="00E30DB2">
              <w:t>Abaissement du seuil de soumission des communes</w:t>
            </w:r>
            <w:r>
              <w:t xml:space="preserve"> et de leurs EP</w:t>
            </w:r>
            <w:r w:rsidRPr="00E30DB2">
              <w:t xml:space="preserve"> dans  la FPT + évolution des règles de calcul </w:t>
            </w:r>
          </w:p>
        </w:tc>
        <w:tc>
          <w:tcPr>
            <w:tcW w:w="3499" w:type="dxa"/>
          </w:tcPr>
          <w:p w14:paraId="2F41DB34" w14:textId="32DDF678" w:rsidR="00A46027" w:rsidRPr="00E30DB2" w:rsidRDefault="00A46027" w:rsidP="00E30DB2">
            <w:pPr>
              <w:jc w:val="both"/>
              <w:rPr>
                <w:rFonts w:cstheme="minorHAnsi"/>
              </w:rPr>
            </w:pPr>
            <w:r>
              <w:rPr>
                <w:rFonts w:cstheme="minorHAnsi"/>
              </w:rPr>
              <w:t>Projet de l</w:t>
            </w:r>
            <w:r w:rsidRPr="00E30DB2">
              <w:rPr>
                <w:rFonts w:cstheme="minorHAnsi"/>
              </w:rPr>
              <w:t xml:space="preserve">oi </w:t>
            </w:r>
            <w:r>
              <w:rPr>
                <w:rFonts w:cstheme="minorHAnsi"/>
              </w:rPr>
              <w:t>F</w:t>
            </w:r>
            <w:r w:rsidRPr="00E30DB2">
              <w:rPr>
                <w:rFonts w:cstheme="minorHAnsi"/>
              </w:rPr>
              <w:t xml:space="preserve">onction publique </w:t>
            </w:r>
            <w:r>
              <w:rPr>
                <w:rFonts w:cstheme="minorHAnsi"/>
              </w:rPr>
              <w:t>et</w:t>
            </w:r>
            <w:r w:rsidRPr="00E30DB2">
              <w:rPr>
                <w:rFonts w:cstheme="minorHAnsi"/>
              </w:rPr>
              <w:t xml:space="preserve"> modification du décret n°2012-601 du 30 avril 2012</w:t>
            </w:r>
          </w:p>
          <w:p w14:paraId="0C8331C9" w14:textId="77777777" w:rsidR="00A46027" w:rsidRPr="00E30DB2" w:rsidRDefault="00A46027" w:rsidP="00E30DB2">
            <w:pPr>
              <w:jc w:val="both"/>
              <w:rPr>
                <w:rFonts w:cstheme="minorHAnsi"/>
              </w:rPr>
            </w:pPr>
          </w:p>
          <w:p w14:paraId="2019A1F8" w14:textId="77777777" w:rsidR="00A46027" w:rsidRPr="00E30DB2" w:rsidRDefault="00A46027" w:rsidP="00E30DB2">
            <w:pPr>
              <w:jc w:val="both"/>
            </w:pPr>
          </w:p>
        </w:tc>
        <w:tc>
          <w:tcPr>
            <w:tcW w:w="3499" w:type="dxa"/>
          </w:tcPr>
          <w:p w14:paraId="084538E8" w14:textId="77777777" w:rsidR="00A46027" w:rsidRDefault="00A46027" w:rsidP="00E30DB2">
            <w:pPr>
              <w:jc w:val="both"/>
            </w:pPr>
            <w:r w:rsidRPr="00E30DB2">
              <w:t>2019</w:t>
            </w:r>
          </w:p>
          <w:p w14:paraId="5775D216" w14:textId="18F5D393" w:rsidR="00A46027" w:rsidRDefault="00A46027" w:rsidP="00E30DB2">
            <w:pPr>
              <w:jc w:val="both"/>
            </w:pPr>
          </w:p>
          <w:p w14:paraId="1267788B" w14:textId="5E0970BB" w:rsidR="00A46027" w:rsidRPr="00E30DB2" w:rsidRDefault="00A46027" w:rsidP="00E30DB2">
            <w:pPr>
              <w:jc w:val="both"/>
            </w:pPr>
            <w:r w:rsidRPr="00E30DB2">
              <w:t xml:space="preserve">Modalités d’entrée en vigueur progressive </w:t>
            </w:r>
          </w:p>
          <w:p w14:paraId="268830FC" w14:textId="77777777" w:rsidR="00A46027" w:rsidRPr="00E30DB2" w:rsidRDefault="00A46027" w:rsidP="00E30DB2">
            <w:pPr>
              <w:jc w:val="both"/>
            </w:pPr>
          </w:p>
        </w:tc>
      </w:tr>
      <w:tr w:rsidR="00A46027" w:rsidRPr="00E30DB2" w14:paraId="6391BC21" w14:textId="77777777" w:rsidTr="00FE4225">
        <w:tc>
          <w:tcPr>
            <w:tcW w:w="3498" w:type="dxa"/>
            <w:vMerge/>
            <w:shd w:val="clear" w:color="auto" w:fill="FFF2CC" w:themeFill="accent4" w:themeFillTint="33"/>
          </w:tcPr>
          <w:p w14:paraId="16876190" w14:textId="77777777" w:rsidR="00A46027" w:rsidRPr="00E30DB2" w:rsidRDefault="00A46027" w:rsidP="00E30DB2">
            <w:pPr>
              <w:keepLines/>
              <w:jc w:val="both"/>
              <w:rPr>
                <w:rFonts w:cstheme="minorHAnsi"/>
              </w:rPr>
            </w:pPr>
          </w:p>
        </w:tc>
        <w:tc>
          <w:tcPr>
            <w:tcW w:w="3498" w:type="dxa"/>
          </w:tcPr>
          <w:p w14:paraId="62B6817D" w14:textId="77777777" w:rsidR="00A46027" w:rsidRPr="00E30DB2" w:rsidRDefault="00A46027" w:rsidP="00E30DB2">
            <w:pPr>
              <w:jc w:val="both"/>
            </w:pPr>
            <w:r w:rsidRPr="00E30DB2">
              <w:rPr>
                <w:rFonts w:cstheme="minorHAnsi"/>
                <w:bCs/>
              </w:rPr>
              <w:t>Evolution du mode de décompte des emplois : Em</w:t>
            </w:r>
            <w:r w:rsidRPr="00E30DB2">
              <w:rPr>
                <w:rFonts w:cstheme="minorHAnsi"/>
              </w:rPr>
              <w:t>plois de type 2 de la fonction publique de l’Etat seront répartis en deux groupes au lieu d’un ; en 3 groupes pour la FPH</w:t>
            </w:r>
          </w:p>
        </w:tc>
        <w:tc>
          <w:tcPr>
            <w:tcW w:w="3499" w:type="dxa"/>
          </w:tcPr>
          <w:p w14:paraId="0E9290C0" w14:textId="11D5C26D" w:rsidR="00A46027" w:rsidRPr="00E30DB2" w:rsidRDefault="00A46027" w:rsidP="00E30DB2">
            <w:pPr>
              <w:jc w:val="both"/>
              <w:rPr>
                <w:rFonts w:cstheme="minorHAnsi"/>
              </w:rPr>
            </w:pPr>
            <w:r w:rsidRPr="00E30DB2">
              <w:rPr>
                <w:rFonts w:cstheme="minorHAnsi"/>
              </w:rPr>
              <w:t>Modification du décret n°2012-601 du 30 avril 2012</w:t>
            </w:r>
          </w:p>
          <w:p w14:paraId="27C7BE4A" w14:textId="77777777" w:rsidR="00A46027" w:rsidRPr="00E30DB2" w:rsidRDefault="00A46027" w:rsidP="00E30DB2">
            <w:pPr>
              <w:jc w:val="both"/>
            </w:pPr>
          </w:p>
        </w:tc>
        <w:tc>
          <w:tcPr>
            <w:tcW w:w="3499" w:type="dxa"/>
          </w:tcPr>
          <w:p w14:paraId="715EF960" w14:textId="75506FDF" w:rsidR="00A46027" w:rsidRPr="00E30DB2" w:rsidRDefault="00A46027" w:rsidP="00E30DB2">
            <w:pPr>
              <w:jc w:val="both"/>
            </w:pPr>
            <w:r>
              <w:t>2019</w:t>
            </w:r>
          </w:p>
        </w:tc>
      </w:tr>
      <w:tr w:rsidR="00A46027" w:rsidRPr="00E30DB2" w14:paraId="27E9E228" w14:textId="77777777" w:rsidTr="00FE4225">
        <w:trPr>
          <w:trHeight w:val="738"/>
        </w:trPr>
        <w:tc>
          <w:tcPr>
            <w:tcW w:w="3498" w:type="dxa"/>
            <w:vMerge/>
            <w:shd w:val="clear" w:color="auto" w:fill="FFF2CC" w:themeFill="accent4" w:themeFillTint="33"/>
          </w:tcPr>
          <w:p w14:paraId="68EB1953" w14:textId="77777777" w:rsidR="00A46027" w:rsidRPr="00E30DB2" w:rsidRDefault="00A46027" w:rsidP="00E30DB2">
            <w:pPr>
              <w:keepLines/>
              <w:jc w:val="both"/>
              <w:rPr>
                <w:rFonts w:cstheme="minorHAnsi"/>
              </w:rPr>
            </w:pPr>
          </w:p>
        </w:tc>
        <w:tc>
          <w:tcPr>
            <w:tcW w:w="3498" w:type="dxa"/>
          </w:tcPr>
          <w:p w14:paraId="1E376F1A" w14:textId="13052673" w:rsidR="00A46027" w:rsidRPr="00E30DB2" w:rsidRDefault="00A46027" w:rsidP="00AE02C6">
            <w:pPr>
              <w:jc w:val="both"/>
              <w:rPr>
                <w:rFonts w:cstheme="minorHAnsi"/>
                <w:bCs/>
              </w:rPr>
            </w:pPr>
            <w:r>
              <w:rPr>
                <w:rFonts w:cstheme="minorHAnsi"/>
                <w:bCs/>
              </w:rPr>
              <w:t xml:space="preserve">Atteinte d’une proportion minimale d’un tiers de personnes de chaque sexe sur l’ensemble de la population en poste </w:t>
            </w:r>
            <w:r w:rsidRPr="00E30DB2">
              <w:rPr>
                <w:rFonts w:cstheme="minorHAnsi"/>
                <w:bCs/>
              </w:rPr>
              <w:t xml:space="preserve"> d’ici à 2022  </w:t>
            </w:r>
          </w:p>
        </w:tc>
        <w:tc>
          <w:tcPr>
            <w:tcW w:w="3499" w:type="dxa"/>
          </w:tcPr>
          <w:p w14:paraId="4FAE0C24" w14:textId="77777777" w:rsidR="00A46027" w:rsidRPr="00E30DB2" w:rsidRDefault="00A46027" w:rsidP="00E30DB2">
            <w:pPr>
              <w:jc w:val="both"/>
              <w:rPr>
                <w:rFonts w:cstheme="minorHAnsi"/>
              </w:rPr>
            </w:pPr>
            <w:r w:rsidRPr="00E30DB2">
              <w:rPr>
                <w:rFonts w:cstheme="minorHAnsi"/>
              </w:rPr>
              <w:t xml:space="preserve">Définition dans les plans d’action des mesures pour atteindre cet objectif, et mise en œuvre des actions </w:t>
            </w:r>
          </w:p>
        </w:tc>
        <w:tc>
          <w:tcPr>
            <w:tcW w:w="3499" w:type="dxa"/>
          </w:tcPr>
          <w:p w14:paraId="631496CB" w14:textId="5807D030" w:rsidR="00A46027" w:rsidRPr="00E30DB2" w:rsidRDefault="00A46027" w:rsidP="00AE02C6">
            <w:pPr>
              <w:jc w:val="both"/>
            </w:pPr>
            <w:r w:rsidRPr="00E30DB2">
              <w:t xml:space="preserve">D’ici à 2022 </w:t>
            </w:r>
          </w:p>
        </w:tc>
      </w:tr>
      <w:tr w:rsidR="00A46027" w:rsidRPr="00E30DB2" w14:paraId="1BA3C6E3" w14:textId="77777777" w:rsidTr="00FE4225">
        <w:trPr>
          <w:trHeight w:val="738"/>
        </w:trPr>
        <w:tc>
          <w:tcPr>
            <w:tcW w:w="3498" w:type="dxa"/>
            <w:vMerge/>
            <w:shd w:val="clear" w:color="auto" w:fill="FFF2CC" w:themeFill="accent4" w:themeFillTint="33"/>
          </w:tcPr>
          <w:p w14:paraId="5295EE66" w14:textId="77777777" w:rsidR="00A46027" w:rsidRPr="00E30DB2" w:rsidRDefault="00A46027" w:rsidP="00E30DB2">
            <w:pPr>
              <w:keepLines/>
              <w:jc w:val="both"/>
              <w:rPr>
                <w:rFonts w:cstheme="minorHAnsi"/>
              </w:rPr>
            </w:pPr>
          </w:p>
        </w:tc>
        <w:tc>
          <w:tcPr>
            <w:tcW w:w="3498" w:type="dxa"/>
          </w:tcPr>
          <w:p w14:paraId="5CE79F09" w14:textId="77777777" w:rsidR="00A46027" w:rsidRPr="00E30DB2" w:rsidRDefault="00A46027" w:rsidP="00E30DB2">
            <w:pPr>
              <w:jc w:val="both"/>
              <w:rPr>
                <w:rFonts w:cstheme="minorHAnsi"/>
                <w:bCs/>
              </w:rPr>
            </w:pPr>
            <w:r w:rsidRPr="00E30DB2">
              <w:rPr>
                <w:rFonts w:cstheme="minorHAnsi"/>
                <w:bCs/>
              </w:rPr>
              <w:t>Dispense de pénalités en cas de non- respect de la règle des primo-nominations une fois la cible de 40% atteinte sur la population en poste</w:t>
            </w:r>
          </w:p>
        </w:tc>
        <w:tc>
          <w:tcPr>
            <w:tcW w:w="3499" w:type="dxa"/>
          </w:tcPr>
          <w:p w14:paraId="3CCD1042" w14:textId="52C0578E" w:rsidR="00A46027" w:rsidRPr="00E30DB2" w:rsidRDefault="00A46027" w:rsidP="00E30DB2">
            <w:pPr>
              <w:jc w:val="both"/>
              <w:rPr>
                <w:rFonts w:cstheme="minorHAnsi"/>
              </w:rPr>
            </w:pPr>
            <w:r w:rsidRPr="00E30DB2">
              <w:rPr>
                <w:rFonts w:cstheme="minorHAnsi"/>
              </w:rPr>
              <w:t xml:space="preserve">Projet de loi </w:t>
            </w:r>
            <w:r>
              <w:rPr>
                <w:rFonts w:cstheme="minorHAnsi"/>
              </w:rPr>
              <w:t>F</w:t>
            </w:r>
            <w:r w:rsidRPr="00E30DB2">
              <w:rPr>
                <w:rFonts w:cstheme="minorHAnsi"/>
              </w:rPr>
              <w:t>onction publique </w:t>
            </w:r>
          </w:p>
          <w:p w14:paraId="21F594B6" w14:textId="77777777" w:rsidR="00A46027" w:rsidRPr="00E30DB2" w:rsidRDefault="00A46027" w:rsidP="00E30DB2">
            <w:pPr>
              <w:jc w:val="both"/>
              <w:rPr>
                <w:rFonts w:cstheme="minorHAnsi"/>
              </w:rPr>
            </w:pPr>
          </w:p>
          <w:p w14:paraId="6556D0B3" w14:textId="37EBB861" w:rsidR="00A46027" w:rsidRPr="00E30DB2" w:rsidRDefault="00A46027" w:rsidP="00E30DB2">
            <w:pPr>
              <w:jc w:val="both"/>
              <w:rPr>
                <w:rFonts w:cstheme="minorHAnsi"/>
              </w:rPr>
            </w:pPr>
          </w:p>
        </w:tc>
        <w:tc>
          <w:tcPr>
            <w:tcW w:w="3499" w:type="dxa"/>
          </w:tcPr>
          <w:p w14:paraId="4E9140E9" w14:textId="77777777" w:rsidR="00A46027" w:rsidRPr="00E30DB2" w:rsidRDefault="00A46027" w:rsidP="00E30DB2">
            <w:pPr>
              <w:jc w:val="both"/>
            </w:pPr>
            <w:r w:rsidRPr="00E30DB2">
              <w:t xml:space="preserve">2019 </w:t>
            </w:r>
          </w:p>
          <w:p w14:paraId="35741B56" w14:textId="77777777" w:rsidR="00A46027" w:rsidRPr="00E30DB2" w:rsidRDefault="00A46027" w:rsidP="00E30DB2">
            <w:pPr>
              <w:jc w:val="both"/>
            </w:pPr>
          </w:p>
          <w:p w14:paraId="42499346" w14:textId="3B80A15C" w:rsidR="00A46027" w:rsidRPr="00E30DB2" w:rsidRDefault="00A46027" w:rsidP="00E30DB2">
            <w:pPr>
              <w:jc w:val="both"/>
            </w:pPr>
          </w:p>
        </w:tc>
      </w:tr>
      <w:tr w:rsidR="00A46027" w:rsidRPr="00E30DB2" w14:paraId="1183D521" w14:textId="77777777" w:rsidTr="00FE4225">
        <w:tc>
          <w:tcPr>
            <w:tcW w:w="3498" w:type="dxa"/>
            <w:vMerge/>
            <w:shd w:val="clear" w:color="auto" w:fill="FFF2CC" w:themeFill="accent4" w:themeFillTint="33"/>
          </w:tcPr>
          <w:p w14:paraId="7511BFDD" w14:textId="77777777" w:rsidR="00A46027" w:rsidRPr="00E30DB2" w:rsidRDefault="00A46027" w:rsidP="00E30DB2">
            <w:pPr>
              <w:keepLines/>
              <w:jc w:val="both"/>
              <w:rPr>
                <w:rFonts w:cstheme="minorHAnsi"/>
              </w:rPr>
            </w:pPr>
          </w:p>
        </w:tc>
        <w:tc>
          <w:tcPr>
            <w:tcW w:w="3498" w:type="dxa"/>
          </w:tcPr>
          <w:p w14:paraId="44FA737A" w14:textId="77777777" w:rsidR="00A46027" w:rsidRPr="00E30DB2" w:rsidRDefault="00A46027" w:rsidP="00E30DB2">
            <w:pPr>
              <w:jc w:val="both"/>
              <w:rPr>
                <w:rFonts w:cstheme="minorHAnsi"/>
              </w:rPr>
            </w:pPr>
            <w:r w:rsidRPr="00E30DB2">
              <w:rPr>
                <w:rFonts w:cstheme="minorHAnsi"/>
              </w:rPr>
              <w:t>Veiller à une représentation équilibrée des sexes à la fois au sein des comités d’audition et parmi les candidats auditionnés</w:t>
            </w:r>
          </w:p>
        </w:tc>
        <w:tc>
          <w:tcPr>
            <w:tcW w:w="3499" w:type="dxa"/>
          </w:tcPr>
          <w:p w14:paraId="572CE244" w14:textId="25185E21" w:rsidR="00A46027" w:rsidRPr="00E30DB2" w:rsidRDefault="00A46027" w:rsidP="00E30DB2">
            <w:pPr>
              <w:jc w:val="both"/>
              <w:rPr>
                <w:rFonts w:cstheme="minorHAnsi"/>
              </w:rPr>
            </w:pPr>
          </w:p>
        </w:tc>
        <w:tc>
          <w:tcPr>
            <w:tcW w:w="3499" w:type="dxa"/>
          </w:tcPr>
          <w:p w14:paraId="6FF12776" w14:textId="50BB26C7" w:rsidR="00A46027" w:rsidRPr="00E30DB2" w:rsidRDefault="00A46027" w:rsidP="00E30DB2">
            <w:pPr>
              <w:jc w:val="both"/>
            </w:pPr>
            <w:r w:rsidRPr="000A64DD">
              <w:t>Déploiement en lien avec les plans d’actions</w:t>
            </w:r>
          </w:p>
        </w:tc>
      </w:tr>
      <w:tr w:rsidR="00A46027" w:rsidRPr="00E30DB2" w14:paraId="0F11A737" w14:textId="77777777" w:rsidTr="00FE4225">
        <w:tc>
          <w:tcPr>
            <w:tcW w:w="3498" w:type="dxa"/>
            <w:vMerge/>
            <w:shd w:val="clear" w:color="auto" w:fill="FFF2CC" w:themeFill="accent4" w:themeFillTint="33"/>
          </w:tcPr>
          <w:p w14:paraId="0993FED3" w14:textId="77777777" w:rsidR="00A46027" w:rsidRPr="00E30DB2" w:rsidRDefault="00A46027" w:rsidP="00E30DB2">
            <w:pPr>
              <w:keepLines/>
              <w:jc w:val="both"/>
              <w:rPr>
                <w:rFonts w:cstheme="minorHAnsi"/>
              </w:rPr>
            </w:pPr>
          </w:p>
        </w:tc>
        <w:tc>
          <w:tcPr>
            <w:tcW w:w="3498" w:type="dxa"/>
          </w:tcPr>
          <w:p w14:paraId="0DA3A219" w14:textId="77777777" w:rsidR="00A46027" w:rsidRPr="00E30DB2" w:rsidRDefault="00A46027" w:rsidP="00E30DB2">
            <w:pPr>
              <w:jc w:val="both"/>
              <w:rPr>
                <w:rFonts w:cstheme="minorHAnsi"/>
              </w:rPr>
            </w:pPr>
            <w:r w:rsidRPr="00E30DB2">
              <w:rPr>
                <w:rFonts w:cstheme="minorHAnsi"/>
              </w:rPr>
              <w:t>Réflexion sur la situation des magistrats judiciaires, administratifs et financiers</w:t>
            </w:r>
          </w:p>
        </w:tc>
        <w:tc>
          <w:tcPr>
            <w:tcW w:w="3499" w:type="dxa"/>
          </w:tcPr>
          <w:p w14:paraId="598E4A75" w14:textId="77777777" w:rsidR="00A46027" w:rsidRPr="00E30DB2" w:rsidRDefault="00A46027" w:rsidP="00E30DB2">
            <w:pPr>
              <w:jc w:val="both"/>
              <w:rPr>
                <w:rFonts w:cstheme="minorHAnsi"/>
              </w:rPr>
            </w:pPr>
          </w:p>
        </w:tc>
        <w:tc>
          <w:tcPr>
            <w:tcW w:w="3499" w:type="dxa"/>
          </w:tcPr>
          <w:p w14:paraId="42CB5F3E" w14:textId="77777777" w:rsidR="00A46027" w:rsidRPr="00E30DB2" w:rsidRDefault="00A46027" w:rsidP="00E30DB2">
            <w:pPr>
              <w:jc w:val="both"/>
            </w:pPr>
            <w:r w:rsidRPr="00E30DB2">
              <w:t>Dès 2019</w:t>
            </w:r>
          </w:p>
        </w:tc>
      </w:tr>
      <w:tr w:rsidR="00E30DB2" w:rsidRPr="00E30DB2" w14:paraId="06694131" w14:textId="77777777" w:rsidTr="00FE4225">
        <w:tc>
          <w:tcPr>
            <w:tcW w:w="3498" w:type="dxa"/>
            <w:shd w:val="clear" w:color="auto" w:fill="FFF2CC" w:themeFill="accent4" w:themeFillTint="33"/>
          </w:tcPr>
          <w:p w14:paraId="3348ACB7" w14:textId="3A7D54F8" w:rsidR="0054296E" w:rsidRPr="00E30DB2" w:rsidRDefault="0054296E" w:rsidP="00E30DB2">
            <w:pPr>
              <w:keepLines/>
              <w:jc w:val="both"/>
              <w:rPr>
                <w:rFonts w:cstheme="minorHAnsi"/>
              </w:rPr>
            </w:pPr>
            <w:r w:rsidRPr="00E30DB2">
              <w:rPr>
                <w:rFonts w:cstheme="minorHAnsi"/>
              </w:rPr>
              <w:t>2.4.  Mettre en place</w:t>
            </w:r>
            <w:r w:rsidR="00A2613D">
              <w:rPr>
                <w:rFonts w:cstheme="minorHAnsi"/>
              </w:rPr>
              <w:t xml:space="preserve"> </w:t>
            </w:r>
            <w:r w:rsidRPr="00E30DB2">
              <w:rPr>
                <w:rFonts w:cstheme="minorHAnsi"/>
              </w:rPr>
              <w:t xml:space="preserve">un diagnostic et le cas échéant, des solutions alternatives à </w:t>
            </w:r>
            <w:r w:rsidR="007E4EC9" w:rsidRPr="00E30DB2">
              <w:rPr>
                <w:rFonts w:cstheme="minorHAnsi"/>
              </w:rPr>
              <w:t>l’obligation de</w:t>
            </w:r>
            <w:r w:rsidRPr="00E30DB2">
              <w:rPr>
                <w:rFonts w:cstheme="minorHAnsi"/>
              </w:rPr>
              <w:t xml:space="preserve"> mobilité géographique </w:t>
            </w:r>
          </w:p>
          <w:p w14:paraId="0616CA1E" w14:textId="77777777" w:rsidR="0054296E" w:rsidRPr="00E30DB2" w:rsidRDefault="0054296E" w:rsidP="00E30DB2">
            <w:pPr>
              <w:keepLines/>
              <w:ind w:left="1"/>
              <w:jc w:val="both"/>
              <w:rPr>
                <w:rFonts w:cstheme="minorHAnsi"/>
              </w:rPr>
            </w:pPr>
          </w:p>
        </w:tc>
        <w:tc>
          <w:tcPr>
            <w:tcW w:w="3498" w:type="dxa"/>
          </w:tcPr>
          <w:p w14:paraId="33548803" w14:textId="77777777" w:rsidR="0054296E" w:rsidRPr="00E30DB2" w:rsidRDefault="00DE121E" w:rsidP="00E30DB2">
            <w:pPr>
              <w:jc w:val="both"/>
            </w:pPr>
            <w:r w:rsidRPr="00E30DB2">
              <w:t>Diagnostic des règles prévoyant une obligation de mobilité géographique.</w:t>
            </w:r>
          </w:p>
          <w:p w14:paraId="4CF2ADE3" w14:textId="77777777" w:rsidR="00DE121E" w:rsidRPr="00E30DB2" w:rsidRDefault="00DE121E" w:rsidP="00E30DB2">
            <w:pPr>
              <w:jc w:val="both"/>
            </w:pPr>
            <w:r w:rsidRPr="00E30DB2">
              <w:t>Révision des règles applicables par corps/direction/réseau/univers professionnel</w:t>
            </w:r>
            <w:r w:rsidR="005B6FC7" w:rsidRPr="00E30DB2">
              <w:t xml:space="preserve"> pour la FPE</w:t>
            </w:r>
          </w:p>
        </w:tc>
        <w:tc>
          <w:tcPr>
            <w:tcW w:w="3499" w:type="dxa"/>
          </w:tcPr>
          <w:p w14:paraId="1505AC4B" w14:textId="5BE280FF" w:rsidR="0054296E" w:rsidRPr="00E30DB2" w:rsidRDefault="0054296E" w:rsidP="00E30DB2">
            <w:pPr>
              <w:jc w:val="both"/>
            </w:pPr>
          </w:p>
        </w:tc>
        <w:tc>
          <w:tcPr>
            <w:tcW w:w="3499" w:type="dxa"/>
          </w:tcPr>
          <w:p w14:paraId="15AF7006" w14:textId="6F34408C" w:rsidR="0054296E" w:rsidRPr="00E30DB2" w:rsidRDefault="00317016" w:rsidP="00317016">
            <w:pPr>
              <w:jc w:val="both"/>
            </w:pPr>
            <w:r>
              <w:t>Diagnostic et r</w:t>
            </w:r>
            <w:r w:rsidR="00E7398D" w:rsidRPr="00E30DB2">
              <w:t>évision de ces règles ou pratiques de gestion a</w:t>
            </w:r>
            <w:r w:rsidR="00F40A53" w:rsidRPr="00E30DB2">
              <w:t xml:space="preserve">u plus tard </w:t>
            </w:r>
            <w:r w:rsidR="00E7398D" w:rsidRPr="00E30DB2">
              <w:t xml:space="preserve">le </w:t>
            </w:r>
            <w:r w:rsidR="005B6FC7" w:rsidRPr="00E30DB2">
              <w:t xml:space="preserve">31 décembre </w:t>
            </w:r>
            <w:r w:rsidRPr="00E30DB2">
              <w:t>202</w:t>
            </w:r>
            <w:r>
              <w:t>0</w:t>
            </w:r>
          </w:p>
        </w:tc>
      </w:tr>
    </w:tbl>
    <w:p w14:paraId="0EF6B252" w14:textId="77777777" w:rsidR="00F40A53" w:rsidRPr="00E30DB2" w:rsidRDefault="00F40A53" w:rsidP="00E30DB2">
      <w:pPr>
        <w:jc w:val="both"/>
      </w:pPr>
      <w:r w:rsidRPr="00E30DB2">
        <w:br w:type="page"/>
      </w:r>
    </w:p>
    <w:tbl>
      <w:tblPr>
        <w:tblStyle w:val="Grilledutableau"/>
        <w:tblW w:w="0" w:type="auto"/>
        <w:tblLook w:val="04A0" w:firstRow="1" w:lastRow="0" w:firstColumn="1" w:lastColumn="0" w:noHBand="0" w:noVBand="1"/>
      </w:tblPr>
      <w:tblGrid>
        <w:gridCol w:w="3498"/>
        <w:gridCol w:w="3498"/>
        <w:gridCol w:w="3499"/>
        <w:gridCol w:w="3499"/>
      </w:tblGrid>
      <w:tr w:rsidR="007E4EC9" w14:paraId="588F84F8" w14:textId="77777777" w:rsidTr="007E4EC9">
        <w:tc>
          <w:tcPr>
            <w:tcW w:w="13994" w:type="dxa"/>
            <w:gridSpan w:val="4"/>
            <w:shd w:val="clear" w:color="auto" w:fill="FFD966" w:themeFill="accent4" w:themeFillTint="99"/>
          </w:tcPr>
          <w:p w14:paraId="2923AC23" w14:textId="3111230C" w:rsidR="007E4EC9" w:rsidRDefault="007E4EC9" w:rsidP="00C03C84">
            <w:pPr>
              <w:jc w:val="center"/>
            </w:pPr>
            <w:r w:rsidRPr="00D34F80">
              <w:rPr>
                <w:rFonts w:cstheme="minorHAnsi"/>
                <w:b/>
              </w:rPr>
              <w:lastRenderedPageBreak/>
              <w:t xml:space="preserve">Axe 3 : </w:t>
            </w:r>
            <w:r w:rsidR="00C03C84">
              <w:rPr>
                <w:rFonts w:cstheme="minorHAnsi"/>
                <w:b/>
              </w:rPr>
              <w:t>Supprime</w:t>
            </w:r>
            <w:r w:rsidR="00C03C84" w:rsidRPr="00D34F80">
              <w:rPr>
                <w:rFonts w:cstheme="minorHAnsi"/>
                <w:b/>
              </w:rPr>
              <w:t xml:space="preserve">r </w:t>
            </w:r>
            <w:r w:rsidRPr="00D34F80">
              <w:rPr>
                <w:rFonts w:cstheme="minorHAnsi"/>
                <w:b/>
              </w:rPr>
              <w:t>les situations d’écarts de rémunération et de déroulement de</w:t>
            </w:r>
            <w:r>
              <w:rPr>
                <w:rFonts w:cstheme="minorHAnsi"/>
                <w:b/>
              </w:rPr>
              <w:t xml:space="preserve"> carrière</w:t>
            </w:r>
          </w:p>
        </w:tc>
      </w:tr>
      <w:tr w:rsidR="0054296E" w:rsidRPr="00E30DB2" w14:paraId="59A914D8" w14:textId="77777777" w:rsidTr="007E4EC9">
        <w:tc>
          <w:tcPr>
            <w:tcW w:w="3498" w:type="dxa"/>
            <w:shd w:val="clear" w:color="auto" w:fill="FFF2CC" w:themeFill="accent4" w:themeFillTint="33"/>
          </w:tcPr>
          <w:p w14:paraId="14ECF829" w14:textId="77777777" w:rsidR="0054296E" w:rsidRPr="00E30DB2" w:rsidRDefault="0054296E" w:rsidP="00E30DB2">
            <w:pPr>
              <w:keepLines/>
              <w:jc w:val="both"/>
              <w:rPr>
                <w:rFonts w:cstheme="minorHAnsi"/>
              </w:rPr>
            </w:pPr>
            <w:r w:rsidRPr="00E30DB2">
              <w:rPr>
                <w:rFonts w:cstheme="minorHAnsi"/>
              </w:rPr>
              <w:t>3.1. Déployer une méthodologie commune d’identification des écarts de rémunération auprès des employeurs publics des trois versants de la fonction publique</w:t>
            </w:r>
          </w:p>
          <w:p w14:paraId="61F8FD1B" w14:textId="77777777" w:rsidR="0054296E" w:rsidRPr="00E30DB2" w:rsidRDefault="0054296E" w:rsidP="00E30DB2">
            <w:pPr>
              <w:keepLines/>
              <w:ind w:left="1"/>
              <w:jc w:val="both"/>
              <w:rPr>
                <w:rFonts w:cstheme="minorHAnsi"/>
              </w:rPr>
            </w:pPr>
          </w:p>
        </w:tc>
        <w:tc>
          <w:tcPr>
            <w:tcW w:w="3498" w:type="dxa"/>
          </w:tcPr>
          <w:p w14:paraId="2812E833" w14:textId="797A4332" w:rsidR="0054296E" w:rsidRPr="00E30DB2" w:rsidRDefault="00DE121E" w:rsidP="00317016">
            <w:pPr>
              <w:jc w:val="both"/>
            </w:pPr>
            <w:r w:rsidRPr="00E30DB2">
              <w:rPr>
                <w:rFonts w:cstheme="minorHAnsi"/>
              </w:rPr>
              <w:t xml:space="preserve">Méthodologie commune aux employeurs publics des trois versants de la fonction publique, </w:t>
            </w:r>
            <w:r w:rsidR="00317016">
              <w:rPr>
                <w:rFonts w:cstheme="minorHAnsi"/>
              </w:rPr>
              <w:t>concerté</w:t>
            </w:r>
            <w:r w:rsidR="00317016" w:rsidRPr="00E30DB2">
              <w:rPr>
                <w:rFonts w:cstheme="minorHAnsi"/>
              </w:rPr>
              <w:t xml:space="preserve">e </w:t>
            </w:r>
            <w:r w:rsidRPr="00E30DB2">
              <w:rPr>
                <w:rFonts w:cstheme="minorHAnsi"/>
              </w:rPr>
              <w:t>avec les représentants des personnels</w:t>
            </w:r>
          </w:p>
        </w:tc>
        <w:tc>
          <w:tcPr>
            <w:tcW w:w="3499" w:type="dxa"/>
          </w:tcPr>
          <w:p w14:paraId="6EC1E367" w14:textId="1F3DC9ED" w:rsidR="006E5D18" w:rsidRDefault="006E5D18" w:rsidP="00317016">
            <w:pPr>
              <w:jc w:val="both"/>
            </w:pPr>
            <w:r>
              <w:t>Réunion de la formation spécialisée Statistiques du CCFP</w:t>
            </w:r>
          </w:p>
          <w:p w14:paraId="54D36364" w14:textId="77777777" w:rsidR="00C03C84" w:rsidRDefault="00C03C84" w:rsidP="00317016">
            <w:pPr>
              <w:jc w:val="both"/>
            </w:pPr>
          </w:p>
          <w:p w14:paraId="4F75CA23" w14:textId="002F908F" w:rsidR="00C03C84" w:rsidRPr="00E30DB2" w:rsidRDefault="00C03C84" w:rsidP="00317016">
            <w:pPr>
              <w:jc w:val="both"/>
            </w:pPr>
            <w:r>
              <w:t>Déploiement de la méthodologie</w:t>
            </w:r>
          </w:p>
        </w:tc>
        <w:tc>
          <w:tcPr>
            <w:tcW w:w="3499" w:type="dxa"/>
          </w:tcPr>
          <w:p w14:paraId="74D86EDD" w14:textId="71246B32" w:rsidR="0054296E" w:rsidRDefault="006E5D18" w:rsidP="00E30DB2">
            <w:pPr>
              <w:jc w:val="both"/>
            </w:pPr>
            <w:r>
              <w:t xml:space="preserve">Premier trimestre </w:t>
            </w:r>
            <w:r w:rsidR="00DE121E" w:rsidRPr="00E30DB2">
              <w:t>2019</w:t>
            </w:r>
          </w:p>
          <w:p w14:paraId="4AACEDE2" w14:textId="77777777" w:rsidR="00A46027" w:rsidRDefault="00A46027" w:rsidP="00E30DB2">
            <w:pPr>
              <w:jc w:val="both"/>
            </w:pPr>
          </w:p>
          <w:p w14:paraId="672ED1D6" w14:textId="77777777" w:rsidR="00A46027" w:rsidRPr="00E30DB2" w:rsidRDefault="00A46027" w:rsidP="00E30DB2">
            <w:pPr>
              <w:jc w:val="both"/>
            </w:pPr>
          </w:p>
          <w:p w14:paraId="66B5707B" w14:textId="77777777" w:rsidR="00E7398D" w:rsidRPr="00E30DB2" w:rsidRDefault="003D1D3A" w:rsidP="00E30DB2">
            <w:pPr>
              <w:jc w:val="both"/>
            </w:pPr>
            <w:r w:rsidRPr="00E30DB2">
              <w:t xml:space="preserve">A partir de </w:t>
            </w:r>
            <w:r w:rsidR="00E7398D" w:rsidRPr="00E30DB2">
              <w:t xml:space="preserve">2019 </w:t>
            </w:r>
            <w:r w:rsidRPr="00E30DB2">
              <w:t xml:space="preserve">et progressivement </w:t>
            </w:r>
            <w:r w:rsidR="00E7398D" w:rsidRPr="00E30DB2">
              <w:t>pour la FPE, puis déploiement progressif dans la FPT et la FPH</w:t>
            </w:r>
          </w:p>
        </w:tc>
      </w:tr>
      <w:tr w:rsidR="000E6EA9" w:rsidRPr="00E30DB2" w14:paraId="5981E7B7" w14:textId="77777777" w:rsidTr="000E6EA9">
        <w:trPr>
          <w:trHeight w:val="842"/>
        </w:trPr>
        <w:tc>
          <w:tcPr>
            <w:tcW w:w="3498" w:type="dxa"/>
            <w:vMerge w:val="restart"/>
            <w:shd w:val="clear" w:color="auto" w:fill="FFF2CC" w:themeFill="accent4" w:themeFillTint="33"/>
          </w:tcPr>
          <w:p w14:paraId="46918D77" w14:textId="77777777" w:rsidR="000E6EA9" w:rsidRPr="00E30DB2" w:rsidRDefault="000E6EA9" w:rsidP="00E30DB2">
            <w:pPr>
              <w:keepLines/>
              <w:jc w:val="both"/>
              <w:rPr>
                <w:rFonts w:cstheme="minorHAnsi"/>
              </w:rPr>
            </w:pPr>
            <w:r w:rsidRPr="00E30DB2">
              <w:rPr>
                <w:rFonts w:cstheme="minorHAnsi"/>
              </w:rPr>
              <w:t>3.2. Intégrer dans les plans d’action « égalité professionnelle » des mesures de résorption des écarts de rémunération</w:t>
            </w:r>
          </w:p>
          <w:p w14:paraId="58ECF6C1" w14:textId="77777777" w:rsidR="000E6EA9" w:rsidRPr="00E30DB2" w:rsidRDefault="000E6EA9" w:rsidP="00E30DB2">
            <w:pPr>
              <w:keepLines/>
              <w:ind w:left="1"/>
              <w:jc w:val="both"/>
              <w:rPr>
                <w:rFonts w:cstheme="minorHAnsi"/>
              </w:rPr>
            </w:pPr>
          </w:p>
        </w:tc>
        <w:tc>
          <w:tcPr>
            <w:tcW w:w="3498" w:type="dxa"/>
          </w:tcPr>
          <w:p w14:paraId="15C332DE" w14:textId="77777777" w:rsidR="000E6EA9" w:rsidRPr="00E30DB2" w:rsidRDefault="000E6EA9" w:rsidP="00E30DB2">
            <w:pPr>
              <w:jc w:val="both"/>
            </w:pPr>
            <w:r w:rsidRPr="00E30DB2">
              <w:t>Le plan d’action doit comporter un calendrier, des indicateurs et des actions chiffrées pour parvenir à l’égalité salariale</w:t>
            </w:r>
          </w:p>
        </w:tc>
        <w:tc>
          <w:tcPr>
            <w:tcW w:w="3499" w:type="dxa"/>
          </w:tcPr>
          <w:p w14:paraId="7C831F93" w14:textId="77777777" w:rsidR="000E6EA9" w:rsidRPr="00E30DB2" w:rsidRDefault="000E6EA9" w:rsidP="00E30DB2">
            <w:pPr>
              <w:jc w:val="both"/>
            </w:pPr>
            <w:r w:rsidRPr="00E30DB2">
              <w:t>Plan d’actions</w:t>
            </w:r>
          </w:p>
        </w:tc>
        <w:tc>
          <w:tcPr>
            <w:tcW w:w="3499" w:type="dxa"/>
          </w:tcPr>
          <w:p w14:paraId="4D5F3BB2" w14:textId="3C0256A0" w:rsidR="000E6EA9" w:rsidRPr="00E30DB2" w:rsidRDefault="0078715E" w:rsidP="00E30DB2">
            <w:pPr>
              <w:jc w:val="both"/>
            </w:pPr>
            <w:r w:rsidRPr="00E30DB2">
              <w:t xml:space="preserve">Au plus tard </w:t>
            </w:r>
            <w:r w:rsidR="00222962" w:rsidRPr="00E30DB2">
              <w:t xml:space="preserve">31 décembre </w:t>
            </w:r>
            <w:r w:rsidR="000E6EA9" w:rsidRPr="00E30DB2">
              <w:t>202</w:t>
            </w:r>
            <w:r w:rsidR="00072B2A">
              <w:t>0</w:t>
            </w:r>
            <w:r w:rsidR="001710B7" w:rsidRPr="00E30DB2">
              <w:t xml:space="preserve"> </w:t>
            </w:r>
          </w:p>
        </w:tc>
      </w:tr>
      <w:tr w:rsidR="000E6EA9" w:rsidRPr="00E30DB2" w14:paraId="6217B56C" w14:textId="77777777" w:rsidTr="007E4EC9">
        <w:trPr>
          <w:trHeight w:val="841"/>
        </w:trPr>
        <w:tc>
          <w:tcPr>
            <w:tcW w:w="3498" w:type="dxa"/>
            <w:vMerge/>
            <w:shd w:val="clear" w:color="auto" w:fill="FFF2CC" w:themeFill="accent4" w:themeFillTint="33"/>
          </w:tcPr>
          <w:p w14:paraId="67A33F54" w14:textId="77777777" w:rsidR="000E6EA9" w:rsidRPr="00E30DB2" w:rsidRDefault="000E6EA9" w:rsidP="00E30DB2">
            <w:pPr>
              <w:keepLines/>
              <w:jc w:val="both"/>
              <w:rPr>
                <w:rFonts w:cstheme="minorHAnsi"/>
              </w:rPr>
            </w:pPr>
          </w:p>
        </w:tc>
        <w:tc>
          <w:tcPr>
            <w:tcW w:w="3498" w:type="dxa"/>
          </w:tcPr>
          <w:p w14:paraId="7CC17046" w14:textId="77777777" w:rsidR="000E6EA9" w:rsidRPr="00E30DB2" w:rsidRDefault="000E6EA9" w:rsidP="00E30DB2">
            <w:pPr>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jc w:val="both"/>
              <w:rPr>
                <w:rFonts w:cstheme="minorHAnsi"/>
              </w:rPr>
            </w:pPr>
            <w:r w:rsidRPr="00E30DB2">
              <w:rPr>
                <w:rFonts w:cstheme="minorHAnsi"/>
              </w:rPr>
              <w:t>Bilan sexué du déploiement du RIFSEEP.</w:t>
            </w:r>
          </w:p>
          <w:p w14:paraId="23FD29D0" w14:textId="77777777" w:rsidR="000E6EA9" w:rsidRPr="00E30DB2" w:rsidRDefault="000E6EA9" w:rsidP="00E30DB2">
            <w:pPr>
              <w:jc w:val="both"/>
            </w:pPr>
          </w:p>
        </w:tc>
        <w:tc>
          <w:tcPr>
            <w:tcW w:w="3499" w:type="dxa"/>
          </w:tcPr>
          <w:p w14:paraId="4239D81F" w14:textId="77777777" w:rsidR="000E6EA9" w:rsidRPr="00E30DB2" w:rsidRDefault="001710B7" w:rsidP="00E30DB2">
            <w:pPr>
              <w:jc w:val="both"/>
            </w:pPr>
            <w:r w:rsidRPr="00E30DB2">
              <w:t xml:space="preserve">Etude </w:t>
            </w:r>
            <w:r w:rsidR="000E6EA9" w:rsidRPr="00E30DB2">
              <w:t>DGAFP</w:t>
            </w:r>
          </w:p>
        </w:tc>
        <w:tc>
          <w:tcPr>
            <w:tcW w:w="3499" w:type="dxa"/>
          </w:tcPr>
          <w:p w14:paraId="4024E2A5" w14:textId="77777777" w:rsidR="000E6EA9" w:rsidRPr="00E30DB2" w:rsidRDefault="000E6EA9" w:rsidP="00E30DB2">
            <w:pPr>
              <w:jc w:val="both"/>
            </w:pPr>
            <w:r w:rsidRPr="00E30DB2">
              <w:t>2019</w:t>
            </w:r>
          </w:p>
        </w:tc>
      </w:tr>
      <w:tr w:rsidR="0054296E" w:rsidRPr="00E30DB2" w14:paraId="30821088" w14:textId="77777777" w:rsidTr="007E4EC9">
        <w:tc>
          <w:tcPr>
            <w:tcW w:w="3498" w:type="dxa"/>
            <w:shd w:val="clear" w:color="auto" w:fill="FFF2CC" w:themeFill="accent4" w:themeFillTint="33"/>
          </w:tcPr>
          <w:p w14:paraId="4297D623" w14:textId="77777777" w:rsidR="0054296E" w:rsidRPr="00E30DB2" w:rsidRDefault="0054296E" w:rsidP="00E30DB2">
            <w:pPr>
              <w:keepLines/>
              <w:jc w:val="both"/>
              <w:rPr>
                <w:rFonts w:cstheme="minorHAnsi"/>
              </w:rPr>
            </w:pPr>
            <w:r w:rsidRPr="00E30DB2">
              <w:rPr>
                <w:rFonts w:cstheme="minorHAnsi"/>
              </w:rPr>
              <w:t xml:space="preserve">3.3. Renforcer la transparence sur les éléments de rémunération </w:t>
            </w:r>
          </w:p>
          <w:p w14:paraId="55FED7C0" w14:textId="77777777" w:rsidR="0054296E" w:rsidRPr="00E30DB2" w:rsidRDefault="0054296E" w:rsidP="00E30DB2">
            <w:pPr>
              <w:keepLines/>
              <w:ind w:left="1"/>
              <w:jc w:val="both"/>
              <w:rPr>
                <w:rFonts w:cstheme="minorHAnsi"/>
              </w:rPr>
            </w:pPr>
          </w:p>
        </w:tc>
        <w:tc>
          <w:tcPr>
            <w:tcW w:w="3498" w:type="dxa"/>
          </w:tcPr>
          <w:p w14:paraId="2CA7D531" w14:textId="2F4E7C1C" w:rsidR="0054296E" w:rsidRPr="00E30DB2" w:rsidRDefault="0023468C" w:rsidP="00E30DB2">
            <w:pPr>
              <w:jc w:val="both"/>
            </w:pPr>
            <w:r w:rsidRPr="00E30DB2">
              <w:rPr>
                <w:rFonts w:cstheme="minorHAnsi"/>
              </w:rPr>
              <w:t>Renforcer la transparence des éléments de la rémunération des agents publics lors des recrutement</w:t>
            </w:r>
            <w:r w:rsidR="00F40A53" w:rsidRPr="00E30DB2">
              <w:rPr>
                <w:rFonts w:cstheme="minorHAnsi"/>
              </w:rPr>
              <w:t>s</w:t>
            </w:r>
            <w:r w:rsidRPr="00E30DB2">
              <w:rPr>
                <w:rFonts w:cstheme="minorHAnsi"/>
              </w:rPr>
              <w:t xml:space="preserve"> (concours, sans concours, mobilité…)</w:t>
            </w:r>
            <w:r w:rsidR="00C36A9D">
              <w:rPr>
                <w:rFonts w:cstheme="minorHAnsi"/>
              </w:rPr>
              <w:t xml:space="preserve"> ou dans les parcours professionnels</w:t>
            </w:r>
          </w:p>
        </w:tc>
        <w:tc>
          <w:tcPr>
            <w:tcW w:w="3499" w:type="dxa"/>
          </w:tcPr>
          <w:p w14:paraId="3DAA769E" w14:textId="77777777" w:rsidR="0054296E" w:rsidRPr="00E30DB2" w:rsidRDefault="0023468C" w:rsidP="00E30DB2">
            <w:pPr>
              <w:jc w:val="both"/>
            </w:pPr>
            <w:r w:rsidRPr="00E30DB2">
              <w:rPr>
                <w:rFonts w:cstheme="minorHAnsi"/>
              </w:rPr>
              <w:t>Circulaire visant à préciser les modalités de mise en œuvre de la transparence des rémunérations dans les trois versants de la fonction publique</w:t>
            </w:r>
          </w:p>
        </w:tc>
        <w:tc>
          <w:tcPr>
            <w:tcW w:w="3499" w:type="dxa"/>
          </w:tcPr>
          <w:p w14:paraId="4F955F9E" w14:textId="785F294F" w:rsidR="0054296E" w:rsidRPr="00E30DB2" w:rsidRDefault="0023468C" w:rsidP="00E30DB2">
            <w:pPr>
              <w:jc w:val="both"/>
            </w:pPr>
            <w:r w:rsidRPr="00E30DB2">
              <w:t xml:space="preserve"> </w:t>
            </w:r>
            <w:r w:rsidR="00082557">
              <w:t xml:space="preserve"> Premier </w:t>
            </w:r>
            <w:r w:rsidRPr="00E30DB2">
              <w:t>semestre 2019</w:t>
            </w:r>
          </w:p>
        </w:tc>
      </w:tr>
      <w:tr w:rsidR="0054296E" w:rsidRPr="00E30DB2" w14:paraId="6157A52D" w14:textId="77777777" w:rsidTr="007E4EC9">
        <w:tc>
          <w:tcPr>
            <w:tcW w:w="3498" w:type="dxa"/>
            <w:shd w:val="clear" w:color="auto" w:fill="FFF2CC" w:themeFill="accent4" w:themeFillTint="33"/>
          </w:tcPr>
          <w:p w14:paraId="08C10CF9" w14:textId="77777777" w:rsidR="0054296E" w:rsidRPr="00E30DB2" w:rsidRDefault="0054296E" w:rsidP="00E30DB2">
            <w:pPr>
              <w:keepLines/>
              <w:jc w:val="both"/>
              <w:rPr>
                <w:rFonts w:cstheme="minorHAnsi"/>
                <w:bCs/>
              </w:rPr>
            </w:pPr>
            <w:r w:rsidRPr="00E30DB2">
              <w:rPr>
                <w:rFonts w:cstheme="minorHAnsi"/>
                <w:bCs/>
              </w:rPr>
              <w:t>3.4. Neutraliser l’impact des congés familiaux sur la rémunération et les parcours professionnels</w:t>
            </w:r>
          </w:p>
          <w:p w14:paraId="711B5E95" w14:textId="77777777" w:rsidR="0054296E" w:rsidRPr="00E30DB2" w:rsidRDefault="0054296E" w:rsidP="00E30DB2">
            <w:pPr>
              <w:keepLines/>
              <w:ind w:left="1"/>
              <w:jc w:val="both"/>
              <w:rPr>
                <w:rFonts w:cstheme="minorHAnsi"/>
              </w:rPr>
            </w:pPr>
          </w:p>
        </w:tc>
        <w:tc>
          <w:tcPr>
            <w:tcW w:w="3498" w:type="dxa"/>
          </w:tcPr>
          <w:p w14:paraId="420867D3" w14:textId="4268C022" w:rsidR="0054296E" w:rsidRPr="00E30DB2" w:rsidRDefault="001710B7" w:rsidP="00E30DB2">
            <w:pPr>
              <w:jc w:val="both"/>
            </w:pPr>
            <w:r w:rsidRPr="00E30DB2">
              <w:rPr>
                <w:rFonts w:cstheme="minorHAnsi"/>
                <w:bCs/>
              </w:rPr>
              <w:t xml:space="preserve">Evolution des règles relatives aux congés de maternité, aux congés parentaux et aux disponibilités pour raisons familiales </w:t>
            </w:r>
            <w:r w:rsidR="00C36A9D">
              <w:rPr>
                <w:rFonts w:cstheme="minorHAnsi"/>
                <w:bCs/>
              </w:rPr>
              <w:t>dans les trois versants</w:t>
            </w:r>
          </w:p>
        </w:tc>
        <w:tc>
          <w:tcPr>
            <w:tcW w:w="3499" w:type="dxa"/>
          </w:tcPr>
          <w:p w14:paraId="5783E07E" w14:textId="3F76967E" w:rsidR="0054296E" w:rsidRPr="00E30DB2" w:rsidRDefault="00C36A9D" w:rsidP="00E30DB2">
            <w:pPr>
              <w:jc w:val="both"/>
            </w:pPr>
            <w:r>
              <w:rPr>
                <w:rFonts w:cstheme="minorHAnsi"/>
              </w:rPr>
              <w:t xml:space="preserve">Dispositions législatives et règlementaires </w:t>
            </w:r>
          </w:p>
        </w:tc>
        <w:tc>
          <w:tcPr>
            <w:tcW w:w="3499" w:type="dxa"/>
          </w:tcPr>
          <w:p w14:paraId="79482F9D" w14:textId="77777777" w:rsidR="0054296E" w:rsidRPr="00E30DB2" w:rsidRDefault="001710B7" w:rsidP="00E30DB2">
            <w:pPr>
              <w:jc w:val="both"/>
            </w:pPr>
            <w:r w:rsidRPr="00E30DB2">
              <w:t>2019</w:t>
            </w:r>
          </w:p>
        </w:tc>
      </w:tr>
      <w:tr w:rsidR="0054296E" w14:paraId="12A54167" w14:textId="77777777" w:rsidTr="007E4EC9">
        <w:tc>
          <w:tcPr>
            <w:tcW w:w="3498" w:type="dxa"/>
            <w:shd w:val="clear" w:color="auto" w:fill="FFF2CC" w:themeFill="accent4" w:themeFillTint="33"/>
          </w:tcPr>
          <w:p w14:paraId="7A689506" w14:textId="77777777" w:rsidR="0054296E" w:rsidRPr="00E30DB2" w:rsidRDefault="0054296E" w:rsidP="00E30DB2">
            <w:pPr>
              <w:keepLines/>
              <w:jc w:val="both"/>
              <w:rPr>
                <w:rFonts w:cstheme="minorHAnsi"/>
                <w:bCs/>
              </w:rPr>
            </w:pPr>
            <w:r w:rsidRPr="00E30DB2">
              <w:rPr>
                <w:rFonts w:cstheme="minorHAnsi"/>
                <w:bCs/>
              </w:rPr>
              <w:t xml:space="preserve">3.5. Favoriser l’annualisation du temps partiel comme alternative au congé parental </w:t>
            </w:r>
          </w:p>
          <w:p w14:paraId="1929F3AE" w14:textId="77777777" w:rsidR="0054296E" w:rsidRPr="00E30DB2" w:rsidRDefault="0054296E" w:rsidP="00E30DB2">
            <w:pPr>
              <w:keepLines/>
              <w:ind w:left="1"/>
              <w:jc w:val="both"/>
              <w:rPr>
                <w:rFonts w:cstheme="minorHAnsi"/>
              </w:rPr>
            </w:pPr>
          </w:p>
        </w:tc>
        <w:tc>
          <w:tcPr>
            <w:tcW w:w="3498" w:type="dxa"/>
          </w:tcPr>
          <w:p w14:paraId="79760E48" w14:textId="77777777" w:rsidR="0054296E" w:rsidRPr="00E30DB2" w:rsidRDefault="0023468C" w:rsidP="00E30DB2">
            <w:pPr>
              <w:jc w:val="both"/>
            </w:pPr>
            <w:r w:rsidRPr="00E30DB2">
              <w:rPr>
                <w:rFonts w:eastAsia="Calibri" w:cstheme="minorHAnsi"/>
              </w:rPr>
              <w:t>Possibilité de choisir de cumuler la période non travaillée sur une durée limitée dans le temps, pour lisser la rémunération</w:t>
            </w:r>
          </w:p>
        </w:tc>
        <w:tc>
          <w:tcPr>
            <w:tcW w:w="3499" w:type="dxa"/>
          </w:tcPr>
          <w:p w14:paraId="410EE993" w14:textId="77777777" w:rsidR="0054296E" w:rsidRPr="00E30DB2" w:rsidRDefault="0091600F" w:rsidP="00E30DB2">
            <w:pPr>
              <w:jc w:val="both"/>
            </w:pPr>
            <w:r w:rsidRPr="00E30DB2">
              <w:rPr>
                <w:rFonts w:eastAsia="Calibri" w:cstheme="minorHAnsi"/>
              </w:rPr>
              <w:t>D</w:t>
            </w:r>
            <w:r w:rsidR="0023468C" w:rsidRPr="00E30DB2">
              <w:rPr>
                <w:rFonts w:eastAsia="Calibri" w:cstheme="minorHAnsi"/>
              </w:rPr>
              <w:t>écrets relatifs au temps partiel dans les trois versants de la fonction publique</w:t>
            </w:r>
          </w:p>
        </w:tc>
        <w:tc>
          <w:tcPr>
            <w:tcW w:w="3499" w:type="dxa"/>
          </w:tcPr>
          <w:p w14:paraId="74238B55" w14:textId="77777777" w:rsidR="0054296E" w:rsidRPr="00E30DB2" w:rsidRDefault="0023468C" w:rsidP="00E30DB2">
            <w:pPr>
              <w:jc w:val="both"/>
            </w:pPr>
            <w:r w:rsidRPr="00E30DB2">
              <w:t>1</w:t>
            </w:r>
            <w:r w:rsidRPr="00E30DB2">
              <w:rPr>
                <w:vertAlign w:val="superscript"/>
              </w:rPr>
              <w:t>er</w:t>
            </w:r>
            <w:r w:rsidRPr="00E30DB2">
              <w:t xml:space="preserve"> semestre 2019</w:t>
            </w:r>
          </w:p>
        </w:tc>
      </w:tr>
      <w:tr w:rsidR="00E35EC0" w14:paraId="06D2DCA3" w14:textId="77777777" w:rsidTr="007E4EC9">
        <w:tc>
          <w:tcPr>
            <w:tcW w:w="3498" w:type="dxa"/>
            <w:shd w:val="clear" w:color="auto" w:fill="FFF2CC" w:themeFill="accent4" w:themeFillTint="33"/>
          </w:tcPr>
          <w:p w14:paraId="25A6BC40" w14:textId="4AFB0A96" w:rsidR="00E35EC0" w:rsidRPr="002D3DDB" w:rsidRDefault="00E35EC0" w:rsidP="00E35EC0">
            <w:pPr>
              <w:rPr>
                <w:rFonts w:cstheme="minorHAnsi"/>
                <w:lang w:eastAsia="fr-FR"/>
              </w:rPr>
            </w:pPr>
            <w:r w:rsidRPr="002D3DDB">
              <w:rPr>
                <w:rFonts w:cstheme="minorHAnsi"/>
                <w:lang w:eastAsia="fr-FR"/>
              </w:rPr>
              <w:t xml:space="preserve">Action 3.6. Garantir le respect de l’égalité entre les femmes et les hommes dans les procédures d’avancement </w:t>
            </w:r>
          </w:p>
          <w:p w14:paraId="0AAC1270" w14:textId="77777777" w:rsidR="00E35EC0" w:rsidRPr="0023003D" w:rsidRDefault="00E35EC0" w:rsidP="00E30DB2">
            <w:pPr>
              <w:keepLines/>
              <w:jc w:val="both"/>
              <w:rPr>
                <w:rFonts w:cstheme="minorHAnsi"/>
                <w:bCs/>
              </w:rPr>
            </w:pPr>
          </w:p>
        </w:tc>
        <w:tc>
          <w:tcPr>
            <w:tcW w:w="3498" w:type="dxa"/>
          </w:tcPr>
          <w:p w14:paraId="064C0112" w14:textId="0A34FDAD" w:rsidR="00E35EC0" w:rsidRPr="0023003D" w:rsidRDefault="00E35EC0" w:rsidP="00A46027">
            <w:pPr>
              <w:jc w:val="both"/>
              <w:rPr>
                <w:rFonts w:eastAsia="Calibri" w:cstheme="minorHAnsi"/>
              </w:rPr>
            </w:pPr>
            <w:r w:rsidRPr="002D3DDB">
              <w:rPr>
                <w:rFonts w:cstheme="minorHAnsi"/>
                <w:lang w:eastAsia="fr-FR"/>
              </w:rPr>
              <w:t xml:space="preserve">Modification des dispositions relatives à l’avancement de grade afin de prendre en compte la situation respective des femmes et des hommes dans les corps, cadres </w:t>
            </w:r>
            <w:r w:rsidRPr="002D3DDB">
              <w:rPr>
                <w:rFonts w:cstheme="minorHAnsi"/>
                <w:lang w:eastAsia="fr-FR"/>
              </w:rPr>
              <w:lastRenderedPageBreak/>
              <w:t xml:space="preserve">d’emplois et grades concernés lors de l’élaboration des tableaux d’avancement au choix. </w:t>
            </w:r>
          </w:p>
        </w:tc>
        <w:tc>
          <w:tcPr>
            <w:tcW w:w="3499" w:type="dxa"/>
          </w:tcPr>
          <w:p w14:paraId="2CD1D3BA" w14:textId="26E39BD9" w:rsidR="00E35EC0" w:rsidRPr="00E30DB2" w:rsidRDefault="00E35EC0" w:rsidP="00E30DB2">
            <w:pPr>
              <w:jc w:val="both"/>
              <w:rPr>
                <w:rFonts w:eastAsia="Calibri" w:cstheme="minorHAnsi"/>
              </w:rPr>
            </w:pPr>
            <w:r w:rsidRPr="00E30DB2">
              <w:rPr>
                <w:rFonts w:cstheme="minorHAnsi"/>
              </w:rPr>
              <w:lastRenderedPageBreak/>
              <w:t xml:space="preserve">Projet de loi </w:t>
            </w:r>
            <w:r>
              <w:rPr>
                <w:rFonts w:cstheme="minorHAnsi"/>
              </w:rPr>
              <w:t>F</w:t>
            </w:r>
            <w:r w:rsidRPr="00E30DB2">
              <w:rPr>
                <w:rFonts w:cstheme="minorHAnsi"/>
              </w:rPr>
              <w:t>onction publique </w:t>
            </w:r>
          </w:p>
        </w:tc>
        <w:tc>
          <w:tcPr>
            <w:tcW w:w="3499" w:type="dxa"/>
          </w:tcPr>
          <w:p w14:paraId="08B4454A" w14:textId="4B94226E" w:rsidR="00E35EC0" w:rsidRPr="00E30DB2" w:rsidRDefault="00E35EC0" w:rsidP="00E30DB2">
            <w:pPr>
              <w:jc w:val="both"/>
            </w:pPr>
            <w:r>
              <w:t>2019</w:t>
            </w:r>
          </w:p>
        </w:tc>
      </w:tr>
    </w:tbl>
    <w:p w14:paraId="31C7F2E2" w14:textId="77777777" w:rsidR="00A46027" w:rsidRDefault="00A46027">
      <w:r>
        <w:br w:type="page"/>
      </w:r>
    </w:p>
    <w:tbl>
      <w:tblPr>
        <w:tblStyle w:val="Grilledutableau"/>
        <w:tblW w:w="0" w:type="auto"/>
        <w:tblLook w:val="04A0" w:firstRow="1" w:lastRow="0" w:firstColumn="1" w:lastColumn="0" w:noHBand="0" w:noVBand="1"/>
      </w:tblPr>
      <w:tblGrid>
        <w:gridCol w:w="3498"/>
        <w:gridCol w:w="3498"/>
        <w:gridCol w:w="3499"/>
        <w:gridCol w:w="3499"/>
      </w:tblGrid>
      <w:tr w:rsidR="007E4EC9" w14:paraId="125DE231" w14:textId="77777777" w:rsidTr="007E4EC9">
        <w:tc>
          <w:tcPr>
            <w:tcW w:w="13994" w:type="dxa"/>
            <w:gridSpan w:val="4"/>
            <w:shd w:val="clear" w:color="auto" w:fill="FFD966" w:themeFill="accent4" w:themeFillTint="99"/>
          </w:tcPr>
          <w:p w14:paraId="49245857" w14:textId="178A5ABE" w:rsidR="007E4EC9" w:rsidRDefault="00F40A53" w:rsidP="007E4EC9">
            <w:pPr>
              <w:jc w:val="center"/>
            </w:pPr>
            <w:r>
              <w:lastRenderedPageBreak/>
              <w:br w:type="page"/>
            </w:r>
            <w:r w:rsidR="007E4EC9">
              <w:rPr>
                <w:rFonts w:cstheme="minorHAnsi"/>
                <w:b/>
              </w:rPr>
              <w:t xml:space="preserve">Axe 4 : </w:t>
            </w:r>
            <w:r w:rsidR="007E4EC9" w:rsidRPr="00D34F80">
              <w:rPr>
                <w:rFonts w:cstheme="minorHAnsi"/>
                <w:b/>
              </w:rPr>
              <w:t>Mieux accompagner les situations de grossesse, la parentalité et l’articulation des temps de vie professionnelle et personnelle</w:t>
            </w:r>
          </w:p>
        </w:tc>
      </w:tr>
      <w:tr w:rsidR="0023468C" w14:paraId="30F0CCC7" w14:textId="77777777" w:rsidTr="00F40A53">
        <w:trPr>
          <w:trHeight w:val="2542"/>
        </w:trPr>
        <w:tc>
          <w:tcPr>
            <w:tcW w:w="3498" w:type="dxa"/>
            <w:shd w:val="clear" w:color="auto" w:fill="FFF2CC" w:themeFill="accent4" w:themeFillTint="33"/>
          </w:tcPr>
          <w:p w14:paraId="36BB2A73" w14:textId="77777777" w:rsidR="0023468C" w:rsidRPr="00E30DB2" w:rsidRDefault="0023468C" w:rsidP="00E30DB2">
            <w:pPr>
              <w:keepLines/>
              <w:jc w:val="both"/>
              <w:rPr>
                <w:rFonts w:cstheme="minorHAnsi"/>
              </w:rPr>
            </w:pPr>
            <w:r w:rsidRPr="00E30DB2">
              <w:rPr>
                <w:rFonts w:cstheme="minorHAnsi"/>
              </w:rPr>
              <w:t>4.1. Reconnaître la coparentalité</w:t>
            </w:r>
          </w:p>
          <w:p w14:paraId="45583D8B" w14:textId="77777777" w:rsidR="0023468C" w:rsidRPr="00E30DB2" w:rsidRDefault="0023468C" w:rsidP="00E30DB2">
            <w:pPr>
              <w:keepLines/>
              <w:jc w:val="both"/>
              <w:rPr>
                <w:rFonts w:cstheme="minorHAnsi"/>
              </w:rPr>
            </w:pPr>
          </w:p>
          <w:p w14:paraId="653DC713" w14:textId="77777777" w:rsidR="0023468C" w:rsidRPr="00E30DB2" w:rsidRDefault="0023468C" w:rsidP="00E30DB2">
            <w:pPr>
              <w:keepLines/>
              <w:jc w:val="both"/>
              <w:rPr>
                <w:rFonts w:cstheme="minorHAnsi"/>
                <w:i/>
              </w:rPr>
            </w:pPr>
            <w:r w:rsidRPr="00E30DB2">
              <w:rPr>
                <w:rFonts w:cstheme="minorHAnsi"/>
                <w:i/>
              </w:rPr>
              <w:t>4.1.1 Création en 2019 d’une autorisation spéciale d’absence permettant au conjoint agent public ou à la conjointe agente publique de se rendre à 3 des 7 actes médicaux obligatoires pendant et après la grossesse</w:t>
            </w:r>
          </w:p>
          <w:p w14:paraId="0E0B0BFB" w14:textId="77777777" w:rsidR="0023468C" w:rsidRPr="00E30DB2" w:rsidRDefault="0023468C" w:rsidP="00E30DB2">
            <w:pPr>
              <w:keepLines/>
              <w:ind w:left="567"/>
              <w:jc w:val="both"/>
              <w:rPr>
                <w:rFonts w:cstheme="minorHAnsi"/>
              </w:rPr>
            </w:pPr>
          </w:p>
        </w:tc>
        <w:tc>
          <w:tcPr>
            <w:tcW w:w="3498" w:type="dxa"/>
          </w:tcPr>
          <w:p w14:paraId="58D75B1F" w14:textId="77777777" w:rsidR="0023468C" w:rsidRPr="00E30DB2" w:rsidRDefault="0023468C" w:rsidP="00E30DB2">
            <w:pPr>
              <w:jc w:val="both"/>
              <w:rPr>
                <w:rFonts w:cstheme="minorHAnsi"/>
              </w:rPr>
            </w:pPr>
            <w:r w:rsidRPr="00E30DB2">
              <w:rPr>
                <w:rFonts w:cstheme="minorHAnsi"/>
              </w:rPr>
              <w:t>Etendre la possibilité d’absence au conjoint agent public ou à la conjointe agente publique de la femme enceinte, à la personne liée à elle par un pacte civil de solidarité ou vivant maritalement avec elle</w:t>
            </w:r>
            <w:r w:rsidR="000E6EA9" w:rsidRPr="00E30DB2">
              <w:rPr>
                <w:rFonts w:cstheme="minorHAnsi"/>
              </w:rPr>
              <w:t>.</w:t>
            </w:r>
          </w:p>
          <w:p w14:paraId="58CFA447" w14:textId="77777777" w:rsidR="000E6EA9" w:rsidRPr="00E30DB2" w:rsidRDefault="000E6EA9" w:rsidP="00E30DB2">
            <w:pPr>
              <w:jc w:val="both"/>
              <w:rPr>
                <w:rFonts w:cstheme="minorHAnsi"/>
              </w:rPr>
            </w:pPr>
          </w:p>
          <w:p w14:paraId="30DE26D7" w14:textId="77777777" w:rsidR="000E6EA9" w:rsidRPr="00E30DB2" w:rsidRDefault="000E6EA9" w:rsidP="00E30DB2">
            <w:pPr>
              <w:jc w:val="both"/>
              <w:rPr>
                <w:rFonts w:cstheme="minorHAnsi"/>
              </w:rPr>
            </w:pPr>
          </w:p>
          <w:p w14:paraId="5584C0EC" w14:textId="77777777" w:rsidR="000E6EA9" w:rsidRPr="00E30DB2" w:rsidRDefault="00B409FE" w:rsidP="00E30DB2">
            <w:pPr>
              <w:jc w:val="both"/>
            </w:pPr>
            <w:r w:rsidRPr="00E30DB2">
              <w:rPr>
                <w:rFonts w:cstheme="minorHAnsi"/>
              </w:rPr>
              <w:t>Ces autorisations d’absence s’appliquent</w:t>
            </w:r>
            <w:r w:rsidR="000E6EA9" w:rsidRPr="00E30DB2">
              <w:rPr>
                <w:rFonts w:cstheme="minorHAnsi"/>
              </w:rPr>
              <w:t xml:space="preserve"> </w:t>
            </w:r>
            <w:r w:rsidRPr="00E30DB2">
              <w:rPr>
                <w:rFonts w:cstheme="minorHAnsi"/>
              </w:rPr>
              <w:t>également</w:t>
            </w:r>
            <w:r w:rsidR="000E6EA9" w:rsidRPr="00E30DB2">
              <w:rPr>
                <w:rFonts w:cstheme="minorHAnsi"/>
              </w:rPr>
              <w:t xml:space="preserve"> à la PMA</w:t>
            </w:r>
            <w:r w:rsidR="00F87A39" w:rsidRPr="00E30DB2">
              <w:rPr>
                <w:rFonts w:cstheme="minorHAnsi"/>
              </w:rPr>
              <w:t>.</w:t>
            </w:r>
          </w:p>
        </w:tc>
        <w:tc>
          <w:tcPr>
            <w:tcW w:w="3499" w:type="dxa"/>
          </w:tcPr>
          <w:p w14:paraId="60EA0E20" w14:textId="77777777" w:rsidR="0023468C" w:rsidRPr="00E30DB2" w:rsidRDefault="0023468C" w:rsidP="00E30DB2">
            <w:pPr>
              <w:jc w:val="both"/>
              <w:rPr>
                <w:rFonts w:cstheme="minorHAnsi"/>
              </w:rPr>
            </w:pPr>
            <w:r w:rsidRPr="00E30DB2">
              <w:rPr>
                <w:rFonts w:cstheme="minorHAnsi"/>
              </w:rPr>
              <w:t>Modification des circulaires relatives aux congés de maternité ou d'adoption et autorisations d'absence liées à la naissance pour les fonctionnaires et agents des fonctions publiques de l’Etat et hospitalière. Circulaire pour la FPT</w:t>
            </w:r>
          </w:p>
          <w:p w14:paraId="0E2CCD27" w14:textId="77777777" w:rsidR="000E6EA9" w:rsidRPr="00E30DB2" w:rsidRDefault="000E6EA9" w:rsidP="00E30DB2">
            <w:pPr>
              <w:jc w:val="both"/>
              <w:rPr>
                <w:rFonts w:cstheme="minorHAnsi"/>
              </w:rPr>
            </w:pPr>
          </w:p>
          <w:p w14:paraId="67C6F761" w14:textId="77777777" w:rsidR="000E6EA9" w:rsidRPr="00E30DB2" w:rsidRDefault="000E6EA9" w:rsidP="00E30DB2">
            <w:pPr>
              <w:jc w:val="both"/>
            </w:pPr>
            <w:r w:rsidRPr="00E30DB2">
              <w:rPr>
                <w:rFonts w:cstheme="minorHAnsi"/>
              </w:rPr>
              <w:t>Circulaire du 24 mars 2017</w:t>
            </w:r>
          </w:p>
        </w:tc>
        <w:tc>
          <w:tcPr>
            <w:tcW w:w="3499" w:type="dxa"/>
          </w:tcPr>
          <w:p w14:paraId="570D3681" w14:textId="77777777" w:rsidR="0023468C" w:rsidRPr="00E30DB2" w:rsidRDefault="001710B7" w:rsidP="00E30DB2">
            <w:pPr>
              <w:jc w:val="both"/>
            </w:pPr>
            <w:r w:rsidRPr="00E30DB2">
              <w:t>2019</w:t>
            </w:r>
          </w:p>
        </w:tc>
      </w:tr>
      <w:tr w:rsidR="0023468C" w14:paraId="215BEA8E" w14:textId="77777777" w:rsidTr="00F40A53">
        <w:trPr>
          <w:trHeight w:val="2819"/>
        </w:trPr>
        <w:tc>
          <w:tcPr>
            <w:tcW w:w="3498" w:type="dxa"/>
            <w:shd w:val="clear" w:color="auto" w:fill="FFF2CC" w:themeFill="accent4" w:themeFillTint="33"/>
          </w:tcPr>
          <w:p w14:paraId="20ECC6EF" w14:textId="77777777" w:rsidR="0023468C" w:rsidRPr="00E30DB2" w:rsidRDefault="0023468C" w:rsidP="00E30DB2">
            <w:pPr>
              <w:keepLines/>
              <w:jc w:val="both"/>
              <w:rPr>
                <w:rFonts w:cstheme="minorHAnsi"/>
              </w:rPr>
            </w:pPr>
            <w:r w:rsidRPr="00E30DB2">
              <w:rPr>
                <w:rFonts w:cstheme="minorHAnsi"/>
                <w:i/>
              </w:rPr>
              <w:t>4.1.2 Sécuriser la liste des bénéficiaires de l’autorisation spéciale d’absence pour naissance, sur le modèle du congé de paternité et d’accueil de l’enfant</w:t>
            </w:r>
          </w:p>
        </w:tc>
        <w:tc>
          <w:tcPr>
            <w:tcW w:w="3498" w:type="dxa"/>
          </w:tcPr>
          <w:p w14:paraId="36989418" w14:textId="77777777" w:rsidR="0023468C" w:rsidRPr="00E30DB2" w:rsidRDefault="00F277AB" w:rsidP="00E30DB2">
            <w:pPr>
              <w:jc w:val="both"/>
              <w:rPr>
                <w:rFonts w:cstheme="minorHAnsi"/>
              </w:rPr>
            </w:pPr>
            <w:r w:rsidRPr="00E30DB2">
              <w:rPr>
                <w:rFonts w:cstheme="minorHAnsi"/>
              </w:rPr>
              <w:t>Redéfinir la notion de « chef de famille » de manière à couvrir l’agent public père de l’enfant ainsi que, le cas échéant, l’agent public conjoint ou l’agente publique conjointe de la mère ou l’agent public lié ou l’agente publique liée à elle par un pacte civil de solidarité ou vivant maritalement avec elle.</w:t>
            </w:r>
          </w:p>
        </w:tc>
        <w:tc>
          <w:tcPr>
            <w:tcW w:w="3499" w:type="dxa"/>
          </w:tcPr>
          <w:p w14:paraId="16762B52" w14:textId="77777777" w:rsidR="0023468C" w:rsidRPr="00E30DB2" w:rsidRDefault="00F277AB" w:rsidP="00E30DB2">
            <w:pPr>
              <w:jc w:val="both"/>
              <w:rPr>
                <w:rFonts w:cstheme="minorHAnsi"/>
              </w:rPr>
            </w:pPr>
            <w:r w:rsidRPr="00E30DB2">
              <w:rPr>
                <w:rFonts w:cstheme="minorHAnsi"/>
              </w:rPr>
              <w:t>Modification de l</w:t>
            </w:r>
            <w:r w:rsidR="0023468C" w:rsidRPr="00E30DB2">
              <w:rPr>
                <w:rFonts w:cstheme="minorHAnsi"/>
              </w:rPr>
              <w:t xml:space="preserve">’instruction n° 7 du 23 mars 1950 </w:t>
            </w:r>
            <w:r w:rsidR="0023468C" w:rsidRPr="00E30DB2">
              <w:rPr>
                <w:rFonts w:cstheme="minorHAnsi"/>
                <w:i/>
              </w:rPr>
              <w:t>pour l'application des dispositions du statut général des fonctionnaires relatives aux congés annuels et autorisations exceptionnelles d'absence</w:t>
            </w:r>
          </w:p>
        </w:tc>
        <w:tc>
          <w:tcPr>
            <w:tcW w:w="3499" w:type="dxa"/>
          </w:tcPr>
          <w:p w14:paraId="4E68B105" w14:textId="77777777" w:rsidR="0023468C" w:rsidRPr="00E30DB2" w:rsidRDefault="001710B7" w:rsidP="00E30DB2">
            <w:pPr>
              <w:jc w:val="both"/>
            </w:pPr>
            <w:r w:rsidRPr="00E30DB2">
              <w:t>2019</w:t>
            </w:r>
          </w:p>
        </w:tc>
      </w:tr>
      <w:tr w:rsidR="00E35EC0" w:rsidRPr="00A4283F" w14:paraId="58EB3BD8" w14:textId="77777777" w:rsidTr="002D3DDB">
        <w:trPr>
          <w:trHeight w:val="2819"/>
        </w:trPr>
        <w:tc>
          <w:tcPr>
            <w:tcW w:w="3498" w:type="dxa"/>
            <w:shd w:val="clear" w:color="auto" w:fill="FFF2CC" w:themeFill="accent4" w:themeFillTint="33"/>
          </w:tcPr>
          <w:p w14:paraId="0AA407EB" w14:textId="29C2C21F" w:rsidR="00E35EC0" w:rsidRPr="00A4283F" w:rsidRDefault="00130463" w:rsidP="002D3DDB">
            <w:pPr>
              <w:keepLines/>
              <w:jc w:val="both"/>
              <w:rPr>
                <w:rFonts w:cstheme="minorHAnsi"/>
                <w:i/>
              </w:rPr>
            </w:pPr>
            <w:r w:rsidRPr="002D3DDB">
              <w:rPr>
                <w:rFonts w:cstheme="minorHAnsi"/>
                <w:i/>
              </w:rPr>
              <w:t>Action 4.2 - Exclure les congés de maladie pendant la grossesse de l’application du délai de carence</w:t>
            </w:r>
          </w:p>
        </w:tc>
        <w:tc>
          <w:tcPr>
            <w:tcW w:w="3498" w:type="dxa"/>
            <w:shd w:val="clear" w:color="auto" w:fill="auto"/>
          </w:tcPr>
          <w:p w14:paraId="51D08BA6" w14:textId="77777777" w:rsidR="00E35EC0" w:rsidRPr="00A4283F" w:rsidRDefault="00E35EC0" w:rsidP="00E30DB2">
            <w:pPr>
              <w:jc w:val="both"/>
              <w:rPr>
                <w:rFonts w:cstheme="minorHAnsi"/>
              </w:rPr>
            </w:pPr>
          </w:p>
        </w:tc>
        <w:tc>
          <w:tcPr>
            <w:tcW w:w="3499" w:type="dxa"/>
            <w:shd w:val="clear" w:color="auto" w:fill="auto"/>
          </w:tcPr>
          <w:p w14:paraId="488A51DF" w14:textId="0CAE0B97" w:rsidR="00E35EC0" w:rsidRPr="00A4283F" w:rsidRDefault="00130463" w:rsidP="00E30DB2">
            <w:pPr>
              <w:jc w:val="both"/>
              <w:rPr>
                <w:rFonts w:cstheme="minorHAnsi"/>
              </w:rPr>
            </w:pPr>
            <w:r w:rsidRPr="00A4283F">
              <w:rPr>
                <w:rFonts w:cstheme="minorHAnsi"/>
              </w:rPr>
              <w:t>Projet de loi Fonction publique </w:t>
            </w:r>
          </w:p>
        </w:tc>
        <w:tc>
          <w:tcPr>
            <w:tcW w:w="3499" w:type="dxa"/>
            <w:shd w:val="clear" w:color="auto" w:fill="auto"/>
          </w:tcPr>
          <w:p w14:paraId="7D73A76F" w14:textId="0BFF665E" w:rsidR="00E35EC0" w:rsidRPr="00A4283F" w:rsidRDefault="00130463" w:rsidP="00E30DB2">
            <w:pPr>
              <w:jc w:val="both"/>
            </w:pPr>
            <w:r w:rsidRPr="00A4283F">
              <w:t>2019</w:t>
            </w:r>
          </w:p>
        </w:tc>
      </w:tr>
      <w:tr w:rsidR="0054296E" w14:paraId="4EB6F68E" w14:textId="77777777" w:rsidTr="007E4EC9">
        <w:tc>
          <w:tcPr>
            <w:tcW w:w="3498" w:type="dxa"/>
            <w:shd w:val="clear" w:color="auto" w:fill="FFF2CC" w:themeFill="accent4" w:themeFillTint="33"/>
          </w:tcPr>
          <w:p w14:paraId="5E4205FA" w14:textId="74B49978" w:rsidR="007E4EC9" w:rsidRPr="00E30DB2" w:rsidRDefault="007E4EC9" w:rsidP="00E30DB2">
            <w:pPr>
              <w:keepLines/>
              <w:jc w:val="both"/>
              <w:rPr>
                <w:rFonts w:cstheme="minorHAnsi"/>
              </w:rPr>
            </w:pPr>
            <w:r w:rsidRPr="00E30DB2">
              <w:rPr>
                <w:rFonts w:cstheme="minorHAnsi"/>
              </w:rPr>
              <w:lastRenderedPageBreak/>
              <w:t>4.</w:t>
            </w:r>
            <w:r w:rsidR="00E35EC0">
              <w:rPr>
                <w:rFonts w:cstheme="minorHAnsi"/>
              </w:rPr>
              <w:t>3</w:t>
            </w:r>
            <w:r w:rsidRPr="00E30DB2">
              <w:rPr>
                <w:rFonts w:cstheme="minorHAnsi"/>
              </w:rPr>
              <w:t xml:space="preserve">. Favoriser le recours au compte épargne temps au terme des congés familiaux  </w:t>
            </w:r>
          </w:p>
          <w:p w14:paraId="25EC3119" w14:textId="77777777" w:rsidR="0054296E" w:rsidRPr="00E30DB2" w:rsidRDefault="0054296E" w:rsidP="00E30DB2">
            <w:pPr>
              <w:keepLines/>
              <w:jc w:val="both"/>
              <w:rPr>
                <w:rFonts w:cstheme="minorHAnsi"/>
              </w:rPr>
            </w:pPr>
          </w:p>
        </w:tc>
        <w:tc>
          <w:tcPr>
            <w:tcW w:w="3498" w:type="dxa"/>
          </w:tcPr>
          <w:p w14:paraId="7124476C" w14:textId="77777777" w:rsidR="0054296E" w:rsidRPr="00E30DB2" w:rsidRDefault="00F277AB" w:rsidP="00E30DB2">
            <w:pPr>
              <w:jc w:val="both"/>
            </w:pPr>
            <w:r w:rsidRPr="00E30DB2">
              <w:rPr>
                <w:rFonts w:cstheme="minorHAnsi"/>
              </w:rPr>
              <w:t>Étendre aux agents de l’Etat la possibilité d’utiliser les jours de congés accumulés sur leur CET à l’issue des congés de maternité, d’adoption, de paternité et d’accueil de l’enfant ou de solidarité familiale</w:t>
            </w:r>
          </w:p>
        </w:tc>
        <w:tc>
          <w:tcPr>
            <w:tcW w:w="3499" w:type="dxa"/>
          </w:tcPr>
          <w:p w14:paraId="17D4F50B" w14:textId="77777777" w:rsidR="0054296E" w:rsidRPr="00E30DB2" w:rsidRDefault="00F277AB" w:rsidP="00E30DB2">
            <w:pPr>
              <w:jc w:val="both"/>
            </w:pPr>
            <w:r w:rsidRPr="00E30DB2">
              <w:rPr>
                <w:rFonts w:cstheme="minorHAnsi"/>
              </w:rPr>
              <w:t xml:space="preserve">Modification du décret n° 2002-634 du 29 avril 2002 </w:t>
            </w:r>
            <w:r w:rsidRPr="00E30DB2">
              <w:rPr>
                <w:rFonts w:cstheme="minorHAnsi"/>
                <w:i/>
              </w:rPr>
              <w:t>portant création du compte épargne-temps dans la fonction publique de l'État et dans la magistrature</w:t>
            </w:r>
          </w:p>
        </w:tc>
        <w:tc>
          <w:tcPr>
            <w:tcW w:w="3499" w:type="dxa"/>
          </w:tcPr>
          <w:p w14:paraId="5FC975BE" w14:textId="596F22B4" w:rsidR="0054296E" w:rsidRPr="00E30DB2" w:rsidRDefault="00F277AB" w:rsidP="00E30DB2">
            <w:pPr>
              <w:jc w:val="both"/>
            </w:pPr>
            <w:r w:rsidRPr="00E30DB2">
              <w:t>2019</w:t>
            </w:r>
          </w:p>
        </w:tc>
      </w:tr>
      <w:tr w:rsidR="0054296E" w14:paraId="1E703A3C" w14:textId="77777777" w:rsidTr="007E4EC9">
        <w:tc>
          <w:tcPr>
            <w:tcW w:w="3498" w:type="dxa"/>
            <w:shd w:val="clear" w:color="auto" w:fill="FFF2CC" w:themeFill="accent4" w:themeFillTint="33"/>
          </w:tcPr>
          <w:p w14:paraId="5C1D7B14" w14:textId="4F708ABA" w:rsidR="0054296E" w:rsidRPr="00E30DB2" w:rsidRDefault="00F277AB" w:rsidP="00E35EC0">
            <w:pPr>
              <w:keepLines/>
              <w:jc w:val="both"/>
              <w:rPr>
                <w:rFonts w:cstheme="minorHAnsi"/>
              </w:rPr>
            </w:pPr>
            <w:r w:rsidRPr="00E30DB2">
              <w:rPr>
                <w:rFonts w:cstheme="minorHAnsi"/>
                <w:bCs/>
              </w:rPr>
              <w:t>4.</w:t>
            </w:r>
            <w:r w:rsidR="00E35EC0">
              <w:rPr>
                <w:rFonts w:cstheme="minorHAnsi"/>
                <w:bCs/>
              </w:rPr>
              <w:t>4</w:t>
            </w:r>
            <w:r w:rsidRPr="00E30DB2">
              <w:rPr>
                <w:rFonts w:cstheme="minorHAnsi"/>
                <w:bCs/>
              </w:rPr>
              <w:t xml:space="preserve">. Sécuriser la situation des élèves et stagiaires enceintes au cours de leur scolarité en école de service public, ainsi que la prise du congé de paternité et d’accueil de l‘enfant durant la scolarité  </w:t>
            </w:r>
          </w:p>
        </w:tc>
        <w:tc>
          <w:tcPr>
            <w:tcW w:w="3498" w:type="dxa"/>
          </w:tcPr>
          <w:p w14:paraId="720791C5" w14:textId="77777777" w:rsidR="0054296E" w:rsidRPr="00E30DB2" w:rsidRDefault="00F277AB" w:rsidP="00E30DB2">
            <w:pPr>
              <w:jc w:val="both"/>
            </w:pPr>
            <w:r w:rsidRPr="00E30DB2">
              <w:rPr>
                <w:rFonts w:cstheme="minorHAnsi"/>
              </w:rPr>
              <w:t>Réaliser un état des textes ou pratiques de gestion applicables aux femmes enceintes</w:t>
            </w:r>
          </w:p>
        </w:tc>
        <w:tc>
          <w:tcPr>
            <w:tcW w:w="3499" w:type="dxa"/>
          </w:tcPr>
          <w:p w14:paraId="277014CD" w14:textId="77777777" w:rsidR="0054296E" w:rsidRPr="00E30DB2" w:rsidRDefault="00F277AB" w:rsidP="00E30DB2">
            <w:pPr>
              <w:jc w:val="both"/>
            </w:pPr>
            <w:r w:rsidRPr="00E30DB2">
              <w:t>Réunion d’un GT avec les organisations syndicales</w:t>
            </w:r>
            <w:r w:rsidR="001710B7" w:rsidRPr="00E30DB2">
              <w:t xml:space="preserve"> signataires du protocole</w:t>
            </w:r>
            <w:r w:rsidRPr="00E30DB2">
              <w:t>, dans l’objectif de modifier les décrets</w:t>
            </w:r>
          </w:p>
        </w:tc>
        <w:tc>
          <w:tcPr>
            <w:tcW w:w="3499" w:type="dxa"/>
          </w:tcPr>
          <w:p w14:paraId="11DAB50C" w14:textId="77777777" w:rsidR="0054296E" w:rsidRPr="00E30DB2" w:rsidRDefault="00F87A39" w:rsidP="00E30DB2">
            <w:pPr>
              <w:jc w:val="both"/>
            </w:pPr>
            <w:r w:rsidRPr="00E30DB2">
              <w:t xml:space="preserve">Début </w:t>
            </w:r>
            <w:r w:rsidR="00F277AB" w:rsidRPr="00E30DB2">
              <w:t>2019 pour le diagnostic</w:t>
            </w:r>
          </w:p>
          <w:p w14:paraId="0E604629" w14:textId="77777777" w:rsidR="00F277AB" w:rsidRPr="00E30DB2" w:rsidRDefault="00F277AB" w:rsidP="00E30DB2">
            <w:pPr>
              <w:jc w:val="both"/>
            </w:pPr>
            <w:r w:rsidRPr="00E30DB2">
              <w:t>2020 pour la modification des décrets</w:t>
            </w:r>
          </w:p>
        </w:tc>
      </w:tr>
      <w:tr w:rsidR="0054296E" w14:paraId="3E307E80" w14:textId="77777777" w:rsidTr="007E4EC9">
        <w:tc>
          <w:tcPr>
            <w:tcW w:w="3498" w:type="dxa"/>
            <w:shd w:val="clear" w:color="auto" w:fill="FFF2CC" w:themeFill="accent4" w:themeFillTint="33"/>
          </w:tcPr>
          <w:p w14:paraId="5276D122" w14:textId="2B86DE68" w:rsidR="00F277AB" w:rsidRPr="00E30DB2" w:rsidRDefault="00F277AB" w:rsidP="00E30DB2">
            <w:pPr>
              <w:keepLines/>
              <w:jc w:val="both"/>
              <w:rPr>
                <w:rFonts w:cstheme="minorHAnsi"/>
              </w:rPr>
            </w:pPr>
            <w:r w:rsidRPr="00E30DB2">
              <w:rPr>
                <w:rFonts w:cstheme="minorHAnsi"/>
              </w:rPr>
              <w:t>4.</w:t>
            </w:r>
            <w:r w:rsidR="00130463">
              <w:rPr>
                <w:rFonts w:cstheme="minorHAnsi"/>
              </w:rPr>
              <w:t>5</w:t>
            </w:r>
            <w:r w:rsidRPr="00E30DB2">
              <w:rPr>
                <w:rFonts w:cstheme="minorHAnsi"/>
              </w:rPr>
              <w:t xml:space="preserve">. Assouplir les règles d’utilisation du  congé parental  </w:t>
            </w:r>
          </w:p>
          <w:p w14:paraId="3341EE2D" w14:textId="77777777" w:rsidR="0054296E" w:rsidRPr="00E30DB2" w:rsidRDefault="0054296E" w:rsidP="00E30DB2">
            <w:pPr>
              <w:keepLines/>
              <w:jc w:val="both"/>
              <w:rPr>
                <w:rFonts w:cstheme="minorHAnsi"/>
              </w:rPr>
            </w:pPr>
          </w:p>
        </w:tc>
        <w:tc>
          <w:tcPr>
            <w:tcW w:w="3498" w:type="dxa"/>
          </w:tcPr>
          <w:p w14:paraId="612F5E25" w14:textId="77777777" w:rsidR="0054296E" w:rsidRDefault="00F277AB" w:rsidP="00E30DB2">
            <w:pPr>
              <w:jc w:val="both"/>
              <w:rPr>
                <w:rFonts w:cstheme="minorHAnsi"/>
              </w:rPr>
            </w:pPr>
            <w:r w:rsidRPr="00E30DB2">
              <w:rPr>
                <w:rFonts w:cstheme="minorHAnsi"/>
              </w:rPr>
              <w:t xml:space="preserve">Durée minimale de </w:t>
            </w:r>
            <w:r w:rsidR="00F87A39" w:rsidRPr="00E30DB2">
              <w:rPr>
                <w:rFonts w:cstheme="minorHAnsi"/>
              </w:rPr>
              <w:t>placement en congé parental</w:t>
            </w:r>
            <w:r w:rsidRPr="00E30DB2">
              <w:rPr>
                <w:rFonts w:cstheme="minorHAnsi"/>
              </w:rPr>
              <w:t xml:space="preserve"> réduite à deux mois</w:t>
            </w:r>
            <w:r w:rsidR="00F87A39" w:rsidRPr="00E30DB2">
              <w:rPr>
                <w:rFonts w:cstheme="minorHAnsi"/>
              </w:rPr>
              <w:t xml:space="preserve">, et </w:t>
            </w:r>
            <w:r w:rsidRPr="00E30DB2">
              <w:rPr>
                <w:rFonts w:cstheme="minorHAnsi"/>
              </w:rPr>
              <w:t>règles de renouvellement simplifiées</w:t>
            </w:r>
          </w:p>
          <w:p w14:paraId="47280D98" w14:textId="77777777" w:rsidR="00A46027" w:rsidRDefault="00A46027" w:rsidP="00E30DB2">
            <w:pPr>
              <w:jc w:val="both"/>
              <w:rPr>
                <w:rFonts w:cstheme="minorHAnsi"/>
              </w:rPr>
            </w:pPr>
          </w:p>
          <w:p w14:paraId="035B129D" w14:textId="42308A31" w:rsidR="00130463" w:rsidRPr="00E30DB2" w:rsidRDefault="00972163" w:rsidP="00E30DB2">
            <w:pPr>
              <w:jc w:val="both"/>
            </w:pPr>
            <w:r>
              <w:t>Bilan de la réforme du congé parental de 2016</w:t>
            </w:r>
          </w:p>
        </w:tc>
        <w:tc>
          <w:tcPr>
            <w:tcW w:w="3499" w:type="dxa"/>
          </w:tcPr>
          <w:p w14:paraId="57E5B17A" w14:textId="77777777" w:rsidR="0054296E" w:rsidRPr="00E30DB2" w:rsidRDefault="0091600F" w:rsidP="00E30DB2">
            <w:pPr>
              <w:jc w:val="both"/>
            </w:pPr>
            <w:r w:rsidRPr="00E30DB2">
              <w:rPr>
                <w:rFonts w:cstheme="minorHAnsi"/>
              </w:rPr>
              <w:t>D</w:t>
            </w:r>
            <w:r w:rsidR="00F277AB" w:rsidRPr="00E30DB2">
              <w:rPr>
                <w:rFonts w:cstheme="minorHAnsi"/>
              </w:rPr>
              <w:t>écrets relatifs aux positions statutaires</w:t>
            </w:r>
          </w:p>
        </w:tc>
        <w:tc>
          <w:tcPr>
            <w:tcW w:w="3499" w:type="dxa"/>
          </w:tcPr>
          <w:p w14:paraId="3500D21C" w14:textId="4FC9DB9F" w:rsidR="0054296E" w:rsidRDefault="00F277AB" w:rsidP="00E30DB2">
            <w:pPr>
              <w:jc w:val="both"/>
            </w:pPr>
            <w:r w:rsidRPr="00E30DB2">
              <w:t>2019</w:t>
            </w:r>
          </w:p>
          <w:p w14:paraId="7B894A78" w14:textId="77777777" w:rsidR="00972163" w:rsidRDefault="00972163" w:rsidP="00E30DB2">
            <w:pPr>
              <w:jc w:val="both"/>
            </w:pPr>
          </w:p>
          <w:p w14:paraId="5CFAD6AD" w14:textId="77777777" w:rsidR="00972163" w:rsidRDefault="00972163" w:rsidP="00E30DB2">
            <w:pPr>
              <w:jc w:val="both"/>
            </w:pPr>
          </w:p>
          <w:p w14:paraId="1E0A9912" w14:textId="77777777" w:rsidR="00972163" w:rsidRDefault="00972163" w:rsidP="00E30DB2">
            <w:pPr>
              <w:jc w:val="both"/>
            </w:pPr>
          </w:p>
          <w:p w14:paraId="7F563882" w14:textId="77777777" w:rsidR="00A46027" w:rsidRDefault="00A46027" w:rsidP="00E30DB2">
            <w:pPr>
              <w:jc w:val="both"/>
            </w:pPr>
          </w:p>
          <w:p w14:paraId="21D6881D" w14:textId="179F026F" w:rsidR="00972163" w:rsidRPr="00E30DB2" w:rsidRDefault="00972163" w:rsidP="00E30DB2">
            <w:pPr>
              <w:jc w:val="both"/>
            </w:pPr>
            <w:r>
              <w:t>2019</w:t>
            </w:r>
          </w:p>
        </w:tc>
      </w:tr>
      <w:tr w:rsidR="00F277AB" w14:paraId="68F05855" w14:textId="77777777" w:rsidTr="007E4EC9">
        <w:trPr>
          <w:trHeight w:val="841"/>
        </w:trPr>
        <w:tc>
          <w:tcPr>
            <w:tcW w:w="3498" w:type="dxa"/>
            <w:shd w:val="clear" w:color="auto" w:fill="FFF2CC" w:themeFill="accent4" w:themeFillTint="33"/>
          </w:tcPr>
          <w:p w14:paraId="3A209532" w14:textId="77777777" w:rsidR="006D4DE5" w:rsidRPr="006D4DE5" w:rsidRDefault="006D4DE5" w:rsidP="006D4DE5">
            <w:pPr>
              <w:keepLines/>
              <w:jc w:val="both"/>
              <w:rPr>
                <w:rFonts w:cstheme="minorHAnsi"/>
                <w:bCs/>
                <w:iCs/>
              </w:rPr>
            </w:pPr>
            <w:r w:rsidRPr="006D4DE5">
              <w:rPr>
                <w:rFonts w:cstheme="minorHAnsi"/>
                <w:bCs/>
                <w:iCs/>
              </w:rPr>
              <w:t>4.6. Encourager de nouvelles formes d’organisation du travail au bénéfice de l’égalité professionnelle et de la qualité de vie au travail</w:t>
            </w:r>
          </w:p>
          <w:p w14:paraId="5F0F99C7" w14:textId="77777777" w:rsidR="00F277AB" w:rsidRPr="00E30DB2" w:rsidRDefault="00F277AB" w:rsidP="00E30DB2">
            <w:pPr>
              <w:keepLines/>
              <w:jc w:val="both"/>
              <w:rPr>
                <w:rFonts w:cstheme="minorHAnsi"/>
                <w:bCs/>
                <w:iCs/>
              </w:rPr>
            </w:pPr>
          </w:p>
        </w:tc>
        <w:tc>
          <w:tcPr>
            <w:tcW w:w="3498" w:type="dxa"/>
          </w:tcPr>
          <w:p w14:paraId="144403E0" w14:textId="35D9CA0F" w:rsidR="002A34A3" w:rsidRDefault="002A34A3" w:rsidP="00E30DB2">
            <w:pPr>
              <w:jc w:val="both"/>
              <w:rPr>
                <w:rFonts w:cstheme="minorHAnsi"/>
              </w:rPr>
            </w:pPr>
            <w:r>
              <w:rPr>
                <w:rFonts w:cstheme="minorHAnsi"/>
              </w:rPr>
              <w:t>Concertation sur la qualité de vie au travail dans la fonction publique</w:t>
            </w:r>
          </w:p>
          <w:p w14:paraId="10555CE7" w14:textId="77777777" w:rsidR="002A34A3" w:rsidRDefault="002A34A3" w:rsidP="00E30DB2">
            <w:pPr>
              <w:jc w:val="both"/>
              <w:rPr>
                <w:rFonts w:cstheme="minorHAnsi"/>
              </w:rPr>
            </w:pPr>
          </w:p>
          <w:p w14:paraId="748B3E35" w14:textId="77777777" w:rsidR="00F277AB" w:rsidRPr="00E30DB2" w:rsidRDefault="00B409FE" w:rsidP="00E30DB2">
            <w:pPr>
              <w:jc w:val="both"/>
            </w:pPr>
            <w:r w:rsidRPr="00E30DB2">
              <w:rPr>
                <w:rFonts w:cstheme="minorHAnsi"/>
              </w:rPr>
              <w:t>F</w:t>
            </w:r>
            <w:r w:rsidR="00F277AB" w:rsidRPr="00E30DB2">
              <w:rPr>
                <w:rFonts w:cstheme="minorHAnsi"/>
              </w:rPr>
              <w:t>avoriser le recours au télétravail  et/ou au travail sur site distant pour les femmes en état de grossesse</w:t>
            </w:r>
          </w:p>
        </w:tc>
        <w:tc>
          <w:tcPr>
            <w:tcW w:w="3499" w:type="dxa"/>
          </w:tcPr>
          <w:p w14:paraId="7F296781" w14:textId="77777777" w:rsidR="002A34A3" w:rsidRDefault="002A34A3" w:rsidP="00E30DB2">
            <w:pPr>
              <w:jc w:val="both"/>
              <w:rPr>
                <w:rFonts w:cstheme="minorHAnsi"/>
              </w:rPr>
            </w:pPr>
          </w:p>
          <w:p w14:paraId="7274B9B2" w14:textId="77777777" w:rsidR="002A34A3" w:rsidRDefault="002A34A3" w:rsidP="00E30DB2">
            <w:pPr>
              <w:jc w:val="both"/>
              <w:rPr>
                <w:rFonts w:cstheme="minorHAnsi"/>
              </w:rPr>
            </w:pPr>
          </w:p>
          <w:p w14:paraId="0304C8FF" w14:textId="77777777" w:rsidR="002A34A3" w:rsidRDefault="002A34A3" w:rsidP="00E30DB2">
            <w:pPr>
              <w:jc w:val="both"/>
              <w:rPr>
                <w:rFonts w:cstheme="minorHAnsi"/>
              </w:rPr>
            </w:pPr>
          </w:p>
          <w:p w14:paraId="1CDE6C12" w14:textId="77777777" w:rsidR="00F277AB" w:rsidRPr="00E30DB2" w:rsidRDefault="00F87A39" w:rsidP="00E30DB2">
            <w:pPr>
              <w:jc w:val="both"/>
              <w:rPr>
                <w:rFonts w:cstheme="minorHAnsi"/>
                <w:i/>
              </w:rPr>
            </w:pPr>
            <w:r w:rsidRPr="00E30DB2">
              <w:rPr>
                <w:rFonts w:cstheme="minorHAnsi"/>
              </w:rPr>
              <w:t xml:space="preserve">Modification du </w:t>
            </w:r>
            <w:r w:rsidR="00F277AB" w:rsidRPr="00E30DB2">
              <w:rPr>
                <w:rFonts w:cstheme="minorHAnsi"/>
              </w:rPr>
              <w:t xml:space="preserve">décret n° 2016-151 du 11 février 2016 </w:t>
            </w:r>
            <w:r w:rsidR="00F277AB" w:rsidRPr="00E30DB2">
              <w:rPr>
                <w:rFonts w:cstheme="minorHAnsi"/>
                <w:i/>
              </w:rPr>
              <w:t>relatif aux conditions et modalités de mise en œuvre du télétravail dans la fonction publique et la magistrature</w:t>
            </w:r>
          </w:p>
          <w:p w14:paraId="1BE4A8E9" w14:textId="77777777" w:rsidR="00F40A53" w:rsidRPr="00E30DB2" w:rsidRDefault="00F40A53" w:rsidP="00E30DB2">
            <w:pPr>
              <w:jc w:val="both"/>
              <w:rPr>
                <w:rFonts w:cstheme="minorHAnsi"/>
                <w:i/>
              </w:rPr>
            </w:pPr>
          </w:p>
          <w:p w14:paraId="2E30B93A" w14:textId="77777777" w:rsidR="00F40A53" w:rsidRPr="00E30DB2" w:rsidRDefault="00F40A53" w:rsidP="00E30DB2">
            <w:pPr>
              <w:jc w:val="both"/>
              <w:rPr>
                <w:rFonts w:cstheme="minorHAnsi"/>
              </w:rPr>
            </w:pPr>
          </w:p>
        </w:tc>
        <w:tc>
          <w:tcPr>
            <w:tcW w:w="3499" w:type="dxa"/>
          </w:tcPr>
          <w:p w14:paraId="26BE565A" w14:textId="77777777" w:rsidR="00F277AB" w:rsidRDefault="00F277AB" w:rsidP="00E30DB2">
            <w:pPr>
              <w:jc w:val="both"/>
            </w:pPr>
            <w:r w:rsidRPr="00E30DB2">
              <w:t>2019</w:t>
            </w:r>
          </w:p>
          <w:p w14:paraId="6F039282" w14:textId="77777777" w:rsidR="002A34A3" w:rsidRDefault="002A34A3" w:rsidP="00E30DB2">
            <w:pPr>
              <w:jc w:val="both"/>
            </w:pPr>
          </w:p>
          <w:p w14:paraId="771880EE" w14:textId="77777777" w:rsidR="002A34A3" w:rsidRDefault="002A34A3" w:rsidP="00E30DB2">
            <w:pPr>
              <w:jc w:val="both"/>
            </w:pPr>
          </w:p>
          <w:p w14:paraId="1E3EC3F5" w14:textId="4D2B94BF" w:rsidR="002A34A3" w:rsidRPr="00E30DB2" w:rsidRDefault="002A34A3" w:rsidP="00E30DB2">
            <w:pPr>
              <w:jc w:val="both"/>
            </w:pPr>
            <w:r>
              <w:t>2019</w:t>
            </w:r>
          </w:p>
        </w:tc>
      </w:tr>
      <w:tr w:rsidR="00972163" w:rsidRPr="00A4283F" w14:paraId="50DD5956" w14:textId="77777777" w:rsidTr="007E4EC9">
        <w:trPr>
          <w:trHeight w:val="841"/>
        </w:trPr>
        <w:tc>
          <w:tcPr>
            <w:tcW w:w="3498" w:type="dxa"/>
            <w:shd w:val="clear" w:color="auto" w:fill="FFF2CC" w:themeFill="accent4" w:themeFillTint="33"/>
          </w:tcPr>
          <w:p w14:paraId="0680E020" w14:textId="631FEC8F" w:rsidR="00972163" w:rsidRPr="00A46027" w:rsidRDefault="00972163" w:rsidP="00A46027">
            <w:pPr>
              <w:jc w:val="both"/>
              <w:rPr>
                <w:rFonts w:cstheme="minorHAnsi"/>
              </w:rPr>
            </w:pPr>
            <w:r w:rsidRPr="002D3DDB">
              <w:rPr>
                <w:rFonts w:cstheme="minorHAnsi"/>
              </w:rPr>
              <w:t xml:space="preserve">Action 4.7. Favoriser l’accès à une place en crèche pour les agents publics  </w:t>
            </w:r>
          </w:p>
        </w:tc>
        <w:tc>
          <w:tcPr>
            <w:tcW w:w="3498" w:type="dxa"/>
          </w:tcPr>
          <w:p w14:paraId="1922DFED" w14:textId="669E5496" w:rsidR="00972163" w:rsidRPr="00A4283F" w:rsidRDefault="00972163" w:rsidP="00A46027">
            <w:pPr>
              <w:jc w:val="both"/>
              <w:rPr>
                <w:rFonts w:cstheme="minorHAnsi"/>
              </w:rPr>
            </w:pPr>
            <w:r w:rsidRPr="00A4283F">
              <w:rPr>
                <w:rFonts w:cstheme="minorHAnsi"/>
              </w:rPr>
              <w:t>Création de 1000 berceaux supplémentaires</w:t>
            </w:r>
          </w:p>
        </w:tc>
        <w:tc>
          <w:tcPr>
            <w:tcW w:w="3499" w:type="dxa"/>
          </w:tcPr>
          <w:p w14:paraId="69F558B1" w14:textId="082144BA" w:rsidR="00972163" w:rsidRPr="00A4283F" w:rsidRDefault="002A34A3" w:rsidP="00E30DB2">
            <w:pPr>
              <w:jc w:val="both"/>
              <w:rPr>
                <w:rFonts w:cstheme="minorHAnsi"/>
              </w:rPr>
            </w:pPr>
            <w:r>
              <w:rPr>
                <w:rFonts w:cstheme="minorHAnsi"/>
              </w:rPr>
              <w:t>Amendement</w:t>
            </w:r>
            <w:r w:rsidR="00A46027">
              <w:rPr>
                <w:rFonts w:cstheme="minorHAnsi"/>
              </w:rPr>
              <w:t xml:space="preserve"> budgétaire</w:t>
            </w:r>
            <w:r>
              <w:rPr>
                <w:rFonts w:cstheme="minorHAnsi"/>
              </w:rPr>
              <w:t xml:space="preserve"> sur le programme 148</w:t>
            </w:r>
          </w:p>
        </w:tc>
        <w:tc>
          <w:tcPr>
            <w:tcW w:w="3499" w:type="dxa"/>
          </w:tcPr>
          <w:p w14:paraId="04587717" w14:textId="5DBFEAA8" w:rsidR="00972163" w:rsidRPr="00A4283F" w:rsidRDefault="00682CB5" w:rsidP="00E30DB2">
            <w:pPr>
              <w:jc w:val="both"/>
            </w:pPr>
            <w:r w:rsidRPr="00A4283F">
              <w:t>2019-</w:t>
            </w:r>
            <w:r w:rsidR="00972163" w:rsidRPr="00A4283F">
              <w:t>2021</w:t>
            </w:r>
          </w:p>
        </w:tc>
      </w:tr>
    </w:tbl>
    <w:p w14:paraId="4A6466D0" w14:textId="77777777" w:rsidR="002A34A3" w:rsidRDefault="002A34A3">
      <w:r>
        <w:br w:type="page"/>
      </w:r>
    </w:p>
    <w:tbl>
      <w:tblPr>
        <w:tblStyle w:val="Grilledutableau"/>
        <w:tblW w:w="0" w:type="auto"/>
        <w:tblLook w:val="04A0" w:firstRow="1" w:lastRow="0" w:firstColumn="1" w:lastColumn="0" w:noHBand="0" w:noVBand="1"/>
      </w:tblPr>
      <w:tblGrid>
        <w:gridCol w:w="3498"/>
        <w:gridCol w:w="3498"/>
        <w:gridCol w:w="3499"/>
        <w:gridCol w:w="3499"/>
      </w:tblGrid>
      <w:tr w:rsidR="007E4EC9" w14:paraId="3E78EE1A" w14:textId="77777777" w:rsidTr="007E4EC9">
        <w:tc>
          <w:tcPr>
            <w:tcW w:w="13994" w:type="dxa"/>
            <w:gridSpan w:val="4"/>
            <w:shd w:val="clear" w:color="auto" w:fill="FFD966" w:themeFill="accent4" w:themeFillTint="99"/>
          </w:tcPr>
          <w:p w14:paraId="677995E9" w14:textId="06B0DEEA" w:rsidR="007E4EC9" w:rsidRDefault="00F40A53" w:rsidP="007E4EC9">
            <w:pPr>
              <w:jc w:val="center"/>
            </w:pPr>
            <w:r>
              <w:lastRenderedPageBreak/>
              <w:br w:type="page"/>
            </w:r>
            <w:r w:rsidR="007E4EC9" w:rsidRPr="00E319EA">
              <w:rPr>
                <w:rFonts w:cstheme="minorHAnsi"/>
                <w:b/>
              </w:rPr>
              <w:t>Axe 5 : Renforcer la prévention et la lutte contre les violences sexuelles</w:t>
            </w:r>
            <w:r w:rsidR="00C03C84">
              <w:rPr>
                <w:rFonts w:cstheme="minorHAnsi"/>
                <w:b/>
              </w:rPr>
              <w:t>, le harcèlement</w:t>
            </w:r>
            <w:r w:rsidR="007E4EC9" w:rsidRPr="00E319EA">
              <w:rPr>
                <w:rFonts w:cstheme="minorHAnsi"/>
                <w:b/>
              </w:rPr>
              <w:t xml:space="preserve"> et </w:t>
            </w:r>
            <w:r w:rsidR="00C34D1F">
              <w:rPr>
                <w:rFonts w:cstheme="minorHAnsi"/>
                <w:b/>
              </w:rPr>
              <w:t xml:space="preserve">les agissements </w:t>
            </w:r>
            <w:r w:rsidR="007E4EC9" w:rsidRPr="00E319EA">
              <w:rPr>
                <w:rFonts w:cstheme="minorHAnsi"/>
                <w:b/>
              </w:rPr>
              <w:t>sexistes</w:t>
            </w:r>
          </w:p>
        </w:tc>
      </w:tr>
      <w:tr w:rsidR="0054296E" w14:paraId="7743C6AA" w14:textId="77777777" w:rsidTr="00F40A53">
        <w:trPr>
          <w:trHeight w:val="1691"/>
        </w:trPr>
        <w:tc>
          <w:tcPr>
            <w:tcW w:w="3498" w:type="dxa"/>
            <w:shd w:val="clear" w:color="auto" w:fill="FFF2CC" w:themeFill="accent4" w:themeFillTint="33"/>
          </w:tcPr>
          <w:p w14:paraId="405328D9" w14:textId="566AA9C0" w:rsidR="0054296E" w:rsidRPr="00E30DB2" w:rsidRDefault="0054296E" w:rsidP="00E30DB2">
            <w:pPr>
              <w:jc w:val="both"/>
              <w:rPr>
                <w:rFonts w:cstheme="minorHAnsi"/>
              </w:rPr>
            </w:pPr>
            <w:r w:rsidRPr="00E30DB2">
              <w:rPr>
                <w:rFonts w:cstheme="minorHAnsi"/>
              </w:rPr>
              <w:t>5.1. Faire de la lutte contre les violences sexuelles et sexistes un axe obligatoire des plans d’action « égalité professionnelle » des employeurs publics</w:t>
            </w:r>
          </w:p>
          <w:p w14:paraId="5152D8A9" w14:textId="77777777" w:rsidR="007E4EC9" w:rsidRPr="00E30DB2" w:rsidRDefault="007E4EC9" w:rsidP="00E30DB2">
            <w:pPr>
              <w:jc w:val="both"/>
              <w:rPr>
                <w:rFonts w:cstheme="minorHAnsi"/>
              </w:rPr>
            </w:pPr>
          </w:p>
          <w:p w14:paraId="724E9E56" w14:textId="77777777" w:rsidR="0054296E" w:rsidRPr="00E30DB2" w:rsidRDefault="0054296E" w:rsidP="00E30DB2">
            <w:pPr>
              <w:jc w:val="both"/>
              <w:rPr>
                <w:rFonts w:cstheme="minorHAnsi"/>
              </w:rPr>
            </w:pPr>
          </w:p>
        </w:tc>
        <w:tc>
          <w:tcPr>
            <w:tcW w:w="3498" w:type="dxa"/>
          </w:tcPr>
          <w:p w14:paraId="4D1D4C5E" w14:textId="77777777" w:rsidR="0054296E" w:rsidRPr="00E30DB2" w:rsidRDefault="00F277AB" w:rsidP="00E30DB2">
            <w:pPr>
              <w:jc w:val="both"/>
            </w:pPr>
            <w:r w:rsidRPr="00E30DB2">
              <w:rPr>
                <w:rFonts w:cstheme="minorHAnsi"/>
              </w:rPr>
              <w:t>Obligation d’un axe relatif à la prévention et la lutte contre l’ensemble des violences sexuelles et sexistes, qui précise le calendrier et les modalités de mise en œuvre des mesures</w:t>
            </w:r>
            <w:r w:rsidR="009915E0" w:rsidRPr="00E30DB2">
              <w:rPr>
                <w:rFonts w:cstheme="minorHAnsi"/>
              </w:rPr>
              <w:t>, ainsi que les indicateurs de suivi des signalements et de leur traitement</w:t>
            </w:r>
          </w:p>
        </w:tc>
        <w:tc>
          <w:tcPr>
            <w:tcW w:w="3499" w:type="dxa"/>
          </w:tcPr>
          <w:p w14:paraId="08C90F0F" w14:textId="77777777" w:rsidR="0054296E" w:rsidRDefault="0091600F" w:rsidP="00972163">
            <w:pPr>
              <w:jc w:val="both"/>
              <w:rPr>
                <w:rFonts w:cstheme="minorHAnsi"/>
              </w:rPr>
            </w:pPr>
            <w:r w:rsidRPr="00E30DB2">
              <w:rPr>
                <w:rFonts w:cstheme="minorHAnsi"/>
              </w:rPr>
              <w:t>P</w:t>
            </w:r>
            <w:r w:rsidR="009915E0" w:rsidRPr="00E30DB2">
              <w:rPr>
                <w:rFonts w:cstheme="minorHAnsi"/>
              </w:rPr>
              <w:t>lans d’action</w:t>
            </w:r>
          </w:p>
          <w:p w14:paraId="24536F98" w14:textId="77777777" w:rsidR="002A34A3" w:rsidRDefault="002A34A3" w:rsidP="00972163">
            <w:pPr>
              <w:jc w:val="both"/>
              <w:rPr>
                <w:rFonts w:cstheme="minorHAnsi"/>
              </w:rPr>
            </w:pPr>
          </w:p>
          <w:p w14:paraId="78078730" w14:textId="3DCC7423" w:rsidR="002A34A3" w:rsidRPr="00E30DB2" w:rsidRDefault="002A34A3" w:rsidP="00972163">
            <w:pPr>
              <w:jc w:val="both"/>
            </w:pPr>
          </w:p>
        </w:tc>
        <w:tc>
          <w:tcPr>
            <w:tcW w:w="3499" w:type="dxa"/>
          </w:tcPr>
          <w:p w14:paraId="53DA42DC" w14:textId="67902C98" w:rsidR="0054296E" w:rsidRPr="00E30DB2" w:rsidRDefault="009915E0" w:rsidP="00972163">
            <w:pPr>
              <w:jc w:val="both"/>
            </w:pPr>
            <w:r w:rsidRPr="00E30DB2">
              <w:t xml:space="preserve">Au plus tard le 31 décembre </w:t>
            </w:r>
            <w:r w:rsidR="00972163" w:rsidRPr="00E30DB2">
              <w:t>202</w:t>
            </w:r>
            <w:r w:rsidR="00972163">
              <w:t>0</w:t>
            </w:r>
          </w:p>
        </w:tc>
      </w:tr>
      <w:tr w:rsidR="00031AFA" w14:paraId="129B2C2B" w14:textId="77777777" w:rsidTr="00F40A53">
        <w:trPr>
          <w:trHeight w:val="1221"/>
        </w:trPr>
        <w:tc>
          <w:tcPr>
            <w:tcW w:w="3498" w:type="dxa"/>
            <w:vMerge w:val="restart"/>
            <w:shd w:val="clear" w:color="auto" w:fill="FFF2CC" w:themeFill="accent4" w:themeFillTint="33"/>
          </w:tcPr>
          <w:p w14:paraId="7E29524D" w14:textId="77777777" w:rsidR="00031AFA" w:rsidRPr="00E30DB2" w:rsidRDefault="00031AFA" w:rsidP="00E30DB2">
            <w:pPr>
              <w:jc w:val="both"/>
              <w:rPr>
                <w:rFonts w:cstheme="minorHAnsi"/>
              </w:rPr>
            </w:pPr>
            <w:r w:rsidRPr="00E30DB2">
              <w:rPr>
                <w:rFonts w:cstheme="minorHAnsi"/>
              </w:rPr>
              <w:t>5.2. Mettre en place un dispositif de signalement, de traitement et de suivi des violences sexuelles et sexistes auprès de chaque employeur public</w:t>
            </w:r>
          </w:p>
          <w:p w14:paraId="12475F91" w14:textId="77777777" w:rsidR="00031AFA" w:rsidRPr="00E30DB2" w:rsidRDefault="00031AFA" w:rsidP="00E30DB2">
            <w:pPr>
              <w:jc w:val="both"/>
              <w:rPr>
                <w:rFonts w:cstheme="minorHAnsi"/>
              </w:rPr>
            </w:pPr>
          </w:p>
        </w:tc>
        <w:tc>
          <w:tcPr>
            <w:tcW w:w="3498" w:type="dxa"/>
          </w:tcPr>
          <w:p w14:paraId="572A0070" w14:textId="3CEB76CB" w:rsidR="00031AFA" w:rsidRPr="00E30DB2" w:rsidRDefault="003221DC" w:rsidP="00972163">
            <w:pPr>
              <w:jc w:val="both"/>
            </w:pPr>
            <w:r w:rsidRPr="00E30DB2">
              <w:t>Mise en place d</w:t>
            </w:r>
            <w:r w:rsidR="00972163">
              <w:t>u</w:t>
            </w:r>
            <w:r w:rsidR="0050389D">
              <w:t xml:space="preserve"> </w:t>
            </w:r>
            <w:r w:rsidRPr="00E30DB2">
              <w:t xml:space="preserve">dispositif </w:t>
            </w:r>
          </w:p>
        </w:tc>
        <w:tc>
          <w:tcPr>
            <w:tcW w:w="3499" w:type="dxa"/>
          </w:tcPr>
          <w:p w14:paraId="2FECD616" w14:textId="77777777" w:rsidR="002A34A3" w:rsidRDefault="002A34A3" w:rsidP="00E30DB2">
            <w:pPr>
              <w:jc w:val="both"/>
              <w:rPr>
                <w:bCs/>
              </w:rPr>
            </w:pPr>
            <w:r>
              <w:rPr>
                <w:bCs/>
              </w:rPr>
              <w:t xml:space="preserve">Projet de loi Fonction publique </w:t>
            </w:r>
          </w:p>
          <w:p w14:paraId="7B3ACB62" w14:textId="77777777" w:rsidR="002A34A3" w:rsidRDefault="002A34A3" w:rsidP="00E30DB2">
            <w:pPr>
              <w:jc w:val="both"/>
              <w:rPr>
                <w:bCs/>
              </w:rPr>
            </w:pPr>
          </w:p>
          <w:p w14:paraId="015F9C76" w14:textId="77777777" w:rsidR="00B720B2" w:rsidRPr="00E30DB2" w:rsidRDefault="0078715E" w:rsidP="00E30DB2">
            <w:pPr>
              <w:jc w:val="both"/>
              <w:rPr>
                <w:bCs/>
              </w:rPr>
            </w:pPr>
            <w:r w:rsidRPr="00E30DB2">
              <w:rPr>
                <w:bCs/>
              </w:rPr>
              <w:t>Modalités pratiques définies dans les plans d’action</w:t>
            </w:r>
          </w:p>
          <w:p w14:paraId="4C021131" w14:textId="77777777" w:rsidR="0078715E" w:rsidRPr="00E30DB2" w:rsidRDefault="0078715E" w:rsidP="00E30DB2">
            <w:pPr>
              <w:jc w:val="both"/>
              <w:rPr>
                <w:bCs/>
              </w:rPr>
            </w:pPr>
          </w:p>
          <w:p w14:paraId="065A52BB" w14:textId="77777777" w:rsidR="00031AFA" w:rsidRPr="00E30DB2" w:rsidRDefault="003221DC" w:rsidP="00E30DB2">
            <w:pPr>
              <w:jc w:val="both"/>
            </w:pPr>
            <w:r w:rsidRPr="00E30DB2">
              <w:rPr>
                <w:bCs/>
              </w:rPr>
              <w:t>Charte de fonctionnement des dispositifs de signalement et de traitement des situations de violence élaborée par la DGAFP</w:t>
            </w:r>
          </w:p>
        </w:tc>
        <w:tc>
          <w:tcPr>
            <w:tcW w:w="3499" w:type="dxa"/>
          </w:tcPr>
          <w:p w14:paraId="199966CA" w14:textId="505E6050" w:rsidR="002A34A3" w:rsidRDefault="002A34A3" w:rsidP="00E30DB2">
            <w:pPr>
              <w:jc w:val="both"/>
            </w:pPr>
            <w:r>
              <w:t>2019</w:t>
            </w:r>
          </w:p>
          <w:p w14:paraId="2D091459" w14:textId="77777777" w:rsidR="002A34A3" w:rsidRDefault="002A34A3" w:rsidP="00E30DB2">
            <w:pPr>
              <w:jc w:val="both"/>
            </w:pPr>
          </w:p>
          <w:p w14:paraId="5EFFF73C" w14:textId="499AFDC8" w:rsidR="0078715E" w:rsidRPr="00E30DB2" w:rsidRDefault="0050389D" w:rsidP="00E30DB2">
            <w:pPr>
              <w:jc w:val="both"/>
            </w:pPr>
            <w:r>
              <w:t>A</w:t>
            </w:r>
            <w:r w:rsidR="00972163">
              <w:t>u plus tard le 31 décembre 2020</w:t>
            </w:r>
          </w:p>
          <w:p w14:paraId="1CBCADD6" w14:textId="77777777" w:rsidR="0078715E" w:rsidRPr="00E30DB2" w:rsidRDefault="0078715E" w:rsidP="00E30DB2">
            <w:pPr>
              <w:jc w:val="both"/>
            </w:pPr>
          </w:p>
          <w:p w14:paraId="2BB48F09" w14:textId="77777777" w:rsidR="00972163" w:rsidRDefault="00972163" w:rsidP="00E30DB2">
            <w:pPr>
              <w:jc w:val="both"/>
            </w:pPr>
          </w:p>
          <w:p w14:paraId="0D65B9F2" w14:textId="71B6DAFD" w:rsidR="0078715E" w:rsidRPr="00E30DB2" w:rsidRDefault="00487AA5" w:rsidP="00E30DB2">
            <w:pPr>
              <w:jc w:val="both"/>
            </w:pPr>
            <w:r>
              <w:t xml:space="preserve">Premier </w:t>
            </w:r>
            <w:r w:rsidR="00972163">
              <w:t xml:space="preserve"> semestre </w:t>
            </w:r>
            <w:r w:rsidR="0078715E" w:rsidRPr="00E30DB2">
              <w:t>2019</w:t>
            </w:r>
          </w:p>
        </w:tc>
      </w:tr>
      <w:tr w:rsidR="00031AFA" w14:paraId="50C35DEC" w14:textId="77777777" w:rsidTr="007E4EC9">
        <w:tc>
          <w:tcPr>
            <w:tcW w:w="3498" w:type="dxa"/>
            <w:vMerge/>
            <w:shd w:val="clear" w:color="auto" w:fill="FFF2CC" w:themeFill="accent4" w:themeFillTint="33"/>
          </w:tcPr>
          <w:p w14:paraId="65FA2A63" w14:textId="2BDDE8DA" w:rsidR="00031AFA" w:rsidRPr="00E30DB2" w:rsidRDefault="00031AFA" w:rsidP="00E30DB2">
            <w:pPr>
              <w:jc w:val="both"/>
              <w:rPr>
                <w:rFonts w:cstheme="minorHAnsi"/>
              </w:rPr>
            </w:pPr>
          </w:p>
        </w:tc>
        <w:tc>
          <w:tcPr>
            <w:tcW w:w="3498" w:type="dxa"/>
          </w:tcPr>
          <w:p w14:paraId="4938FDB8" w14:textId="77777777" w:rsidR="00B720B2" w:rsidRDefault="00B720B2" w:rsidP="00E30DB2">
            <w:pPr>
              <w:jc w:val="both"/>
            </w:pPr>
            <w:r w:rsidRPr="00E30DB2">
              <w:t xml:space="preserve">Présentation devant les instances compétentes d’un bilan des signalements et actions mises en œuvre </w:t>
            </w:r>
          </w:p>
          <w:p w14:paraId="0B3AD718" w14:textId="77777777" w:rsidR="00A46027" w:rsidRPr="00E30DB2" w:rsidRDefault="00A46027" w:rsidP="00E30DB2">
            <w:pPr>
              <w:jc w:val="both"/>
            </w:pPr>
          </w:p>
          <w:p w14:paraId="2A6A48F2" w14:textId="77777777" w:rsidR="00031AFA" w:rsidRPr="00E30DB2" w:rsidRDefault="00B720B2" w:rsidP="00E30DB2">
            <w:pPr>
              <w:jc w:val="both"/>
            </w:pPr>
            <w:r w:rsidRPr="00E30DB2">
              <w:t xml:space="preserve">Désignation d’un référent « violences » au sein des instances de concertation compétentes sur les questions collectives </w:t>
            </w:r>
          </w:p>
        </w:tc>
        <w:tc>
          <w:tcPr>
            <w:tcW w:w="3499" w:type="dxa"/>
          </w:tcPr>
          <w:p w14:paraId="4A7D423B" w14:textId="77777777" w:rsidR="00031AFA" w:rsidRPr="00E30DB2" w:rsidRDefault="00B720B2" w:rsidP="00E30DB2">
            <w:pPr>
              <w:jc w:val="both"/>
            </w:pPr>
            <w:r w:rsidRPr="00E30DB2">
              <w:rPr>
                <w:rFonts w:cstheme="minorHAnsi"/>
                <w:bCs/>
              </w:rPr>
              <w:t xml:space="preserve">Modification des textes instances de concertation </w:t>
            </w:r>
          </w:p>
        </w:tc>
        <w:tc>
          <w:tcPr>
            <w:tcW w:w="3499" w:type="dxa"/>
          </w:tcPr>
          <w:p w14:paraId="4262B4DD" w14:textId="4FA1CFED" w:rsidR="00031AFA" w:rsidRPr="00E30DB2" w:rsidRDefault="002A34A3" w:rsidP="00E30DB2">
            <w:pPr>
              <w:jc w:val="both"/>
            </w:pPr>
            <w:r>
              <w:t xml:space="preserve">Dès </w:t>
            </w:r>
            <w:r w:rsidR="003221DC" w:rsidRPr="00E30DB2">
              <w:t>2019</w:t>
            </w:r>
          </w:p>
          <w:p w14:paraId="5FC15D8C" w14:textId="77777777" w:rsidR="0078715E" w:rsidRPr="00E30DB2" w:rsidRDefault="0078715E" w:rsidP="00E30DB2">
            <w:pPr>
              <w:jc w:val="both"/>
            </w:pPr>
          </w:p>
          <w:p w14:paraId="5D71A69E" w14:textId="77777777" w:rsidR="00C6268E" w:rsidRDefault="00C6268E" w:rsidP="00E30DB2">
            <w:pPr>
              <w:jc w:val="both"/>
            </w:pPr>
          </w:p>
          <w:p w14:paraId="6C11F2C2" w14:textId="77777777" w:rsidR="00C6268E" w:rsidRDefault="00C6268E" w:rsidP="00E30DB2">
            <w:pPr>
              <w:jc w:val="both"/>
            </w:pPr>
          </w:p>
          <w:p w14:paraId="6B5A7401" w14:textId="77777777" w:rsidR="00A46027" w:rsidRDefault="00A46027" w:rsidP="00E30DB2">
            <w:pPr>
              <w:jc w:val="both"/>
            </w:pPr>
          </w:p>
          <w:p w14:paraId="182EA6D8" w14:textId="0DB2A266" w:rsidR="00B720B2" w:rsidRPr="00E30DB2" w:rsidRDefault="002A34A3" w:rsidP="00E30DB2">
            <w:pPr>
              <w:jc w:val="both"/>
            </w:pPr>
            <w:r>
              <w:t xml:space="preserve">Dès </w:t>
            </w:r>
            <w:r w:rsidR="00F7668F">
              <w:t>2019</w:t>
            </w:r>
          </w:p>
        </w:tc>
      </w:tr>
      <w:tr w:rsidR="0054296E" w14:paraId="08FE631E" w14:textId="77777777" w:rsidTr="00F40A53">
        <w:trPr>
          <w:trHeight w:val="1907"/>
        </w:trPr>
        <w:tc>
          <w:tcPr>
            <w:tcW w:w="3498" w:type="dxa"/>
            <w:shd w:val="clear" w:color="auto" w:fill="FFF2CC" w:themeFill="accent4" w:themeFillTint="33"/>
          </w:tcPr>
          <w:p w14:paraId="2B3160D6" w14:textId="5AC323A2" w:rsidR="0054296E" w:rsidRPr="00E30DB2" w:rsidRDefault="0054296E" w:rsidP="00A46027">
            <w:pPr>
              <w:jc w:val="both"/>
              <w:rPr>
                <w:rFonts w:cstheme="minorHAnsi"/>
              </w:rPr>
            </w:pPr>
            <w:r w:rsidRPr="00E30DB2">
              <w:rPr>
                <w:rFonts w:cstheme="minorHAnsi"/>
              </w:rPr>
              <w:lastRenderedPageBreak/>
              <w:t xml:space="preserve">5.3. Former les publics prioritaires (encadrants, agents des services RH, représentants du personnel, assistants sociaux, élèves des écoles de service public) à la prévention et la lutte contre les violences sexuelles et sexistes </w:t>
            </w:r>
          </w:p>
        </w:tc>
        <w:tc>
          <w:tcPr>
            <w:tcW w:w="3498" w:type="dxa"/>
          </w:tcPr>
          <w:p w14:paraId="205CB601" w14:textId="77777777" w:rsidR="0054296E" w:rsidRPr="00E30DB2" w:rsidRDefault="00031AFA" w:rsidP="00E30DB2">
            <w:pPr>
              <w:jc w:val="both"/>
            </w:pPr>
            <w:r w:rsidRPr="00E30DB2">
              <w:rPr>
                <w:rFonts w:cstheme="minorHAnsi"/>
              </w:rPr>
              <w:t>Plan de formation à la prévention des violences sexuelles et sexistes dans la fonction publique et les écoles de service public</w:t>
            </w:r>
          </w:p>
        </w:tc>
        <w:tc>
          <w:tcPr>
            <w:tcW w:w="3499" w:type="dxa"/>
          </w:tcPr>
          <w:p w14:paraId="1FBF0A0D" w14:textId="77777777" w:rsidR="00031AFA" w:rsidRPr="00E30DB2" w:rsidRDefault="00F87A39" w:rsidP="00E30DB2">
            <w:pPr>
              <w:jc w:val="both"/>
            </w:pPr>
            <w:r w:rsidRPr="00E30DB2">
              <w:rPr>
                <w:rFonts w:cstheme="minorHAnsi"/>
              </w:rPr>
              <w:t>L</w:t>
            </w:r>
            <w:r w:rsidR="00031AFA" w:rsidRPr="00E30DB2">
              <w:rPr>
                <w:rFonts w:cstheme="minorHAnsi"/>
              </w:rPr>
              <w:t>es plans d’action « égalité professionnelle » précisent le calendrier de déploiement</w:t>
            </w:r>
          </w:p>
        </w:tc>
        <w:tc>
          <w:tcPr>
            <w:tcW w:w="3499" w:type="dxa"/>
          </w:tcPr>
          <w:p w14:paraId="7EF14559" w14:textId="6441A3EF" w:rsidR="0054296E" w:rsidRPr="00E30DB2" w:rsidRDefault="003D1D3A" w:rsidP="00237A69">
            <w:pPr>
              <w:jc w:val="both"/>
            </w:pPr>
            <w:r w:rsidRPr="00E30DB2">
              <w:t xml:space="preserve"> </w:t>
            </w:r>
            <w:r w:rsidR="00946C9A">
              <w:t>Calendrier inscrit dans les plans d’action</w:t>
            </w:r>
          </w:p>
        </w:tc>
      </w:tr>
      <w:tr w:rsidR="0054296E" w14:paraId="592F2B83" w14:textId="77777777" w:rsidTr="007E4EC9">
        <w:tc>
          <w:tcPr>
            <w:tcW w:w="3498" w:type="dxa"/>
            <w:shd w:val="clear" w:color="auto" w:fill="FFF2CC" w:themeFill="accent4" w:themeFillTint="33"/>
          </w:tcPr>
          <w:p w14:paraId="222D2C13" w14:textId="77777777" w:rsidR="007E4EC9" w:rsidRPr="00E30DB2" w:rsidRDefault="007E4EC9" w:rsidP="00E30DB2">
            <w:pPr>
              <w:jc w:val="both"/>
              <w:rPr>
                <w:rFonts w:cstheme="minorHAnsi"/>
              </w:rPr>
            </w:pPr>
            <w:r w:rsidRPr="00E30DB2">
              <w:rPr>
                <w:rFonts w:cstheme="minorHAnsi"/>
              </w:rPr>
              <w:t xml:space="preserve">5.4 Accompagner les agents victimes de violences </w:t>
            </w:r>
          </w:p>
          <w:p w14:paraId="3A0094E4" w14:textId="77777777" w:rsidR="0054296E" w:rsidRPr="00E30DB2" w:rsidRDefault="0054296E" w:rsidP="00E30DB2">
            <w:pPr>
              <w:jc w:val="both"/>
              <w:rPr>
                <w:rFonts w:cstheme="minorHAnsi"/>
              </w:rPr>
            </w:pPr>
          </w:p>
        </w:tc>
        <w:tc>
          <w:tcPr>
            <w:tcW w:w="3498" w:type="dxa"/>
          </w:tcPr>
          <w:p w14:paraId="435CCD50" w14:textId="77777777" w:rsidR="0054296E" w:rsidRPr="00E30DB2" w:rsidRDefault="00031AFA" w:rsidP="00E30DB2">
            <w:pPr>
              <w:pStyle w:val="Standard"/>
              <w:spacing w:line="216" w:lineRule="auto"/>
              <w:ind w:right="20"/>
              <w:jc w:val="both"/>
              <w:rPr>
                <w:color w:val="auto"/>
              </w:rPr>
            </w:pPr>
            <w:r w:rsidRPr="00E30DB2">
              <w:rPr>
                <w:rFonts w:asciiTheme="minorHAnsi" w:hAnsiTheme="minorHAnsi" w:cstheme="minorHAnsi"/>
                <w:color w:val="auto"/>
                <w:sz w:val="22"/>
                <w:szCs w:val="22"/>
                <w:lang w:val="fr-FR"/>
              </w:rPr>
              <w:t xml:space="preserve">Assurer le soutien et l’accompagnement des agents victimes d’actes de violences sexuelles, de harcèlement ou d’agissements sexistes.  </w:t>
            </w:r>
          </w:p>
        </w:tc>
        <w:tc>
          <w:tcPr>
            <w:tcW w:w="3499" w:type="dxa"/>
          </w:tcPr>
          <w:p w14:paraId="5A3D51C6" w14:textId="091B6AD1" w:rsidR="0054296E" w:rsidRPr="00E30DB2" w:rsidRDefault="0054296E" w:rsidP="00E30DB2">
            <w:pPr>
              <w:jc w:val="both"/>
            </w:pPr>
          </w:p>
        </w:tc>
        <w:tc>
          <w:tcPr>
            <w:tcW w:w="3499" w:type="dxa"/>
          </w:tcPr>
          <w:p w14:paraId="7D76FF5A" w14:textId="7CCB6A26" w:rsidR="0054296E" w:rsidRPr="00E30DB2" w:rsidRDefault="00931541" w:rsidP="00E30DB2">
            <w:pPr>
              <w:jc w:val="both"/>
            </w:pPr>
            <w:r>
              <w:t>Permanent</w:t>
            </w:r>
          </w:p>
        </w:tc>
      </w:tr>
      <w:tr w:rsidR="007E4EC9" w14:paraId="23321F73" w14:textId="77777777" w:rsidTr="007E4EC9">
        <w:tc>
          <w:tcPr>
            <w:tcW w:w="3498" w:type="dxa"/>
            <w:shd w:val="clear" w:color="auto" w:fill="FFF2CC" w:themeFill="accent4" w:themeFillTint="33"/>
          </w:tcPr>
          <w:p w14:paraId="01A51856" w14:textId="77777777" w:rsidR="007E4EC9" w:rsidRPr="00E30DB2" w:rsidRDefault="007E4EC9" w:rsidP="00E30DB2">
            <w:pPr>
              <w:jc w:val="both"/>
              <w:rPr>
                <w:rFonts w:cstheme="minorHAnsi"/>
              </w:rPr>
            </w:pPr>
            <w:r w:rsidRPr="00E30DB2">
              <w:rPr>
                <w:rFonts w:cstheme="minorHAnsi"/>
              </w:rPr>
              <w:t>5.4  Responsabiliser les employeurs dans la conduite de l’action disciplinaire</w:t>
            </w:r>
          </w:p>
          <w:p w14:paraId="35A34341" w14:textId="77777777" w:rsidR="007E4EC9" w:rsidRPr="00E30DB2" w:rsidRDefault="007E4EC9" w:rsidP="00E30DB2">
            <w:pPr>
              <w:jc w:val="both"/>
              <w:rPr>
                <w:rFonts w:cstheme="minorHAnsi"/>
              </w:rPr>
            </w:pPr>
          </w:p>
        </w:tc>
        <w:tc>
          <w:tcPr>
            <w:tcW w:w="3498" w:type="dxa"/>
          </w:tcPr>
          <w:p w14:paraId="5357EE4E" w14:textId="0725F459" w:rsidR="007E4EC9" w:rsidRPr="00E30DB2" w:rsidRDefault="00031AFA" w:rsidP="00E30DB2">
            <w:pPr>
              <w:jc w:val="both"/>
            </w:pPr>
            <w:r w:rsidRPr="00E30DB2">
              <w:t>Mise en œuvre des procédures disciplinaires (</w:t>
            </w:r>
            <w:r w:rsidRPr="00E30DB2">
              <w:rPr>
                <w:rFonts w:cstheme="minorHAnsi"/>
              </w:rPr>
              <w:t>loi n°83-634 du 13 juillet 1983 portant droits et obligations</w:t>
            </w:r>
            <w:r w:rsidR="00103B73">
              <w:rPr>
                <w:rFonts w:cstheme="minorHAnsi"/>
              </w:rPr>
              <w:t xml:space="preserve"> des fonctionnaires) et </w:t>
            </w:r>
            <w:r w:rsidRPr="00E30DB2">
              <w:rPr>
                <w:rFonts w:cstheme="minorHAnsi"/>
              </w:rPr>
              <w:t>des procédures répressives prévues par le code pénal.</w:t>
            </w:r>
          </w:p>
        </w:tc>
        <w:tc>
          <w:tcPr>
            <w:tcW w:w="3499" w:type="dxa"/>
          </w:tcPr>
          <w:p w14:paraId="22426589" w14:textId="77777777" w:rsidR="00031AFA" w:rsidRPr="00E30DB2" w:rsidRDefault="00031AFA" w:rsidP="00E30DB2">
            <w:pPr>
              <w:jc w:val="both"/>
            </w:pPr>
            <w:r w:rsidRPr="00E30DB2">
              <w:rPr>
                <w:rFonts w:cstheme="minorHAnsi"/>
              </w:rPr>
              <w:t>Guide de la procédure disciplinaire, accompagné de cas pratiques</w:t>
            </w:r>
          </w:p>
        </w:tc>
        <w:tc>
          <w:tcPr>
            <w:tcW w:w="3499" w:type="dxa"/>
          </w:tcPr>
          <w:p w14:paraId="66714A09" w14:textId="1FA8B5D3" w:rsidR="007E4EC9" w:rsidRPr="00E30DB2" w:rsidRDefault="00103B73" w:rsidP="00C6268E">
            <w:pPr>
              <w:jc w:val="both"/>
            </w:pPr>
            <w:r>
              <w:t>Premier</w:t>
            </w:r>
            <w:r w:rsidR="00031AFA" w:rsidRPr="00E30DB2">
              <w:t xml:space="preserve"> semestre 2019.</w:t>
            </w:r>
          </w:p>
        </w:tc>
      </w:tr>
    </w:tbl>
    <w:p w14:paraId="54ED52FF" w14:textId="77777777" w:rsidR="00D14A62" w:rsidRDefault="00D14A62" w:rsidP="00B407BB"/>
    <w:sectPr w:rsidR="00D14A62" w:rsidSect="0054296E">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5020A" w14:textId="77777777" w:rsidR="000D74AE" w:rsidRDefault="000D74AE" w:rsidP="000A64DD">
      <w:pPr>
        <w:spacing w:after="0" w:line="240" w:lineRule="auto"/>
      </w:pPr>
      <w:r>
        <w:separator/>
      </w:r>
    </w:p>
  </w:endnote>
  <w:endnote w:type="continuationSeparator" w:id="0">
    <w:p w14:paraId="6CE43C0D" w14:textId="77777777" w:rsidR="000D74AE" w:rsidRDefault="000D74AE" w:rsidP="000A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FDA5D" w14:textId="77777777" w:rsidR="000D74AE" w:rsidRDefault="000D74AE" w:rsidP="000A64DD">
      <w:pPr>
        <w:spacing w:after="0" w:line="240" w:lineRule="auto"/>
      </w:pPr>
      <w:r>
        <w:separator/>
      </w:r>
    </w:p>
  </w:footnote>
  <w:footnote w:type="continuationSeparator" w:id="0">
    <w:p w14:paraId="7913BA6C" w14:textId="77777777" w:rsidR="000D74AE" w:rsidRDefault="000D74AE" w:rsidP="000A6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5303A" w14:textId="402A8E3C" w:rsidR="000A64DD" w:rsidRPr="000A64DD" w:rsidRDefault="000A64DD">
    <w:pPr>
      <w:pStyle w:val="En-tte"/>
      <w:rPr>
        <w:b/>
      </w:rPr>
    </w:pPr>
    <w:r w:rsidRPr="000A64DD">
      <w:rPr>
        <w:b/>
      </w:rPr>
      <w:t>Annexe 1 - Tableau des textes, actions et calendrier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12578"/>
    <w:multiLevelType w:val="multilevel"/>
    <w:tmpl w:val="67C0A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AD"/>
    <w:rsid w:val="00031AFA"/>
    <w:rsid w:val="00066DA7"/>
    <w:rsid w:val="00072B2A"/>
    <w:rsid w:val="00082557"/>
    <w:rsid w:val="000A64DD"/>
    <w:rsid w:val="000D74AE"/>
    <w:rsid w:val="000E6EA9"/>
    <w:rsid w:val="00103B73"/>
    <w:rsid w:val="00130463"/>
    <w:rsid w:val="001530B0"/>
    <w:rsid w:val="001710B7"/>
    <w:rsid w:val="001B02C5"/>
    <w:rsid w:val="001E51F3"/>
    <w:rsid w:val="001F369B"/>
    <w:rsid w:val="0021338F"/>
    <w:rsid w:val="00222962"/>
    <w:rsid w:val="0023003D"/>
    <w:rsid w:val="0023468C"/>
    <w:rsid w:val="00237A69"/>
    <w:rsid w:val="00273845"/>
    <w:rsid w:val="00273A76"/>
    <w:rsid w:val="00287671"/>
    <w:rsid w:val="002A2718"/>
    <w:rsid w:val="002A34A3"/>
    <w:rsid w:val="002B78FC"/>
    <w:rsid w:val="002D3DDB"/>
    <w:rsid w:val="002E0120"/>
    <w:rsid w:val="002E024A"/>
    <w:rsid w:val="002E5D26"/>
    <w:rsid w:val="00311F69"/>
    <w:rsid w:val="00317016"/>
    <w:rsid w:val="003221DC"/>
    <w:rsid w:val="00366847"/>
    <w:rsid w:val="003D0E29"/>
    <w:rsid w:val="003D1D3A"/>
    <w:rsid w:val="003E3658"/>
    <w:rsid w:val="003F26BC"/>
    <w:rsid w:val="0042643F"/>
    <w:rsid w:val="00467A80"/>
    <w:rsid w:val="00487AA5"/>
    <w:rsid w:val="004C086A"/>
    <w:rsid w:val="004E5BD6"/>
    <w:rsid w:val="0050389D"/>
    <w:rsid w:val="00523D1B"/>
    <w:rsid w:val="0054296E"/>
    <w:rsid w:val="005835A0"/>
    <w:rsid w:val="00585CF0"/>
    <w:rsid w:val="005B6FC7"/>
    <w:rsid w:val="00637012"/>
    <w:rsid w:val="00682CB5"/>
    <w:rsid w:val="0069389E"/>
    <w:rsid w:val="006C0B00"/>
    <w:rsid w:val="006D4DE5"/>
    <w:rsid w:val="006E5D18"/>
    <w:rsid w:val="006F30A1"/>
    <w:rsid w:val="00740751"/>
    <w:rsid w:val="00747901"/>
    <w:rsid w:val="0078715E"/>
    <w:rsid w:val="00796470"/>
    <w:rsid w:val="007C4EAB"/>
    <w:rsid w:val="007E48BD"/>
    <w:rsid w:val="007E4EC9"/>
    <w:rsid w:val="00855A9F"/>
    <w:rsid w:val="008D62AD"/>
    <w:rsid w:val="008E6355"/>
    <w:rsid w:val="0091600F"/>
    <w:rsid w:val="00931541"/>
    <w:rsid w:val="00946C9A"/>
    <w:rsid w:val="00953BFE"/>
    <w:rsid w:val="00972163"/>
    <w:rsid w:val="009915E0"/>
    <w:rsid w:val="009B52F9"/>
    <w:rsid w:val="009E07FB"/>
    <w:rsid w:val="00A2613D"/>
    <w:rsid w:val="00A36E28"/>
    <w:rsid w:val="00A4283F"/>
    <w:rsid w:val="00A46027"/>
    <w:rsid w:val="00A70DAD"/>
    <w:rsid w:val="00A773AD"/>
    <w:rsid w:val="00A9647A"/>
    <w:rsid w:val="00AE02C6"/>
    <w:rsid w:val="00B00627"/>
    <w:rsid w:val="00B407BB"/>
    <w:rsid w:val="00B409FE"/>
    <w:rsid w:val="00B720B2"/>
    <w:rsid w:val="00B93A5C"/>
    <w:rsid w:val="00B94B6E"/>
    <w:rsid w:val="00BF1797"/>
    <w:rsid w:val="00C03C84"/>
    <w:rsid w:val="00C34D1F"/>
    <w:rsid w:val="00C36A9D"/>
    <w:rsid w:val="00C6268E"/>
    <w:rsid w:val="00C65E3A"/>
    <w:rsid w:val="00C70883"/>
    <w:rsid w:val="00D14A62"/>
    <w:rsid w:val="00D21C2D"/>
    <w:rsid w:val="00D369F0"/>
    <w:rsid w:val="00D41774"/>
    <w:rsid w:val="00D55A75"/>
    <w:rsid w:val="00D86D69"/>
    <w:rsid w:val="00DC36E1"/>
    <w:rsid w:val="00DE121E"/>
    <w:rsid w:val="00E11AE3"/>
    <w:rsid w:val="00E2362C"/>
    <w:rsid w:val="00E26709"/>
    <w:rsid w:val="00E30DB2"/>
    <w:rsid w:val="00E35EC0"/>
    <w:rsid w:val="00E7398D"/>
    <w:rsid w:val="00E91775"/>
    <w:rsid w:val="00EB2072"/>
    <w:rsid w:val="00EF3C67"/>
    <w:rsid w:val="00F277AB"/>
    <w:rsid w:val="00F40A53"/>
    <w:rsid w:val="00F7668F"/>
    <w:rsid w:val="00F77D5D"/>
    <w:rsid w:val="00F87A39"/>
    <w:rsid w:val="00FB6454"/>
    <w:rsid w:val="00FB6E18"/>
    <w:rsid w:val="00FD3CE6"/>
    <w:rsid w:val="00FE4225"/>
    <w:rsid w:val="00FF2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5D72"/>
  <w15:chartTrackingRefBased/>
  <w15:docId w15:val="{28EA6508-EF40-4046-81C1-D1DF0A9D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2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296E"/>
    <w:pPr>
      <w:suppressAutoHyphens/>
      <w:spacing w:after="0" w:line="240" w:lineRule="auto"/>
      <w:ind w:left="720"/>
      <w:contextualSpacing/>
      <w:jc w:val="both"/>
    </w:pPr>
    <w:rPr>
      <w:rFonts w:ascii="Times New Roman" w:eastAsia="Times New Roman" w:hAnsi="Times New Roman" w:cs="Times New Roman"/>
      <w:sz w:val="24"/>
      <w:szCs w:val="20"/>
      <w:lang w:eastAsia="zh-CN"/>
    </w:rPr>
  </w:style>
  <w:style w:type="paragraph" w:styleId="Sansinterligne">
    <w:name w:val="No Spacing"/>
    <w:aliases w:val="Sans style"/>
    <w:uiPriority w:val="1"/>
    <w:qFormat/>
    <w:rsid w:val="0042643F"/>
    <w:pPr>
      <w:spacing w:after="0" w:line="240" w:lineRule="auto"/>
    </w:pPr>
    <w:rPr>
      <w:sz w:val="24"/>
    </w:rPr>
  </w:style>
  <w:style w:type="paragraph" w:customStyle="1" w:styleId="Standard">
    <w:name w:val="Standard"/>
    <w:rsid w:val="00031AFA"/>
    <w:pPr>
      <w:suppressAutoHyphens/>
      <w:spacing w:after="0" w:line="240" w:lineRule="auto"/>
    </w:pPr>
    <w:rPr>
      <w:rFonts w:ascii="Calibri" w:eastAsia="Calibri" w:hAnsi="Calibri" w:cs="Calibri"/>
      <w:color w:val="000000"/>
      <w:sz w:val="20"/>
      <w:szCs w:val="20"/>
      <w:u w:color="000000"/>
      <w:lang w:val="en-US" w:eastAsia="fr-FR"/>
    </w:rPr>
  </w:style>
  <w:style w:type="paragraph" w:styleId="Textedebulles">
    <w:name w:val="Balloon Text"/>
    <w:basedOn w:val="Normal"/>
    <w:link w:val="TextedebullesCar"/>
    <w:uiPriority w:val="99"/>
    <w:semiHidden/>
    <w:unhideWhenUsed/>
    <w:rsid w:val="00FF27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2732"/>
    <w:rPr>
      <w:rFonts w:ascii="Segoe UI" w:hAnsi="Segoe UI" w:cs="Segoe UI"/>
      <w:sz w:val="18"/>
      <w:szCs w:val="18"/>
    </w:rPr>
  </w:style>
  <w:style w:type="character" w:styleId="Marquedecommentaire">
    <w:name w:val="annotation reference"/>
    <w:basedOn w:val="Policepardfaut"/>
    <w:uiPriority w:val="99"/>
    <w:semiHidden/>
    <w:unhideWhenUsed/>
    <w:rsid w:val="00287671"/>
    <w:rPr>
      <w:sz w:val="16"/>
      <w:szCs w:val="16"/>
    </w:rPr>
  </w:style>
  <w:style w:type="paragraph" w:styleId="Commentaire">
    <w:name w:val="annotation text"/>
    <w:basedOn w:val="Normal"/>
    <w:link w:val="CommentaireCar"/>
    <w:uiPriority w:val="99"/>
    <w:semiHidden/>
    <w:unhideWhenUsed/>
    <w:rsid w:val="00287671"/>
    <w:pPr>
      <w:spacing w:line="240" w:lineRule="auto"/>
    </w:pPr>
    <w:rPr>
      <w:sz w:val="20"/>
      <w:szCs w:val="20"/>
    </w:rPr>
  </w:style>
  <w:style w:type="character" w:customStyle="1" w:styleId="CommentaireCar">
    <w:name w:val="Commentaire Car"/>
    <w:basedOn w:val="Policepardfaut"/>
    <w:link w:val="Commentaire"/>
    <w:uiPriority w:val="99"/>
    <w:semiHidden/>
    <w:rsid w:val="00287671"/>
    <w:rPr>
      <w:sz w:val="20"/>
      <w:szCs w:val="20"/>
    </w:rPr>
  </w:style>
  <w:style w:type="paragraph" w:styleId="Objetducommentaire">
    <w:name w:val="annotation subject"/>
    <w:basedOn w:val="Commentaire"/>
    <w:next w:val="Commentaire"/>
    <w:link w:val="ObjetducommentaireCar"/>
    <w:uiPriority w:val="99"/>
    <w:semiHidden/>
    <w:unhideWhenUsed/>
    <w:rsid w:val="00287671"/>
    <w:rPr>
      <w:b/>
      <w:bCs/>
    </w:rPr>
  </w:style>
  <w:style w:type="character" w:customStyle="1" w:styleId="ObjetducommentaireCar">
    <w:name w:val="Objet du commentaire Car"/>
    <w:basedOn w:val="CommentaireCar"/>
    <w:link w:val="Objetducommentaire"/>
    <w:uiPriority w:val="99"/>
    <w:semiHidden/>
    <w:rsid w:val="00287671"/>
    <w:rPr>
      <w:b/>
      <w:bCs/>
      <w:sz w:val="20"/>
      <w:szCs w:val="20"/>
    </w:rPr>
  </w:style>
  <w:style w:type="paragraph" w:styleId="En-tte">
    <w:name w:val="header"/>
    <w:basedOn w:val="Normal"/>
    <w:link w:val="En-tteCar"/>
    <w:uiPriority w:val="99"/>
    <w:unhideWhenUsed/>
    <w:rsid w:val="000A64DD"/>
    <w:pPr>
      <w:tabs>
        <w:tab w:val="center" w:pos="4536"/>
        <w:tab w:val="right" w:pos="9072"/>
      </w:tabs>
      <w:spacing w:after="0" w:line="240" w:lineRule="auto"/>
    </w:pPr>
  </w:style>
  <w:style w:type="character" w:customStyle="1" w:styleId="En-tteCar">
    <w:name w:val="En-tête Car"/>
    <w:basedOn w:val="Policepardfaut"/>
    <w:link w:val="En-tte"/>
    <w:uiPriority w:val="99"/>
    <w:rsid w:val="000A64DD"/>
  </w:style>
  <w:style w:type="paragraph" w:styleId="Pieddepage">
    <w:name w:val="footer"/>
    <w:basedOn w:val="Normal"/>
    <w:link w:val="PieddepageCar"/>
    <w:uiPriority w:val="99"/>
    <w:unhideWhenUsed/>
    <w:rsid w:val="000A64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37DBD-CA42-464B-8A7D-F4769768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2612</Words>
  <Characters>14367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KEROYANT Etienne</dc:creator>
  <cp:keywords/>
  <dc:description/>
  <cp:lastModifiedBy>KRYKWINSKI Caroline</cp:lastModifiedBy>
  <cp:revision>3</cp:revision>
  <cp:lastPrinted>2018-10-23T19:34:00Z</cp:lastPrinted>
  <dcterms:created xsi:type="dcterms:W3CDTF">2018-10-30T14:37:00Z</dcterms:created>
  <dcterms:modified xsi:type="dcterms:W3CDTF">2018-10-30T14:38:00Z</dcterms:modified>
</cp:coreProperties>
</file>