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D39C" w14:textId="5A28CFFF" w:rsidR="00AD37C9" w:rsidRDefault="004A0423" w:rsidP="007E126D">
      <w:pPr>
        <w:pStyle w:val="Titre1"/>
        <w:jc w:val="center"/>
      </w:pPr>
      <w:r>
        <w:t>L</w:t>
      </w:r>
      <w:r w:rsidR="00AD37C9">
        <w:t>ignes directrices de gestion « mobilité »</w:t>
      </w:r>
    </w:p>
    <w:p w14:paraId="7578D3A5" w14:textId="77777777" w:rsidR="00AD37C9" w:rsidRDefault="00AD37C9" w:rsidP="00AD37C9">
      <w:pPr>
        <w:tabs>
          <w:tab w:val="left" w:pos="6900"/>
        </w:tabs>
      </w:pPr>
      <w:r>
        <w:tab/>
      </w:r>
    </w:p>
    <w:p w14:paraId="375C6830" w14:textId="77777777" w:rsidR="00AD37C9" w:rsidRDefault="00AD37C9" w:rsidP="00AD37C9">
      <w:pPr>
        <w:jc w:val="both"/>
      </w:pPr>
    </w:p>
    <w:p w14:paraId="6F15CE07" w14:textId="2A9355AD" w:rsidR="00AD37C9" w:rsidRDefault="00AD37C9" w:rsidP="00AD37C9">
      <w:pPr>
        <w:jc w:val="both"/>
      </w:pPr>
      <w:r>
        <w:t>Introduction</w:t>
      </w:r>
      <w:r w:rsidR="0050573C">
        <w:t xml:space="preserve"> </w:t>
      </w:r>
    </w:p>
    <w:p w14:paraId="69C8AD20" w14:textId="77777777" w:rsidR="00261B3A" w:rsidRDefault="00261B3A" w:rsidP="00261B3A">
      <w:pPr>
        <w:jc w:val="both"/>
        <w:rPr>
          <w:i/>
        </w:rPr>
      </w:pPr>
    </w:p>
    <w:p w14:paraId="10962E67" w14:textId="27920E83" w:rsidR="00860CA6" w:rsidRPr="00556C32" w:rsidRDefault="00860CA6" w:rsidP="00860CA6">
      <w:pPr>
        <w:spacing w:after="120"/>
        <w:jc w:val="both"/>
        <w:rPr>
          <w:rFonts w:ascii="Times New Roman" w:eastAsia="Times New Roman" w:hAnsi="Times New Roman" w:cs="Times New Roman"/>
          <w:lang w:val="x-none" w:eastAsia="x-none"/>
        </w:rPr>
      </w:pPr>
      <w:r w:rsidRPr="00556C32">
        <w:rPr>
          <w:rFonts w:ascii="Times New Roman" w:eastAsia="Times New Roman" w:hAnsi="Times New Roman" w:cs="Times New Roman"/>
          <w:lang w:val="x-none" w:eastAsia="x-none"/>
        </w:rPr>
        <w:t xml:space="preserve">En application de l’article 18 de la loi du 11 janvier 1984 susvisée, </w:t>
      </w:r>
      <w:r>
        <w:rPr>
          <w:rFonts w:ascii="Times New Roman" w:eastAsia="Times New Roman" w:hAnsi="Times New Roman" w:cs="Times New Roman"/>
          <w:lang w:eastAsia="x-none"/>
        </w:rPr>
        <w:t xml:space="preserve">le présent document fixe, </w:t>
      </w:r>
      <w:r w:rsidRPr="00556C32">
        <w:rPr>
          <w:rFonts w:ascii="Times New Roman" w:eastAsia="Times New Roman" w:hAnsi="Times New Roman" w:cs="Times New Roman"/>
          <w:lang w:val="x-none" w:eastAsia="x-none"/>
        </w:rPr>
        <w:t xml:space="preserve"> dans les conditions prévues au décret</w:t>
      </w:r>
      <w:r>
        <w:rPr>
          <w:rFonts w:ascii="Times New Roman" w:eastAsia="Times New Roman" w:hAnsi="Times New Roman" w:cs="Times New Roman"/>
          <w:lang w:eastAsia="x-none"/>
        </w:rPr>
        <w:t xml:space="preserve"> </w:t>
      </w:r>
      <w:r w:rsidRPr="00496BFF">
        <w:rPr>
          <w:rFonts w:ascii="Times New Roman" w:eastAsia="Times New Roman" w:hAnsi="Times New Roman" w:cs="Times New Roman"/>
          <w:highlight w:val="yellow"/>
          <w:lang w:eastAsia="x-none"/>
        </w:rPr>
        <w:t>XXXX</w:t>
      </w:r>
      <w:r w:rsidRPr="00556C32">
        <w:rPr>
          <w:rFonts w:ascii="Times New Roman" w:eastAsia="Times New Roman" w:hAnsi="Times New Roman" w:cs="Times New Roman"/>
          <w:lang w:val="x-none" w:eastAsia="x-none"/>
        </w:rPr>
        <w:t>, des lignes directrices de gestion qui</w:t>
      </w:r>
      <w:r w:rsidRPr="00556C32">
        <w:rPr>
          <w:rFonts w:ascii="Times New Roman" w:eastAsia="Times New Roman" w:hAnsi="Times New Roman" w:cs="Times New Roman"/>
          <w:lang w:eastAsia="x-none"/>
        </w:rPr>
        <w:t>, sans pouvoir déroger aux dispositions législatives et réglementaires en vigueur,</w:t>
      </w:r>
      <w:r w:rsidR="00780A50">
        <w:rPr>
          <w:rFonts w:ascii="Times New Roman" w:eastAsia="Times New Roman" w:hAnsi="Times New Roman" w:cs="Times New Roman"/>
          <w:lang w:val="x-none" w:eastAsia="x-none"/>
        </w:rPr>
        <w:t xml:space="preserve"> déterminent </w:t>
      </w:r>
      <w:r w:rsidRPr="00556C32">
        <w:rPr>
          <w:rFonts w:ascii="Times New Roman" w:eastAsia="Times New Roman" w:hAnsi="Times New Roman" w:cs="Times New Roman"/>
          <w:lang w:val="x-none" w:eastAsia="x-none"/>
        </w:rPr>
        <w:t>les orientations générales en matière de mobilité</w:t>
      </w:r>
      <w:r w:rsidR="0050573C">
        <w:rPr>
          <w:rFonts w:ascii="Times New Roman" w:eastAsia="Times New Roman" w:hAnsi="Times New Roman" w:cs="Times New Roman"/>
          <w:lang w:eastAsia="x-none"/>
        </w:rPr>
        <w:t xml:space="preserve"> au sein du ministère de la culture</w:t>
      </w:r>
      <w:r>
        <w:rPr>
          <w:rFonts w:ascii="Times New Roman" w:eastAsia="Times New Roman" w:hAnsi="Times New Roman" w:cs="Times New Roman"/>
          <w:lang w:val="x-none" w:eastAsia="x-none"/>
        </w:rPr>
        <w:t>.</w:t>
      </w:r>
    </w:p>
    <w:p w14:paraId="6C7EF032" w14:textId="65045770" w:rsidR="00860CA6" w:rsidRDefault="00860CA6" w:rsidP="00860CA6">
      <w:pPr>
        <w:spacing w:after="120"/>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Il sera complété par des lignes directrices de gestion portant sur</w:t>
      </w:r>
      <w:r w:rsidR="00780A50">
        <w:rPr>
          <w:rFonts w:ascii="Times New Roman" w:eastAsia="Times New Roman" w:hAnsi="Times New Roman" w:cs="Times New Roman"/>
          <w:lang w:eastAsia="x-none"/>
        </w:rPr>
        <w:t xml:space="preserve"> la stratégie pluriannuelle de pilotage des ressources humaines et</w:t>
      </w:r>
      <w:r>
        <w:rPr>
          <w:rFonts w:ascii="Times New Roman" w:eastAsia="Times New Roman" w:hAnsi="Times New Roman" w:cs="Times New Roman"/>
          <w:lang w:eastAsia="x-none"/>
        </w:rPr>
        <w:t xml:space="preserve"> </w:t>
      </w:r>
      <w:r w:rsidRPr="00556C32">
        <w:rPr>
          <w:rFonts w:ascii="Times New Roman" w:eastAsia="Times New Roman" w:hAnsi="Times New Roman" w:cs="Times New Roman"/>
          <w:lang w:val="x-none" w:eastAsia="x-none"/>
        </w:rPr>
        <w:t>les orientations générales en matière de promotion et de valorisation des parcours professionnels</w:t>
      </w:r>
      <w:r w:rsidR="0050573C">
        <w:rPr>
          <w:rFonts w:ascii="Times New Roman" w:eastAsia="Times New Roman" w:hAnsi="Times New Roman" w:cs="Times New Roman"/>
          <w:lang w:eastAsia="x-none"/>
        </w:rPr>
        <w:t xml:space="preserve"> avant le 31/12/2020</w:t>
      </w:r>
      <w:r w:rsidRPr="00556C32">
        <w:rPr>
          <w:rFonts w:ascii="Times New Roman" w:eastAsia="Times New Roman" w:hAnsi="Times New Roman" w:cs="Times New Roman"/>
          <w:lang w:val="x-none" w:eastAsia="x-none"/>
        </w:rPr>
        <w:t>.</w:t>
      </w:r>
    </w:p>
    <w:p w14:paraId="729B5AE5" w14:textId="4CFB0305" w:rsidR="00B70FD5" w:rsidRDefault="00B70FD5" w:rsidP="00860CA6">
      <w:pPr>
        <w:spacing w:after="120"/>
        <w:jc w:val="both"/>
        <w:rPr>
          <w:rFonts w:ascii="Times New Roman" w:eastAsia="Times New Roman" w:hAnsi="Times New Roman" w:cs="Times New Roman"/>
          <w:lang w:val="x-none" w:eastAsia="x-none"/>
        </w:rPr>
      </w:pPr>
    </w:p>
    <w:p w14:paraId="54AFAC29" w14:textId="12F854AE" w:rsidR="00B70FD5" w:rsidRPr="007A6FBF" w:rsidRDefault="00B70FD5" w:rsidP="00860CA6">
      <w:pPr>
        <w:spacing w:after="120"/>
        <w:jc w:val="both"/>
        <w:rPr>
          <w:rFonts w:ascii="Times New Roman" w:eastAsia="Times New Roman" w:hAnsi="Times New Roman" w:cs="Times New Roman"/>
          <w:lang w:eastAsia="x-none"/>
        </w:rPr>
      </w:pPr>
      <w:r w:rsidRPr="007A6FBF">
        <w:rPr>
          <w:rFonts w:ascii="Times New Roman" w:eastAsia="Times New Roman" w:hAnsi="Times New Roman" w:cs="Times New Roman"/>
          <w:lang w:eastAsia="x-none"/>
        </w:rPr>
        <w:t>Ces dispositions entrent en vigueur à compter</w:t>
      </w:r>
      <w:r w:rsidR="001D65A9">
        <w:rPr>
          <w:rFonts w:ascii="Times New Roman" w:eastAsia="Times New Roman" w:hAnsi="Times New Roman" w:cs="Times New Roman"/>
          <w:lang w:eastAsia="x-none"/>
        </w:rPr>
        <w:t xml:space="preserve"> du 1</w:t>
      </w:r>
      <w:r w:rsidR="001D65A9" w:rsidRPr="001D65A9">
        <w:rPr>
          <w:rFonts w:ascii="Times New Roman" w:eastAsia="Times New Roman" w:hAnsi="Times New Roman" w:cs="Times New Roman"/>
          <w:vertAlign w:val="superscript"/>
          <w:lang w:eastAsia="x-none"/>
        </w:rPr>
        <w:t>er</w:t>
      </w:r>
      <w:r w:rsidR="001D65A9">
        <w:rPr>
          <w:rFonts w:ascii="Times New Roman" w:eastAsia="Times New Roman" w:hAnsi="Times New Roman" w:cs="Times New Roman"/>
          <w:lang w:eastAsia="x-none"/>
        </w:rPr>
        <w:t xml:space="preserve"> janvier 2020</w:t>
      </w:r>
      <w:r w:rsidRPr="007A6FBF">
        <w:rPr>
          <w:rFonts w:ascii="Times New Roman" w:eastAsia="Times New Roman" w:hAnsi="Times New Roman" w:cs="Times New Roman"/>
          <w:lang w:eastAsia="x-none"/>
        </w:rPr>
        <w:t>.</w:t>
      </w:r>
      <w:r>
        <w:rPr>
          <w:rFonts w:ascii="Times New Roman" w:eastAsia="Times New Roman" w:hAnsi="Times New Roman" w:cs="Times New Roman"/>
          <w:lang w:eastAsia="x-none"/>
        </w:rPr>
        <w:t xml:space="preserve"> </w:t>
      </w:r>
    </w:p>
    <w:p w14:paraId="49BBF7F2" w14:textId="77777777" w:rsidR="00860CA6" w:rsidRPr="00860CA6" w:rsidRDefault="00860CA6" w:rsidP="00261B3A">
      <w:pPr>
        <w:jc w:val="both"/>
        <w:rPr>
          <w:u w:val="single"/>
          <w:lang w:val="x-none"/>
        </w:rPr>
      </w:pPr>
    </w:p>
    <w:p w14:paraId="38FFF8A2" w14:textId="77777777" w:rsidR="00860CA6" w:rsidRPr="0096173A" w:rsidRDefault="00860CA6" w:rsidP="00261B3A">
      <w:pPr>
        <w:jc w:val="both"/>
        <w:rPr>
          <w:rFonts w:ascii="Times New Roman" w:hAnsi="Times New Roman" w:cs="Times New Roman"/>
          <w:u w:val="single"/>
        </w:rPr>
      </w:pPr>
    </w:p>
    <w:p w14:paraId="3CC9ABA7" w14:textId="357D5753" w:rsidR="00AB79A9" w:rsidRPr="0096173A" w:rsidRDefault="0021052D" w:rsidP="00261B3A">
      <w:pPr>
        <w:jc w:val="both"/>
        <w:rPr>
          <w:rFonts w:ascii="Times New Roman" w:hAnsi="Times New Roman" w:cs="Times New Roman"/>
          <w:u w:val="single"/>
        </w:rPr>
      </w:pPr>
      <w:r w:rsidRPr="0096173A">
        <w:rPr>
          <w:rFonts w:ascii="Times New Roman" w:hAnsi="Times New Roman" w:cs="Times New Roman"/>
          <w:u w:val="single"/>
        </w:rPr>
        <w:t xml:space="preserve">1 : </w:t>
      </w:r>
      <w:r w:rsidR="007E126D" w:rsidRPr="0096173A">
        <w:rPr>
          <w:rFonts w:ascii="Times New Roman" w:hAnsi="Times New Roman" w:cs="Times New Roman"/>
          <w:u w:val="single"/>
        </w:rPr>
        <w:t>Champ d’application</w:t>
      </w:r>
    </w:p>
    <w:p w14:paraId="4B63F06C" w14:textId="540B3540" w:rsidR="0021052D" w:rsidRPr="0096173A" w:rsidRDefault="0021052D" w:rsidP="00261B3A">
      <w:pPr>
        <w:jc w:val="both"/>
        <w:rPr>
          <w:rFonts w:ascii="Times New Roman" w:hAnsi="Times New Roman" w:cs="Times New Roman"/>
        </w:rPr>
      </w:pPr>
    </w:p>
    <w:p w14:paraId="4D06C62B" w14:textId="432CE335" w:rsidR="0021052D" w:rsidRDefault="0021052D" w:rsidP="00261B3A">
      <w:pPr>
        <w:jc w:val="both"/>
        <w:rPr>
          <w:rFonts w:ascii="Times New Roman" w:hAnsi="Times New Roman" w:cs="Times New Roman"/>
        </w:rPr>
      </w:pPr>
      <w:r w:rsidRPr="0096173A">
        <w:rPr>
          <w:rFonts w:ascii="Times New Roman" w:hAnsi="Times New Roman" w:cs="Times New Roman"/>
        </w:rPr>
        <w:t xml:space="preserve">Les présentes lignes directrices </w:t>
      </w:r>
      <w:r w:rsidR="00BB3C37">
        <w:rPr>
          <w:rFonts w:ascii="Times New Roman" w:hAnsi="Times New Roman" w:cs="Times New Roman"/>
        </w:rPr>
        <w:t xml:space="preserve">en matière de mobilité </w:t>
      </w:r>
      <w:r w:rsidRPr="0096173A">
        <w:rPr>
          <w:rFonts w:ascii="Times New Roman" w:hAnsi="Times New Roman" w:cs="Times New Roman"/>
        </w:rPr>
        <w:t xml:space="preserve">sont édictées pour l’ensemble du Ministère de la Culture (administration centrale, services déconcentrés, services à </w:t>
      </w:r>
      <w:r w:rsidRPr="00FA1582">
        <w:rPr>
          <w:rFonts w:ascii="Times New Roman" w:hAnsi="Times New Roman" w:cs="Times New Roman"/>
        </w:rPr>
        <w:t>compétence nationale</w:t>
      </w:r>
      <w:r w:rsidRPr="0096173A">
        <w:rPr>
          <w:rFonts w:ascii="Times New Roman" w:hAnsi="Times New Roman" w:cs="Times New Roman"/>
        </w:rPr>
        <w:t xml:space="preserve"> et établissements publics administratifs relevant du périmètre ministériel).</w:t>
      </w:r>
    </w:p>
    <w:p w14:paraId="18FA194D" w14:textId="72C541AB" w:rsidR="0021052D" w:rsidRPr="00496BFF" w:rsidRDefault="001D65A9" w:rsidP="00261B3A">
      <w:pPr>
        <w:jc w:val="both"/>
        <w:rPr>
          <w:rFonts w:ascii="Times New Roman" w:hAnsi="Times New Roman" w:cs="Times New Roman"/>
        </w:rPr>
      </w:pPr>
      <w:r>
        <w:rPr>
          <w:rFonts w:ascii="Times New Roman" w:hAnsi="Times New Roman" w:cs="Times New Roman"/>
        </w:rPr>
        <w:t xml:space="preserve">Elles s’appliquent aux agents titulaires ainsi qu’aux agents </w:t>
      </w:r>
      <w:r w:rsidR="00B555B8">
        <w:rPr>
          <w:rFonts w:ascii="Times New Roman" w:hAnsi="Times New Roman" w:cs="Times New Roman"/>
        </w:rPr>
        <w:t>contractuels en</w:t>
      </w:r>
      <w:r w:rsidR="00496BFF">
        <w:rPr>
          <w:rFonts w:ascii="Times New Roman" w:hAnsi="Times New Roman" w:cs="Times New Roman"/>
        </w:rPr>
        <w:t xml:space="preserve"> contrat à durée indéterminée</w:t>
      </w:r>
      <w:r w:rsidR="00AF2C49">
        <w:rPr>
          <w:rFonts w:ascii="Times New Roman" w:hAnsi="Times New Roman" w:cs="Times New Roman"/>
        </w:rPr>
        <w:t>, sauf en ce qui concerne les dispositions de l’article 8</w:t>
      </w:r>
      <w:r w:rsidR="00284AA0">
        <w:rPr>
          <w:rFonts w:ascii="Times New Roman" w:hAnsi="Times New Roman" w:cs="Times New Roman"/>
        </w:rPr>
        <w:t xml:space="preserve"> qui ne valent que pour les agents titulaires</w:t>
      </w:r>
      <w:r w:rsidR="00AF2C49">
        <w:rPr>
          <w:rFonts w:ascii="Times New Roman" w:hAnsi="Times New Roman" w:cs="Times New Roman"/>
        </w:rPr>
        <w:t>.</w:t>
      </w:r>
    </w:p>
    <w:p w14:paraId="1B18D538" w14:textId="77777777" w:rsidR="0050573C" w:rsidRPr="0096173A" w:rsidRDefault="0050573C" w:rsidP="00261B3A">
      <w:pPr>
        <w:jc w:val="both"/>
        <w:rPr>
          <w:rFonts w:ascii="Times New Roman" w:hAnsi="Times New Roman" w:cs="Times New Roman"/>
        </w:rPr>
      </w:pPr>
    </w:p>
    <w:p w14:paraId="75F1DEBF" w14:textId="38B121C7" w:rsidR="0021052D" w:rsidRPr="0096173A" w:rsidRDefault="0021052D" w:rsidP="00261B3A">
      <w:pPr>
        <w:jc w:val="both"/>
        <w:rPr>
          <w:rFonts w:ascii="Times New Roman" w:hAnsi="Times New Roman" w:cs="Times New Roman"/>
          <w:u w:val="single"/>
        </w:rPr>
      </w:pPr>
      <w:r w:rsidRPr="0096173A">
        <w:rPr>
          <w:rFonts w:ascii="Times New Roman" w:hAnsi="Times New Roman" w:cs="Times New Roman"/>
          <w:u w:val="single"/>
        </w:rPr>
        <w:t xml:space="preserve">2 : </w:t>
      </w:r>
      <w:r w:rsidR="007E126D" w:rsidRPr="0096173A">
        <w:rPr>
          <w:rFonts w:ascii="Times New Roman" w:hAnsi="Times New Roman" w:cs="Times New Roman"/>
          <w:u w:val="single"/>
        </w:rPr>
        <w:t>Durée de validité et modalités de révision</w:t>
      </w:r>
    </w:p>
    <w:p w14:paraId="5724A1E4" w14:textId="77777777" w:rsidR="0021052D" w:rsidRPr="0096173A" w:rsidRDefault="0021052D" w:rsidP="00261B3A">
      <w:pPr>
        <w:jc w:val="both"/>
        <w:rPr>
          <w:rFonts w:ascii="Times New Roman" w:hAnsi="Times New Roman" w:cs="Times New Roman"/>
        </w:rPr>
      </w:pPr>
    </w:p>
    <w:p w14:paraId="265C7F2C" w14:textId="7E699460" w:rsidR="007E126D" w:rsidRPr="0096173A" w:rsidRDefault="0021052D" w:rsidP="00261B3A">
      <w:pPr>
        <w:jc w:val="both"/>
        <w:rPr>
          <w:rFonts w:ascii="Times New Roman" w:hAnsi="Times New Roman" w:cs="Times New Roman"/>
        </w:rPr>
      </w:pPr>
      <w:r w:rsidRPr="0096173A">
        <w:rPr>
          <w:rFonts w:ascii="Times New Roman" w:hAnsi="Times New Roman" w:cs="Times New Roman"/>
        </w:rPr>
        <w:t>Les lignes directrices de gestion</w:t>
      </w:r>
      <w:r w:rsidR="007E126D" w:rsidRPr="0096173A">
        <w:rPr>
          <w:rFonts w:ascii="Times New Roman" w:hAnsi="Times New Roman" w:cs="Times New Roman"/>
        </w:rPr>
        <w:t xml:space="preserve"> en matière de mobilité</w:t>
      </w:r>
      <w:r w:rsidRPr="0096173A">
        <w:rPr>
          <w:rFonts w:ascii="Times New Roman" w:hAnsi="Times New Roman" w:cs="Times New Roman"/>
        </w:rPr>
        <w:t xml:space="preserve"> sont établies pou</w:t>
      </w:r>
      <w:r w:rsidR="000936FB">
        <w:rPr>
          <w:rFonts w:ascii="Times New Roman" w:hAnsi="Times New Roman" w:cs="Times New Roman"/>
        </w:rPr>
        <w:t>r une durée de 5 ans.</w:t>
      </w:r>
    </w:p>
    <w:p w14:paraId="1A18B4BE" w14:textId="4E0A6E83" w:rsidR="00D63412" w:rsidRPr="0096173A" w:rsidRDefault="007E126D" w:rsidP="00261B3A">
      <w:pPr>
        <w:jc w:val="both"/>
        <w:rPr>
          <w:rFonts w:ascii="Times New Roman" w:hAnsi="Times New Roman" w:cs="Times New Roman"/>
        </w:rPr>
      </w:pPr>
      <w:r w:rsidRPr="0096173A">
        <w:rPr>
          <w:rFonts w:ascii="Times New Roman" w:hAnsi="Times New Roman" w:cs="Times New Roman"/>
        </w:rPr>
        <w:t>Elles peuvent faire l’objet, en tout ou partie, d’une révision en cours de période</w:t>
      </w:r>
      <w:r w:rsidR="005E7451">
        <w:rPr>
          <w:rFonts w:ascii="Times New Roman" w:hAnsi="Times New Roman" w:cs="Times New Roman"/>
        </w:rPr>
        <w:t>.</w:t>
      </w:r>
      <w:r w:rsidR="001D65A9">
        <w:rPr>
          <w:rFonts w:ascii="Times New Roman" w:hAnsi="Times New Roman" w:cs="Times New Roman"/>
        </w:rPr>
        <w:t xml:space="preserve"> Une première révision interviendra après la première année de mise en œuvre sur la base du bilan prévu au point 10.</w:t>
      </w:r>
    </w:p>
    <w:p w14:paraId="237975DA" w14:textId="05AADF27" w:rsidR="00860CA6" w:rsidRPr="0096173A" w:rsidRDefault="00860CA6" w:rsidP="00261B3A">
      <w:pPr>
        <w:jc w:val="both"/>
        <w:rPr>
          <w:rFonts w:ascii="Times New Roman" w:hAnsi="Times New Roman" w:cs="Times New Roman"/>
        </w:rPr>
      </w:pPr>
    </w:p>
    <w:p w14:paraId="073F7C11" w14:textId="20D5DEEF" w:rsidR="00860CA6" w:rsidRPr="0096173A" w:rsidRDefault="00860CA6" w:rsidP="00261B3A">
      <w:pPr>
        <w:jc w:val="both"/>
        <w:rPr>
          <w:rFonts w:ascii="Times New Roman" w:hAnsi="Times New Roman" w:cs="Times New Roman"/>
          <w:u w:val="single"/>
        </w:rPr>
      </w:pPr>
      <w:r w:rsidRPr="0096173A">
        <w:rPr>
          <w:rFonts w:ascii="Times New Roman" w:hAnsi="Times New Roman" w:cs="Times New Roman"/>
          <w:u w:val="single"/>
        </w:rPr>
        <w:t xml:space="preserve">3 : </w:t>
      </w:r>
      <w:r w:rsidR="00BB3C37">
        <w:rPr>
          <w:rFonts w:ascii="Times New Roman" w:hAnsi="Times New Roman" w:cs="Times New Roman"/>
          <w:u w:val="single"/>
        </w:rPr>
        <w:t>C</w:t>
      </w:r>
      <w:r w:rsidRPr="0096173A">
        <w:rPr>
          <w:rFonts w:ascii="Times New Roman" w:hAnsi="Times New Roman" w:cs="Times New Roman"/>
          <w:u w:val="single"/>
        </w:rPr>
        <w:t>onsultation des instances</w:t>
      </w:r>
    </w:p>
    <w:p w14:paraId="414A8B81" w14:textId="63D6B0B3" w:rsidR="00860CA6" w:rsidRPr="0096173A" w:rsidRDefault="00860CA6" w:rsidP="00261B3A">
      <w:pPr>
        <w:jc w:val="both"/>
        <w:rPr>
          <w:rFonts w:ascii="Times New Roman" w:hAnsi="Times New Roman" w:cs="Times New Roman"/>
          <w:u w:val="single"/>
        </w:rPr>
      </w:pPr>
    </w:p>
    <w:p w14:paraId="35429E53" w14:textId="5DD8DCCD" w:rsidR="00860CA6" w:rsidRPr="0096173A" w:rsidRDefault="00860CA6" w:rsidP="00860CA6">
      <w:pPr>
        <w:spacing w:after="120"/>
        <w:jc w:val="both"/>
        <w:rPr>
          <w:rFonts w:ascii="Times New Roman" w:eastAsia="Times New Roman" w:hAnsi="Times New Roman" w:cs="Times New Roman"/>
          <w:lang w:val="x-none" w:eastAsia="x-none"/>
        </w:rPr>
      </w:pPr>
      <w:r w:rsidRPr="0096173A">
        <w:rPr>
          <w:rFonts w:ascii="Times New Roman" w:eastAsia="Times New Roman" w:hAnsi="Times New Roman" w:cs="Times New Roman"/>
          <w:lang w:val="x-none" w:eastAsia="x-none"/>
        </w:rPr>
        <w:t xml:space="preserve">Conformément aux dispositions de l’article 15 de la loi du 11 janvier 1984, le comité social d’administration ministériel est consulté sur les projets de lignes directrices de gestion </w:t>
      </w:r>
      <w:r w:rsidR="007A6FBF">
        <w:rPr>
          <w:rFonts w:ascii="Times New Roman" w:eastAsia="Times New Roman" w:hAnsi="Times New Roman" w:cs="Times New Roman"/>
          <w:lang w:val="x-none" w:eastAsia="x-none"/>
        </w:rPr>
        <w:t>mentionnées au I de l’article 2</w:t>
      </w:r>
      <w:r w:rsidRPr="0096173A">
        <w:rPr>
          <w:rFonts w:ascii="Times New Roman" w:eastAsia="Times New Roman" w:hAnsi="Times New Roman" w:cs="Times New Roman"/>
          <w:lang w:val="x-none" w:eastAsia="x-none"/>
        </w:rPr>
        <w:t xml:space="preserve"> ainsi que sur leur révision</w:t>
      </w:r>
      <w:r w:rsidR="00B70FD5" w:rsidRPr="007A6FBF">
        <w:rPr>
          <w:rFonts w:ascii="Times New Roman" w:eastAsia="Times New Roman" w:hAnsi="Times New Roman" w:cs="Times New Roman"/>
          <w:lang w:eastAsia="x-none"/>
        </w:rPr>
        <w:t>, après accord de la DGAFP</w:t>
      </w:r>
      <w:r w:rsidRPr="0096173A">
        <w:rPr>
          <w:rFonts w:ascii="Times New Roman" w:eastAsia="Times New Roman" w:hAnsi="Times New Roman" w:cs="Times New Roman"/>
          <w:lang w:val="x-none" w:eastAsia="x-none"/>
        </w:rPr>
        <w:t xml:space="preserve">. </w:t>
      </w:r>
    </w:p>
    <w:p w14:paraId="205BC83B" w14:textId="64D4D0FE" w:rsidR="00860CA6" w:rsidRPr="000936FB" w:rsidRDefault="00860CA6" w:rsidP="000936FB">
      <w:pPr>
        <w:spacing w:after="120"/>
        <w:jc w:val="both"/>
        <w:rPr>
          <w:rFonts w:ascii="Times New Roman" w:eastAsia="Times New Roman" w:hAnsi="Times New Roman" w:cs="Times New Roman"/>
          <w:lang w:eastAsia="x-none"/>
        </w:rPr>
      </w:pPr>
      <w:r w:rsidRPr="0096173A">
        <w:rPr>
          <w:rFonts w:ascii="Times New Roman" w:eastAsia="Times New Roman" w:hAnsi="Times New Roman" w:cs="Times New Roman"/>
          <w:lang w:eastAsia="x-none"/>
        </w:rPr>
        <w:t>Dans l</w:t>
      </w:r>
      <w:r w:rsidR="007A6FBF">
        <w:rPr>
          <w:rFonts w:ascii="Times New Roman" w:eastAsia="Times New Roman" w:hAnsi="Times New Roman" w:cs="Times New Roman"/>
          <w:lang w:eastAsia="x-none"/>
        </w:rPr>
        <w:t>’attente de la mise en place du C</w:t>
      </w:r>
      <w:r w:rsidRPr="0096173A">
        <w:rPr>
          <w:rFonts w:ascii="Times New Roman" w:eastAsia="Times New Roman" w:hAnsi="Times New Roman" w:cs="Times New Roman"/>
          <w:lang w:eastAsia="x-none"/>
        </w:rPr>
        <w:t xml:space="preserve">omité </w:t>
      </w:r>
      <w:r w:rsidR="007A6FBF">
        <w:rPr>
          <w:rFonts w:ascii="Times New Roman" w:eastAsia="Times New Roman" w:hAnsi="Times New Roman" w:cs="Times New Roman"/>
          <w:lang w:eastAsia="x-none"/>
        </w:rPr>
        <w:t>S</w:t>
      </w:r>
      <w:r w:rsidRPr="0096173A">
        <w:rPr>
          <w:rFonts w:ascii="Times New Roman" w:eastAsia="Times New Roman" w:hAnsi="Times New Roman" w:cs="Times New Roman"/>
          <w:lang w:eastAsia="x-none"/>
        </w:rPr>
        <w:t>ocial</w:t>
      </w:r>
      <w:r w:rsidR="007A6FBF">
        <w:rPr>
          <w:rFonts w:ascii="Times New Roman" w:eastAsia="Times New Roman" w:hAnsi="Times New Roman" w:cs="Times New Roman"/>
          <w:lang w:eastAsia="x-none"/>
        </w:rPr>
        <w:t xml:space="preserve"> d’Administration</w:t>
      </w:r>
      <w:r w:rsidRPr="0096173A">
        <w:rPr>
          <w:rFonts w:ascii="Times New Roman" w:eastAsia="Times New Roman" w:hAnsi="Times New Roman" w:cs="Times New Roman"/>
          <w:lang w:eastAsia="x-none"/>
        </w:rPr>
        <w:t xml:space="preserve">, le Comité technique Ministériel a émis un avis sur le présent document le </w:t>
      </w:r>
      <w:r w:rsidRPr="00496BFF">
        <w:rPr>
          <w:rFonts w:ascii="Times New Roman" w:eastAsia="Times New Roman" w:hAnsi="Times New Roman" w:cs="Times New Roman"/>
          <w:highlight w:val="yellow"/>
          <w:lang w:eastAsia="x-none"/>
        </w:rPr>
        <w:t>….</w:t>
      </w:r>
    </w:p>
    <w:p w14:paraId="79149630" w14:textId="77777777" w:rsidR="00780A50" w:rsidRDefault="00780A50" w:rsidP="00860CA6">
      <w:pPr>
        <w:jc w:val="both"/>
        <w:rPr>
          <w:rFonts w:ascii="Times New Roman" w:hAnsi="Times New Roman" w:cs="Times New Roman"/>
          <w:u w:val="single"/>
        </w:rPr>
      </w:pPr>
    </w:p>
    <w:p w14:paraId="42AE7F39" w14:textId="741D32AA" w:rsidR="00953583" w:rsidRPr="0096173A" w:rsidRDefault="00496BFF" w:rsidP="00860CA6">
      <w:pPr>
        <w:jc w:val="both"/>
        <w:rPr>
          <w:rFonts w:ascii="Times New Roman" w:hAnsi="Times New Roman" w:cs="Times New Roman"/>
          <w:u w:val="single"/>
        </w:rPr>
      </w:pPr>
      <w:r>
        <w:rPr>
          <w:rFonts w:ascii="Times New Roman" w:hAnsi="Times New Roman" w:cs="Times New Roman"/>
          <w:u w:val="single"/>
        </w:rPr>
        <w:t>4 :</w:t>
      </w:r>
      <w:r w:rsidR="00BB3C37">
        <w:rPr>
          <w:rFonts w:ascii="Times New Roman" w:hAnsi="Times New Roman" w:cs="Times New Roman"/>
          <w:u w:val="single"/>
        </w:rPr>
        <w:t xml:space="preserve"> </w:t>
      </w:r>
      <w:r w:rsidR="00780A50">
        <w:rPr>
          <w:rFonts w:ascii="Times New Roman" w:hAnsi="Times New Roman" w:cs="Times New Roman"/>
          <w:u w:val="single"/>
        </w:rPr>
        <w:t>O</w:t>
      </w:r>
      <w:r w:rsidR="00860CA6" w:rsidRPr="0096173A">
        <w:rPr>
          <w:rFonts w:ascii="Times New Roman" w:hAnsi="Times New Roman" w:cs="Times New Roman"/>
          <w:u w:val="single"/>
        </w:rPr>
        <w:t>rientations générales</w:t>
      </w:r>
      <w:r>
        <w:rPr>
          <w:rFonts w:ascii="Times New Roman" w:hAnsi="Times New Roman" w:cs="Times New Roman"/>
          <w:u w:val="single"/>
        </w:rPr>
        <w:t xml:space="preserve"> en matière de m</w:t>
      </w:r>
      <w:r w:rsidR="00BB3C37">
        <w:rPr>
          <w:rFonts w:ascii="Times New Roman" w:hAnsi="Times New Roman" w:cs="Times New Roman"/>
          <w:u w:val="single"/>
        </w:rPr>
        <w:t>obilité</w:t>
      </w:r>
    </w:p>
    <w:p w14:paraId="0BD7B650" w14:textId="080232F1" w:rsidR="00953583" w:rsidRPr="007F61EC" w:rsidRDefault="00953583" w:rsidP="00860CA6">
      <w:pPr>
        <w:jc w:val="both"/>
        <w:rPr>
          <w:rFonts w:ascii="Times New Roman" w:hAnsi="Times New Roman" w:cs="Times New Roman"/>
        </w:rPr>
      </w:pPr>
    </w:p>
    <w:p w14:paraId="5768ED8A" w14:textId="5D11086E" w:rsidR="007F61EC" w:rsidRDefault="007F61EC" w:rsidP="00860CA6">
      <w:pPr>
        <w:jc w:val="both"/>
        <w:rPr>
          <w:rFonts w:ascii="Times New Roman" w:hAnsi="Times New Roman" w:cs="Times New Roman"/>
        </w:rPr>
      </w:pPr>
      <w:r>
        <w:rPr>
          <w:rFonts w:ascii="Times New Roman" w:hAnsi="Times New Roman" w:cs="Times New Roman"/>
        </w:rPr>
        <w:t xml:space="preserve">Les </w:t>
      </w:r>
      <w:r w:rsidR="005E7451">
        <w:rPr>
          <w:rFonts w:ascii="Times New Roman" w:hAnsi="Times New Roman" w:cs="Times New Roman"/>
        </w:rPr>
        <w:t>agent</w:t>
      </w:r>
      <w:r>
        <w:rPr>
          <w:rFonts w:ascii="Times New Roman" w:hAnsi="Times New Roman" w:cs="Times New Roman"/>
        </w:rPr>
        <w:t>s du ministère de la culture peuvent exe</w:t>
      </w:r>
      <w:r w:rsidR="005E7451">
        <w:rPr>
          <w:rFonts w:ascii="Times New Roman" w:hAnsi="Times New Roman" w:cs="Times New Roman"/>
        </w:rPr>
        <w:t>rcer leurs compétence</w:t>
      </w:r>
      <w:r>
        <w:rPr>
          <w:rFonts w:ascii="Times New Roman" w:hAnsi="Times New Roman" w:cs="Times New Roman"/>
        </w:rPr>
        <w:t>s en administration centrale ou déconcentrée, au sein d’établissements publics ou de services à compétence nationale. Ils peuvent également effectuer des mobilités vers d’autres ministères ou d’autres fonctions publiques (FPT, FPH)</w:t>
      </w:r>
      <w:r w:rsidR="00213B0A">
        <w:rPr>
          <w:rFonts w:ascii="Times New Roman" w:hAnsi="Times New Roman" w:cs="Times New Roman"/>
        </w:rPr>
        <w:t>.</w:t>
      </w:r>
    </w:p>
    <w:p w14:paraId="05C24764" w14:textId="77777777" w:rsidR="007A6FBF" w:rsidRDefault="007A6FBF" w:rsidP="00860CA6">
      <w:pPr>
        <w:jc w:val="both"/>
        <w:rPr>
          <w:rFonts w:ascii="Times New Roman" w:hAnsi="Times New Roman" w:cs="Times New Roman"/>
        </w:rPr>
      </w:pPr>
    </w:p>
    <w:p w14:paraId="4B51733F" w14:textId="3A541AFB" w:rsidR="00220B1A" w:rsidRDefault="007F61EC" w:rsidP="00220B1A">
      <w:pPr>
        <w:jc w:val="both"/>
        <w:rPr>
          <w:rFonts w:ascii="Times New Roman" w:hAnsi="Times New Roman" w:cs="Times New Roman"/>
        </w:rPr>
      </w:pPr>
      <w:r>
        <w:rPr>
          <w:rFonts w:ascii="Times New Roman" w:hAnsi="Times New Roman" w:cs="Times New Roman"/>
        </w:rPr>
        <w:t xml:space="preserve">La mobilité est un </w:t>
      </w:r>
      <w:r w:rsidR="005E7451">
        <w:rPr>
          <w:rFonts w:ascii="Times New Roman" w:hAnsi="Times New Roman" w:cs="Times New Roman"/>
        </w:rPr>
        <w:t xml:space="preserve">des </w:t>
      </w:r>
      <w:r>
        <w:rPr>
          <w:rFonts w:ascii="Times New Roman" w:hAnsi="Times New Roman" w:cs="Times New Roman"/>
        </w:rPr>
        <w:t>facteur</w:t>
      </w:r>
      <w:r w:rsidR="005E7451">
        <w:rPr>
          <w:rFonts w:ascii="Times New Roman" w:hAnsi="Times New Roman" w:cs="Times New Roman"/>
        </w:rPr>
        <w:t>s</w:t>
      </w:r>
      <w:r>
        <w:rPr>
          <w:rFonts w:ascii="Times New Roman" w:hAnsi="Times New Roman" w:cs="Times New Roman"/>
        </w:rPr>
        <w:t xml:space="preserve"> de développement des compétences des </w:t>
      </w:r>
      <w:r w:rsidR="00830D84">
        <w:rPr>
          <w:rFonts w:ascii="Times New Roman" w:hAnsi="Times New Roman" w:cs="Times New Roman"/>
        </w:rPr>
        <w:t>agents, quels que soien</w:t>
      </w:r>
      <w:r w:rsidR="005E7451">
        <w:rPr>
          <w:rFonts w:ascii="Times New Roman" w:hAnsi="Times New Roman" w:cs="Times New Roman"/>
        </w:rPr>
        <w:t>t leur métier</w:t>
      </w:r>
      <w:r>
        <w:rPr>
          <w:rFonts w:ascii="Times New Roman" w:hAnsi="Times New Roman" w:cs="Times New Roman"/>
        </w:rPr>
        <w:t xml:space="preserve"> ou leur catégorie d’emploi. A ce titre, </w:t>
      </w:r>
      <w:r w:rsidR="0050573C">
        <w:rPr>
          <w:rFonts w:ascii="Times New Roman" w:hAnsi="Times New Roman" w:cs="Times New Roman"/>
        </w:rPr>
        <w:t>elle</w:t>
      </w:r>
      <w:r>
        <w:rPr>
          <w:rFonts w:ascii="Times New Roman" w:hAnsi="Times New Roman" w:cs="Times New Roman"/>
        </w:rPr>
        <w:t xml:space="preserve"> </w:t>
      </w:r>
      <w:r w:rsidR="00220B1A">
        <w:rPr>
          <w:rFonts w:ascii="Times New Roman" w:hAnsi="Times New Roman" w:cs="Times New Roman"/>
        </w:rPr>
        <w:t xml:space="preserve">est </w:t>
      </w:r>
      <w:r>
        <w:rPr>
          <w:rFonts w:ascii="Times New Roman" w:hAnsi="Times New Roman" w:cs="Times New Roman"/>
        </w:rPr>
        <w:t>encouragée, facilitée et reconnue dans le cadre des parcours de carrière</w:t>
      </w:r>
      <w:r w:rsidR="00220B1A">
        <w:rPr>
          <w:rFonts w:ascii="Times New Roman" w:hAnsi="Times New Roman" w:cs="Times New Roman"/>
        </w:rPr>
        <w:t xml:space="preserve">, </w:t>
      </w:r>
      <w:r>
        <w:rPr>
          <w:rFonts w:ascii="Times New Roman" w:hAnsi="Times New Roman" w:cs="Times New Roman"/>
        </w:rPr>
        <w:t>de l’évolution professionnelle</w:t>
      </w:r>
      <w:r w:rsidR="00220B1A">
        <w:rPr>
          <w:rFonts w:ascii="Times New Roman" w:hAnsi="Times New Roman" w:cs="Times New Roman"/>
        </w:rPr>
        <w:t xml:space="preserve"> et de </w:t>
      </w:r>
      <w:r w:rsidR="00B555B8">
        <w:rPr>
          <w:rFonts w:ascii="Times New Roman" w:hAnsi="Times New Roman" w:cs="Times New Roman"/>
        </w:rPr>
        <w:t xml:space="preserve">la </w:t>
      </w:r>
      <w:r w:rsidR="00B555B8" w:rsidRPr="00081D6C">
        <w:rPr>
          <w:rFonts w:ascii="Times New Roman" w:hAnsi="Times New Roman" w:cs="Times New Roman"/>
        </w:rPr>
        <w:t>politique</w:t>
      </w:r>
      <w:r w:rsidR="00220B1A" w:rsidRPr="00081D6C">
        <w:rPr>
          <w:rFonts w:ascii="Times New Roman" w:hAnsi="Times New Roman" w:cs="Times New Roman"/>
        </w:rPr>
        <w:t xml:space="preserve"> indemnitaire ministérielle.</w:t>
      </w:r>
      <w:r w:rsidR="0027028D">
        <w:rPr>
          <w:rFonts w:ascii="Times New Roman" w:hAnsi="Times New Roman" w:cs="Times New Roman"/>
        </w:rPr>
        <w:t xml:space="preserve"> </w:t>
      </w:r>
      <w:bookmarkStart w:id="0" w:name="_GoBack"/>
      <w:r w:rsidR="0027028D">
        <w:rPr>
          <w:rFonts w:ascii="Times New Roman" w:hAnsi="Times New Roman" w:cs="Times New Roman"/>
        </w:rPr>
        <w:t xml:space="preserve">La mobilité s’effectue dans le respect de l’ensemble des règles en matière de déontologie. </w:t>
      </w:r>
      <w:bookmarkEnd w:id="0"/>
    </w:p>
    <w:p w14:paraId="2DA7EC65" w14:textId="77777777" w:rsidR="00220B1A" w:rsidRDefault="00220B1A" w:rsidP="00220B1A">
      <w:pPr>
        <w:jc w:val="both"/>
        <w:rPr>
          <w:rFonts w:ascii="Times New Roman" w:hAnsi="Times New Roman" w:cs="Times New Roman"/>
        </w:rPr>
      </w:pPr>
    </w:p>
    <w:p w14:paraId="01E29ED7" w14:textId="17BCA0E4" w:rsidR="00670E53" w:rsidRDefault="007F61EC" w:rsidP="00830D84">
      <w:pPr>
        <w:jc w:val="both"/>
        <w:rPr>
          <w:rFonts w:ascii="Times New Roman" w:hAnsi="Times New Roman" w:cs="Times New Roman"/>
        </w:rPr>
      </w:pPr>
      <w:r>
        <w:rPr>
          <w:rFonts w:ascii="Times New Roman" w:hAnsi="Times New Roman" w:cs="Times New Roman"/>
        </w:rPr>
        <w:t xml:space="preserve">Le présent document fixe des règles </w:t>
      </w:r>
      <w:r w:rsidR="001A3846">
        <w:rPr>
          <w:rFonts w:ascii="Times New Roman" w:hAnsi="Times New Roman" w:cs="Times New Roman"/>
        </w:rPr>
        <w:t>permettant d’</w:t>
      </w:r>
      <w:r>
        <w:rPr>
          <w:rFonts w:ascii="Times New Roman" w:hAnsi="Times New Roman" w:cs="Times New Roman"/>
        </w:rPr>
        <w:t>encadrer la mobilité</w:t>
      </w:r>
      <w:r w:rsidR="001A3846">
        <w:rPr>
          <w:rFonts w:ascii="Times New Roman" w:hAnsi="Times New Roman" w:cs="Times New Roman"/>
        </w:rPr>
        <w:t xml:space="preserve"> des agents du ministère de la culture, dans le respect de l’égalité professionnelle entre les femmes et les hommes et du principe de non-discrimination.</w:t>
      </w:r>
    </w:p>
    <w:p w14:paraId="3A751635" w14:textId="77777777" w:rsidR="00830D84" w:rsidRPr="00830D84" w:rsidRDefault="00830D84" w:rsidP="00830D84">
      <w:pPr>
        <w:jc w:val="both"/>
        <w:rPr>
          <w:rFonts w:ascii="Times New Roman" w:hAnsi="Times New Roman" w:cs="Times New Roman"/>
        </w:rPr>
      </w:pPr>
    </w:p>
    <w:p w14:paraId="307B62EC" w14:textId="088ECE35" w:rsidR="00184370" w:rsidRDefault="00184370" w:rsidP="00184370">
      <w:pPr>
        <w:pStyle w:val="Paragraphedeliste"/>
        <w:ind w:left="0"/>
        <w:jc w:val="both"/>
        <w:rPr>
          <w:rFonts w:ascii="Times New Roman" w:hAnsi="Times New Roman" w:cs="Times New Roman"/>
        </w:rPr>
      </w:pPr>
      <w:r w:rsidRPr="00531305">
        <w:rPr>
          <w:rFonts w:ascii="Times New Roman" w:hAnsi="Times New Roman" w:cs="Times New Roman"/>
        </w:rPr>
        <w:t>Pour répondre à la diversité de ses missions, le ministère de la culture à recours à des métiers, des emplois et des compétences très divers</w:t>
      </w:r>
      <w:r w:rsidRPr="007A6FBF">
        <w:rPr>
          <w:rFonts w:ascii="Times New Roman" w:hAnsi="Times New Roman" w:cs="Times New Roman"/>
        </w:rPr>
        <w:t xml:space="preserve">. </w:t>
      </w:r>
      <w:r>
        <w:rPr>
          <w:rFonts w:ascii="Times New Roman" w:hAnsi="Times New Roman" w:cs="Times New Roman"/>
        </w:rPr>
        <w:t>Il</w:t>
      </w:r>
      <w:r w:rsidRPr="007A6FBF">
        <w:rPr>
          <w:rFonts w:ascii="Times New Roman" w:hAnsi="Times New Roman" w:cs="Times New Roman"/>
        </w:rPr>
        <w:t xml:space="preserve"> compte 28 corps soit 20% de l’ensemble des corps de la fonction publique d’Etat.</w:t>
      </w:r>
    </w:p>
    <w:p w14:paraId="69896BE4" w14:textId="77777777" w:rsidR="00184370" w:rsidRDefault="00184370" w:rsidP="00184370">
      <w:pPr>
        <w:pStyle w:val="Paragraphedeliste"/>
        <w:ind w:left="0"/>
        <w:jc w:val="both"/>
        <w:rPr>
          <w:rFonts w:ascii="Times New Roman" w:hAnsi="Times New Roman" w:cs="Times New Roman"/>
        </w:rPr>
      </w:pPr>
    </w:p>
    <w:p w14:paraId="2344E606" w14:textId="4C99B8F6" w:rsidR="00184370" w:rsidRDefault="00184370" w:rsidP="001D65A9">
      <w:pPr>
        <w:jc w:val="both"/>
        <w:rPr>
          <w:rFonts w:ascii="Times New Roman" w:hAnsi="Times New Roman" w:cs="Times New Roman"/>
        </w:rPr>
      </w:pPr>
      <w:r>
        <w:rPr>
          <w:rFonts w:ascii="Times New Roman" w:eastAsia="Times New Roman" w:hAnsi="Times New Roman" w:cs="Times New Roman"/>
          <w:color w:val="000000" w:themeColor="text1"/>
          <w:lang w:eastAsia="x-none"/>
        </w:rPr>
        <w:t xml:space="preserve">Cette </w:t>
      </w:r>
      <w:r w:rsidR="00D03BE1">
        <w:rPr>
          <w:rFonts w:ascii="Times New Roman" w:eastAsia="Times New Roman" w:hAnsi="Times New Roman" w:cs="Times New Roman"/>
          <w:color w:val="000000" w:themeColor="text1"/>
          <w:lang w:eastAsia="x-none"/>
        </w:rPr>
        <w:t>diversité</w:t>
      </w:r>
      <w:r w:rsidR="001A3846">
        <w:rPr>
          <w:rFonts w:ascii="Times New Roman" w:eastAsia="Times New Roman" w:hAnsi="Times New Roman" w:cs="Times New Roman"/>
          <w:color w:val="000000" w:themeColor="text1"/>
          <w:lang w:eastAsia="x-none"/>
        </w:rPr>
        <w:t xml:space="preserve"> de missions exercées par l</w:t>
      </w:r>
      <w:r w:rsidR="001A3846" w:rsidRPr="001A3846">
        <w:rPr>
          <w:rFonts w:ascii="Times New Roman" w:eastAsia="Times New Roman" w:hAnsi="Times New Roman" w:cs="Times New Roman"/>
          <w:color w:val="000000" w:themeColor="text1"/>
          <w:lang w:eastAsia="x-none"/>
        </w:rPr>
        <w:t>e m</w:t>
      </w:r>
      <w:r w:rsidR="001A3846">
        <w:rPr>
          <w:rFonts w:ascii="Times New Roman" w:eastAsia="Times New Roman" w:hAnsi="Times New Roman" w:cs="Times New Roman"/>
          <w:color w:val="000000" w:themeColor="text1"/>
          <w:lang w:eastAsia="x-none"/>
        </w:rPr>
        <w:t xml:space="preserve">inistère de la culture entraine une grande diversité </w:t>
      </w:r>
      <w:r w:rsidR="005E7451">
        <w:rPr>
          <w:rFonts w:ascii="Times New Roman" w:eastAsia="Times New Roman" w:hAnsi="Times New Roman" w:cs="Times New Roman"/>
          <w:color w:val="000000" w:themeColor="text1"/>
          <w:lang w:eastAsia="x-none"/>
        </w:rPr>
        <w:t>des métiers et des compétences en constante évolution.</w:t>
      </w:r>
      <w:r w:rsidRPr="00184370">
        <w:rPr>
          <w:rFonts w:ascii="Times New Roman" w:hAnsi="Times New Roman" w:cs="Times New Roman"/>
        </w:rPr>
        <w:t xml:space="preserve"> </w:t>
      </w:r>
      <w:r>
        <w:rPr>
          <w:rFonts w:ascii="Times New Roman" w:hAnsi="Times New Roman" w:cs="Times New Roman"/>
        </w:rPr>
        <w:t xml:space="preserve">Les mutations technologiques, l’évolution ou le développement des politiques publiques, la diversification des secteurs concernés ont engendré au cours des vingt dernières années un </w:t>
      </w:r>
      <w:r w:rsidRPr="0096173A">
        <w:rPr>
          <w:rFonts w:ascii="Times New Roman" w:hAnsi="Times New Roman" w:cs="Times New Roman"/>
        </w:rPr>
        <w:t>accroissement de la diversité des profils et des parcours professionnels</w:t>
      </w:r>
      <w:r>
        <w:rPr>
          <w:rFonts w:ascii="Times New Roman" w:hAnsi="Times New Roman" w:cs="Times New Roman"/>
        </w:rPr>
        <w:t xml:space="preserve"> au sein du ministère de la culture. </w:t>
      </w:r>
      <w:r w:rsidRPr="005E7451">
        <w:rPr>
          <w:rFonts w:ascii="Times New Roman" w:hAnsi="Times New Roman" w:cs="Times New Roman"/>
        </w:rPr>
        <w:t>Le ministère de la culture dispose d’un répertoire ministéri</w:t>
      </w:r>
      <w:r>
        <w:rPr>
          <w:rFonts w:ascii="Times New Roman" w:hAnsi="Times New Roman" w:cs="Times New Roman"/>
        </w:rPr>
        <w:t>el des métiers qui référence les</w:t>
      </w:r>
      <w:r w:rsidRPr="005E7451">
        <w:rPr>
          <w:rFonts w:ascii="Times New Roman" w:hAnsi="Times New Roman" w:cs="Times New Roman"/>
        </w:rPr>
        <w:t xml:space="preserve"> emplois-types et permet aux agents d’avoir une vision globale de ses différents métiers.</w:t>
      </w:r>
    </w:p>
    <w:p w14:paraId="20C3BAE4" w14:textId="77777777" w:rsidR="00184370" w:rsidRDefault="00184370" w:rsidP="00184370">
      <w:pPr>
        <w:pStyle w:val="Paragraphedeliste"/>
        <w:ind w:left="0"/>
        <w:jc w:val="both"/>
        <w:rPr>
          <w:rFonts w:ascii="Times New Roman" w:hAnsi="Times New Roman" w:cs="Times New Roman"/>
        </w:rPr>
      </w:pPr>
    </w:p>
    <w:p w14:paraId="35E4B388" w14:textId="6907BCDF" w:rsidR="00184370" w:rsidRDefault="00184370" w:rsidP="00184370">
      <w:pPr>
        <w:jc w:val="both"/>
        <w:rPr>
          <w:rFonts w:ascii="Times New Roman" w:hAnsi="Times New Roman" w:cs="Times New Roman"/>
        </w:rPr>
      </w:pPr>
      <w:r>
        <w:rPr>
          <w:rFonts w:ascii="Times New Roman" w:hAnsi="Times New Roman" w:cs="Times New Roman"/>
        </w:rPr>
        <w:t xml:space="preserve">Dans un contexte de forte </w:t>
      </w:r>
      <w:r w:rsidRPr="0096173A">
        <w:rPr>
          <w:rFonts w:ascii="Times New Roman" w:hAnsi="Times New Roman" w:cs="Times New Roman"/>
        </w:rPr>
        <w:t>concurrence</w:t>
      </w:r>
      <w:r>
        <w:rPr>
          <w:rFonts w:ascii="Times New Roman" w:hAnsi="Times New Roman" w:cs="Times New Roman"/>
        </w:rPr>
        <w:t xml:space="preserve"> entre employeurs publics ou privés pour conserver et attirer les talents</w:t>
      </w:r>
      <w:r w:rsidRPr="0096173A">
        <w:rPr>
          <w:rFonts w:ascii="Times New Roman" w:hAnsi="Times New Roman" w:cs="Times New Roman"/>
        </w:rPr>
        <w:t xml:space="preserve">, le ministère de la culture </w:t>
      </w:r>
      <w:r>
        <w:rPr>
          <w:rFonts w:ascii="Times New Roman" w:hAnsi="Times New Roman" w:cs="Times New Roman"/>
        </w:rPr>
        <w:t xml:space="preserve">doit </w:t>
      </w:r>
      <w:r w:rsidRPr="0096173A">
        <w:rPr>
          <w:rFonts w:ascii="Times New Roman" w:hAnsi="Times New Roman" w:cs="Times New Roman"/>
        </w:rPr>
        <w:t xml:space="preserve">valoriser </w:t>
      </w:r>
      <w:r>
        <w:rPr>
          <w:rFonts w:ascii="Times New Roman" w:hAnsi="Times New Roman" w:cs="Times New Roman"/>
        </w:rPr>
        <w:t>ses facteurs d’attractivité. Parmi ceux-ci</w:t>
      </w:r>
      <w:r w:rsidRPr="0096173A">
        <w:rPr>
          <w:rFonts w:ascii="Times New Roman" w:hAnsi="Times New Roman" w:cs="Times New Roman"/>
        </w:rPr>
        <w:t xml:space="preserve"> </w:t>
      </w:r>
      <w:r>
        <w:rPr>
          <w:rFonts w:ascii="Times New Roman" w:hAnsi="Times New Roman" w:cs="Times New Roman"/>
        </w:rPr>
        <w:t xml:space="preserve">figure </w:t>
      </w:r>
      <w:r w:rsidRPr="0096173A">
        <w:rPr>
          <w:rFonts w:ascii="Times New Roman" w:hAnsi="Times New Roman" w:cs="Times New Roman"/>
        </w:rPr>
        <w:t xml:space="preserve">la possibilité </w:t>
      </w:r>
      <w:r>
        <w:rPr>
          <w:rFonts w:ascii="Times New Roman" w:hAnsi="Times New Roman" w:cs="Times New Roman"/>
        </w:rPr>
        <w:t xml:space="preserve">d’effectuer des </w:t>
      </w:r>
      <w:r w:rsidRPr="0096173A">
        <w:rPr>
          <w:rFonts w:ascii="Times New Roman" w:hAnsi="Times New Roman" w:cs="Times New Roman"/>
        </w:rPr>
        <w:t>mobilité</w:t>
      </w:r>
      <w:r>
        <w:rPr>
          <w:rFonts w:ascii="Times New Roman" w:hAnsi="Times New Roman" w:cs="Times New Roman"/>
        </w:rPr>
        <w:t>s</w:t>
      </w:r>
      <w:r w:rsidRPr="0096173A">
        <w:rPr>
          <w:rFonts w:ascii="Times New Roman" w:hAnsi="Times New Roman" w:cs="Times New Roman"/>
        </w:rPr>
        <w:t xml:space="preserve"> géographique</w:t>
      </w:r>
      <w:r>
        <w:rPr>
          <w:rFonts w:ascii="Times New Roman" w:hAnsi="Times New Roman" w:cs="Times New Roman"/>
        </w:rPr>
        <w:t>s</w:t>
      </w:r>
      <w:r w:rsidRPr="0096173A">
        <w:rPr>
          <w:rFonts w:ascii="Times New Roman" w:hAnsi="Times New Roman" w:cs="Times New Roman"/>
        </w:rPr>
        <w:t xml:space="preserve"> et/ou fonctionnelle</w:t>
      </w:r>
      <w:r>
        <w:rPr>
          <w:rFonts w:ascii="Times New Roman" w:hAnsi="Times New Roman" w:cs="Times New Roman"/>
        </w:rPr>
        <w:t>s</w:t>
      </w:r>
      <w:r w:rsidRPr="0096173A">
        <w:rPr>
          <w:rFonts w:ascii="Times New Roman" w:hAnsi="Times New Roman" w:cs="Times New Roman"/>
        </w:rPr>
        <w:t xml:space="preserve">, tout au long de la </w:t>
      </w:r>
      <w:r>
        <w:rPr>
          <w:rFonts w:ascii="Times New Roman" w:hAnsi="Times New Roman" w:cs="Times New Roman"/>
        </w:rPr>
        <w:t>vie professionnelle.</w:t>
      </w:r>
      <w:r w:rsidR="001D65A9">
        <w:rPr>
          <w:rFonts w:ascii="Times New Roman" w:hAnsi="Times New Roman" w:cs="Times New Roman"/>
        </w:rPr>
        <w:t xml:space="preserve"> La connaissance approfondie de l’environnement ministériel et les compétences acquises au sein des services et établissement</w:t>
      </w:r>
      <w:r w:rsidR="00830D84">
        <w:rPr>
          <w:rFonts w:ascii="Times New Roman" w:hAnsi="Times New Roman" w:cs="Times New Roman"/>
        </w:rPr>
        <w:t>s</w:t>
      </w:r>
      <w:r w:rsidR="001D65A9">
        <w:rPr>
          <w:rFonts w:ascii="Times New Roman" w:hAnsi="Times New Roman" w:cs="Times New Roman"/>
        </w:rPr>
        <w:t xml:space="preserve"> publics ministériels sont pris en compte lors des recrutements par l’ensemble des employeurs ministériels. L</w:t>
      </w:r>
      <w:r w:rsidR="00F37E83">
        <w:rPr>
          <w:rFonts w:ascii="Times New Roman" w:hAnsi="Times New Roman" w:cs="Times New Roman"/>
        </w:rPr>
        <w:t xml:space="preserve">a nécessaire conciliation entre vie personnelle et familiale d’une part et vie professionnelle d’autre part doit être prise en compte dans les parcours de mobilité. </w:t>
      </w:r>
    </w:p>
    <w:p w14:paraId="1AE179B7" w14:textId="77777777" w:rsidR="00184370" w:rsidRDefault="00184370" w:rsidP="00184370">
      <w:pPr>
        <w:jc w:val="both"/>
        <w:rPr>
          <w:rFonts w:ascii="Times New Roman" w:hAnsi="Times New Roman" w:cs="Times New Roman"/>
        </w:rPr>
      </w:pPr>
    </w:p>
    <w:p w14:paraId="12E8124C" w14:textId="0EFDD2F7" w:rsidR="008924B2" w:rsidRDefault="008924B2" w:rsidP="00953583">
      <w:pPr>
        <w:jc w:val="both"/>
        <w:rPr>
          <w:rFonts w:ascii="Times New Roman" w:hAnsi="Times New Roman" w:cs="Times New Roman"/>
        </w:rPr>
      </w:pPr>
      <w:r>
        <w:rPr>
          <w:rFonts w:ascii="Times New Roman" w:hAnsi="Times New Roman" w:cs="Times New Roman"/>
        </w:rPr>
        <w:t>Bien accueillir et intégrer ses agents est également un facteur d’attractivité important. Le système de mentorat</w:t>
      </w:r>
      <w:r w:rsidR="00570F8E">
        <w:rPr>
          <w:rFonts w:ascii="Times New Roman" w:hAnsi="Times New Roman" w:cs="Times New Roman"/>
        </w:rPr>
        <w:t xml:space="preserve"> </w:t>
      </w:r>
      <w:r>
        <w:rPr>
          <w:rFonts w:ascii="Times New Roman" w:hAnsi="Times New Roman" w:cs="Times New Roman"/>
        </w:rPr>
        <w:t>institué</w:t>
      </w:r>
      <w:r w:rsidR="00570F8E">
        <w:rPr>
          <w:rFonts w:ascii="Times New Roman" w:hAnsi="Times New Roman" w:cs="Times New Roman"/>
        </w:rPr>
        <w:t xml:space="preserve"> </w:t>
      </w:r>
      <w:r w:rsidR="008279D2">
        <w:rPr>
          <w:rFonts w:ascii="Times New Roman" w:hAnsi="Times New Roman" w:cs="Times New Roman"/>
        </w:rPr>
        <w:t>depuis</w:t>
      </w:r>
      <w:r w:rsidR="00570F8E">
        <w:rPr>
          <w:rFonts w:ascii="Times New Roman" w:hAnsi="Times New Roman" w:cs="Times New Roman"/>
        </w:rPr>
        <w:t xml:space="preserve"> 2017</w:t>
      </w:r>
      <w:r>
        <w:rPr>
          <w:rFonts w:ascii="Times New Roman" w:hAnsi="Times New Roman" w:cs="Times New Roman"/>
        </w:rPr>
        <w:t xml:space="preserve"> pour </w:t>
      </w:r>
      <w:r w:rsidR="00570F8E">
        <w:rPr>
          <w:rFonts w:ascii="Times New Roman" w:hAnsi="Times New Roman" w:cs="Times New Roman"/>
        </w:rPr>
        <w:t>l’intégration</w:t>
      </w:r>
      <w:r>
        <w:rPr>
          <w:rFonts w:ascii="Times New Roman" w:hAnsi="Times New Roman" w:cs="Times New Roman"/>
        </w:rPr>
        <w:t xml:space="preserve"> des attachés d’administration </w:t>
      </w:r>
      <w:r w:rsidR="00570F8E">
        <w:rPr>
          <w:rFonts w:ascii="Times New Roman" w:hAnsi="Times New Roman" w:cs="Times New Roman"/>
        </w:rPr>
        <w:t xml:space="preserve">sera </w:t>
      </w:r>
      <w:r w:rsidR="007A6FBF">
        <w:rPr>
          <w:rFonts w:ascii="Times New Roman" w:hAnsi="Times New Roman" w:cs="Times New Roman"/>
        </w:rPr>
        <w:t xml:space="preserve">progressivement </w:t>
      </w:r>
      <w:r w:rsidR="00570F8E">
        <w:rPr>
          <w:rFonts w:ascii="Times New Roman" w:hAnsi="Times New Roman" w:cs="Times New Roman"/>
        </w:rPr>
        <w:t>élargi</w:t>
      </w:r>
      <w:r w:rsidR="001D65A9">
        <w:rPr>
          <w:rFonts w:ascii="Times New Roman" w:hAnsi="Times New Roman" w:cs="Times New Roman"/>
        </w:rPr>
        <w:t xml:space="preserve"> à l’ensemble des primo-nominations suite à la réussite d’un concours. Dans ce cadre, afin de favoriser la prise en compte de nouvelles responsabilités comme l’insertion au sein du Ministère et de ses opérateurs ou services, il est souhaité que les agents restent au moins deux ans dans leur premier poste. </w:t>
      </w:r>
    </w:p>
    <w:p w14:paraId="365EC333" w14:textId="30887920" w:rsidR="001D65A9" w:rsidRPr="001D65A9" w:rsidRDefault="001D65A9" w:rsidP="00953583">
      <w:pPr>
        <w:jc w:val="both"/>
      </w:pPr>
    </w:p>
    <w:p w14:paraId="5824B894" w14:textId="11640A3E" w:rsidR="00BD42D5" w:rsidRPr="001D65A9" w:rsidRDefault="00496BFF" w:rsidP="00496BFF">
      <w:pPr>
        <w:pStyle w:val="Paragraphedeliste"/>
        <w:ind w:left="0"/>
        <w:jc w:val="both"/>
        <w:rPr>
          <w:u w:val="single"/>
        </w:rPr>
      </w:pPr>
      <w:r>
        <w:rPr>
          <w:rFonts w:ascii="Times New Roman" w:eastAsia="Times New Roman" w:hAnsi="Times New Roman" w:cs="Times New Roman"/>
          <w:u w:val="single"/>
          <w:lang w:eastAsia="x-none"/>
        </w:rPr>
        <w:t xml:space="preserve">5 : </w:t>
      </w:r>
      <w:r w:rsidR="00BD42D5">
        <w:rPr>
          <w:rFonts w:ascii="Times New Roman" w:eastAsia="Times New Roman" w:hAnsi="Times New Roman" w:cs="Times New Roman"/>
          <w:u w:val="single"/>
          <w:lang w:eastAsia="x-none"/>
        </w:rPr>
        <w:t>Assurer l</w:t>
      </w:r>
      <w:r w:rsidR="00BD42D5" w:rsidRPr="001D65A9">
        <w:rPr>
          <w:rFonts w:ascii="Times New Roman" w:eastAsia="Times New Roman" w:hAnsi="Times New Roman" w:cs="Times New Roman"/>
          <w:u w:val="single"/>
          <w:lang w:val="x-none" w:eastAsia="x-none"/>
        </w:rPr>
        <w:t>’égalité professionnelle entre les femmes et les hommes</w:t>
      </w:r>
      <w:r w:rsidR="00BD42D5">
        <w:rPr>
          <w:rFonts w:ascii="Times New Roman" w:eastAsia="Times New Roman" w:hAnsi="Times New Roman" w:cs="Times New Roman"/>
          <w:u w:val="single"/>
          <w:lang w:eastAsia="x-none"/>
        </w:rPr>
        <w:t xml:space="preserve"> et la diversité dans le cadre de la mobilité</w:t>
      </w:r>
    </w:p>
    <w:p w14:paraId="13C9E6E0" w14:textId="77777777" w:rsidR="00BD42D5" w:rsidRPr="00A62297" w:rsidRDefault="00BD42D5" w:rsidP="00BD42D5">
      <w:pPr>
        <w:pStyle w:val="Paragraphedeliste"/>
        <w:ind w:left="360"/>
        <w:jc w:val="both"/>
      </w:pPr>
    </w:p>
    <w:p w14:paraId="43AAE270" w14:textId="3127D62D" w:rsidR="00BD42D5" w:rsidRDefault="00BC0433" w:rsidP="00BD42D5">
      <w:pPr>
        <w:pStyle w:val="Paragraphedeliste"/>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Le Ministère de la Culture est engagé dans une politique volontariste en matière d’égalité entre les femmes et les hommes et de diversité. Le </w:t>
      </w:r>
      <w:r w:rsidR="00BD42D5">
        <w:rPr>
          <w:rFonts w:ascii="Times New Roman" w:eastAsia="Times New Roman" w:hAnsi="Times New Roman" w:cs="Times New Roman"/>
          <w:lang w:eastAsia="zh-CN"/>
        </w:rPr>
        <w:t>M</w:t>
      </w:r>
      <w:r w:rsidR="00BD42D5" w:rsidRPr="004C1FE6">
        <w:rPr>
          <w:rFonts w:ascii="Times New Roman" w:eastAsia="Times New Roman" w:hAnsi="Times New Roman" w:cs="Times New Roman"/>
          <w:lang w:eastAsia="zh-CN"/>
        </w:rPr>
        <w:t>inistère de la Culture</w:t>
      </w:r>
      <w:r w:rsidR="00BD42D5">
        <w:rPr>
          <w:rFonts w:ascii="Times New Roman" w:eastAsia="Times New Roman" w:hAnsi="Times New Roman" w:cs="Times New Roman"/>
          <w:lang w:eastAsia="zh-CN"/>
        </w:rPr>
        <w:t xml:space="preserve"> est labellisé </w:t>
      </w:r>
      <w:r w:rsidR="00BD42D5" w:rsidRPr="004C1FE6">
        <w:rPr>
          <w:rFonts w:ascii="Times New Roman" w:eastAsia="Times New Roman" w:hAnsi="Times New Roman" w:cs="Times New Roman"/>
          <w:lang w:eastAsia="zh-CN"/>
        </w:rPr>
        <w:t>depuis</w:t>
      </w:r>
      <w:r w:rsidR="00BD42D5">
        <w:rPr>
          <w:rFonts w:ascii="Times New Roman" w:eastAsia="Times New Roman" w:hAnsi="Times New Roman" w:cs="Times New Roman"/>
          <w:lang w:eastAsia="zh-CN"/>
        </w:rPr>
        <w:t xml:space="preserve"> novembre 2017 au titre des </w:t>
      </w:r>
      <w:r w:rsidR="00BD42D5" w:rsidRPr="004C1FE6">
        <w:rPr>
          <w:rFonts w:ascii="Times New Roman" w:eastAsia="Times New Roman" w:hAnsi="Times New Roman" w:cs="Times New Roman"/>
          <w:lang w:eastAsia="zh-CN"/>
        </w:rPr>
        <w:t>labels « Diversité » et « Égalité professionnelle » délivrés par l’AFNOR</w:t>
      </w:r>
      <w:r w:rsidR="00BD42D5">
        <w:rPr>
          <w:rFonts w:ascii="Times New Roman" w:eastAsia="Times New Roman" w:hAnsi="Times New Roman" w:cs="Times New Roman"/>
          <w:lang w:eastAsia="zh-CN"/>
        </w:rPr>
        <w:t xml:space="preserve">. Cette double labellisation est progressivement étendue à </w:t>
      </w:r>
      <w:r w:rsidR="00BD42D5" w:rsidRPr="004C1FE6">
        <w:rPr>
          <w:rFonts w:ascii="Times New Roman" w:eastAsia="Times New Roman" w:hAnsi="Times New Roman" w:cs="Times New Roman"/>
          <w:lang w:eastAsia="zh-CN"/>
        </w:rPr>
        <w:t xml:space="preserve">l’ensemble du périmètre ministériel. </w:t>
      </w:r>
      <w:r w:rsidR="00BD42D5">
        <w:rPr>
          <w:rFonts w:ascii="Times New Roman" w:eastAsia="Times New Roman" w:hAnsi="Times New Roman" w:cs="Times New Roman"/>
          <w:lang w:eastAsia="zh-CN"/>
        </w:rPr>
        <w:t xml:space="preserve">En effet, </w:t>
      </w:r>
      <w:r w:rsidR="0088145A">
        <w:rPr>
          <w:rFonts w:ascii="Times New Roman" w:eastAsia="Times New Roman" w:hAnsi="Times New Roman" w:cs="Times New Roman"/>
          <w:lang w:eastAsia="zh-CN"/>
        </w:rPr>
        <w:t xml:space="preserve">17 établissements </w:t>
      </w:r>
      <w:r w:rsidR="00BD42D5" w:rsidRPr="005E2C79">
        <w:rPr>
          <w:rFonts w:ascii="Times New Roman" w:eastAsia="Times New Roman" w:hAnsi="Times New Roman" w:cs="Times New Roman"/>
          <w:lang w:eastAsia="zh-CN"/>
        </w:rPr>
        <w:t xml:space="preserve">publics ont obtenu le label </w:t>
      </w:r>
      <w:r w:rsidRPr="005E2C79">
        <w:rPr>
          <w:rFonts w:ascii="Times New Roman" w:eastAsia="Times New Roman" w:hAnsi="Times New Roman" w:cs="Times New Roman"/>
          <w:lang w:eastAsia="zh-CN"/>
        </w:rPr>
        <w:t>« </w:t>
      </w:r>
      <w:r w:rsidR="00BD42D5" w:rsidRPr="005E2C79">
        <w:rPr>
          <w:rFonts w:ascii="Times New Roman" w:eastAsia="Times New Roman" w:hAnsi="Times New Roman" w:cs="Times New Roman"/>
          <w:lang w:eastAsia="zh-CN"/>
        </w:rPr>
        <w:t>diversité</w:t>
      </w:r>
      <w:r w:rsidRPr="005E2C79">
        <w:rPr>
          <w:rFonts w:ascii="Times New Roman" w:eastAsia="Times New Roman" w:hAnsi="Times New Roman" w:cs="Times New Roman"/>
          <w:lang w:eastAsia="zh-CN"/>
        </w:rPr>
        <w:t> »</w:t>
      </w:r>
      <w:r w:rsidR="0088145A">
        <w:rPr>
          <w:rFonts w:ascii="Times New Roman" w:eastAsia="Times New Roman" w:hAnsi="Times New Roman" w:cs="Times New Roman"/>
          <w:lang w:eastAsia="zh-CN"/>
        </w:rPr>
        <w:t xml:space="preserve"> et 12 établissements o</w:t>
      </w:r>
      <w:r w:rsidR="00496BFF">
        <w:rPr>
          <w:rFonts w:ascii="Times New Roman" w:eastAsia="Times New Roman" w:hAnsi="Times New Roman" w:cs="Times New Roman"/>
          <w:lang w:eastAsia="zh-CN"/>
        </w:rPr>
        <w:t>nt obtenu le label « égalité ».</w:t>
      </w:r>
    </w:p>
    <w:p w14:paraId="60504567" w14:textId="77777777" w:rsidR="00496BFF" w:rsidRPr="004C1FE6" w:rsidRDefault="00496BFF" w:rsidP="00496BFF">
      <w:pPr>
        <w:rPr>
          <w:highlight w:val="yellow"/>
        </w:rPr>
      </w:pPr>
    </w:p>
    <w:p w14:paraId="51F1FA61" w14:textId="77777777" w:rsidR="00BC0433" w:rsidRDefault="00BC0433" w:rsidP="00BC0433">
      <w:pPr>
        <w:widowControl w:val="0"/>
        <w:tabs>
          <w:tab w:val="left" w:pos="0"/>
        </w:tabs>
        <w:suppressAutoHyphens/>
        <w:spacing w:before="120" w:after="120"/>
        <w:jc w:val="both"/>
        <w:rPr>
          <w:rFonts w:ascii="Times New Roman" w:eastAsia="Times New Roman" w:hAnsi="Times New Roman" w:cs="Times New Roman"/>
          <w:lang w:eastAsia="zh-CN"/>
        </w:rPr>
      </w:pPr>
      <w:r w:rsidRPr="0095130F">
        <w:rPr>
          <w:rFonts w:ascii="Times New Roman" w:eastAsia="Times New Roman" w:hAnsi="Times New Roman" w:cs="Times New Roman"/>
          <w:lang w:eastAsia="zh-CN"/>
        </w:rPr>
        <w:t xml:space="preserve">Un effort important est réalisé en matière d’accès des femmes aux postes de responsabilité. La </w:t>
      </w:r>
      <w:r w:rsidRPr="0095130F">
        <w:rPr>
          <w:rFonts w:ascii="Times New Roman" w:eastAsia="Times New Roman" w:hAnsi="Times New Roman" w:cs="Times New Roman"/>
          <w:lang w:eastAsia="zh-CN"/>
        </w:rPr>
        <w:lastRenderedPageBreak/>
        <w:t>feuille de route Égalité 2019-2022 prévoit ainsi que 50 % des établissements publics nationaux sous tutelle seront, à échéance de la période, présidés et dirigés par des femmes (contre 30 % en 2019).</w:t>
      </w:r>
    </w:p>
    <w:p w14:paraId="04BD010F" w14:textId="77777777" w:rsidR="00496BFF" w:rsidRDefault="00496BFF" w:rsidP="00BC0433">
      <w:pPr>
        <w:widowControl w:val="0"/>
        <w:tabs>
          <w:tab w:val="left" w:pos="0"/>
        </w:tabs>
        <w:suppressAutoHyphens/>
        <w:spacing w:before="120" w:after="120"/>
        <w:jc w:val="both"/>
        <w:rPr>
          <w:rFonts w:ascii="Times New Roman" w:eastAsia="Times New Roman" w:hAnsi="Times New Roman" w:cs="Times New Roman"/>
          <w:lang w:eastAsia="zh-CN"/>
        </w:rPr>
      </w:pPr>
    </w:p>
    <w:p w14:paraId="52439D55" w14:textId="262F0111" w:rsidR="00BC0433" w:rsidRDefault="00BC0433" w:rsidP="00BC0433">
      <w:pPr>
        <w:widowControl w:val="0"/>
        <w:tabs>
          <w:tab w:val="left" w:pos="0"/>
        </w:tabs>
        <w:suppressAutoHyphens/>
        <w:spacing w:before="120"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Un protocole d’accord relatif à l’égalité professionnelle entre les femmes et les hommes a été signé le 22 novembre 2018 par le ministre et l’ensemble des organisations professionnelles, son axe 4 « vers un recrutement exemplaire : mettre en place une démarche de vérification du caractère non discriminatoire des processus de recrutement » renforce les garanties concernant la prise en compte de l’égalité professionnelle entre les femmes et les hommes.</w:t>
      </w:r>
    </w:p>
    <w:p w14:paraId="7448A976" w14:textId="77777777" w:rsidR="00830D84" w:rsidRDefault="00830D84" w:rsidP="00BC0433">
      <w:pPr>
        <w:widowControl w:val="0"/>
        <w:tabs>
          <w:tab w:val="left" w:pos="0"/>
        </w:tabs>
        <w:suppressAutoHyphens/>
        <w:spacing w:before="120" w:after="120"/>
        <w:jc w:val="both"/>
        <w:rPr>
          <w:rFonts w:ascii="Times New Roman" w:eastAsia="Times New Roman" w:hAnsi="Times New Roman" w:cs="Times New Roman"/>
          <w:lang w:eastAsia="zh-CN"/>
        </w:rPr>
      </w:pPr>
    </w:p>
    <w:p w14:paraId="475FC13D" w14:textId="6D8E7624" w:rsidR="00830D84" w:rsidRDefault="00BC0433" w:rsidP="005E2C79">
      <w:pPr>
        <w:pStyle w:val="Paragraphedeliste"/>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Cet engagement se traduit très concrètement en matière de recrutement et de mobilité. Ainsi, l</w:t>
      </w:r>
      <w:r w:rsidR="00BD42D5">
        <w:rPr>
          <w:rFonts w:ascii="Times New Roman" w:eastAsia="Times New Roman" w:hAnsi="Times New Roman" w:cs="Times New Roman"/>
          <w:lang w:eastAsia="zh-CN"/>
        </w:rPr>
        <w:t>a circulaire du 7 février 2017 du ministère de la Culture a prévu une procédure permettant de garantir l’égalité de traitement et l’absence de discrimination dans les recrutements.</w:t>
      </w:r>
      <w:r w:rsidR="0088145A">
        <w:rPr>
          <w:rFonts w:ascii="Times New Roman" w:eastAsia="Times New Roman" w:hAnsi="Times New Roman" w:cs="Times New Roman"/>
          <w:lang w:eastAsia="zh-CN"/>
        </w:rPr>
        <w:t xml:space="preserve"> </w:t>
      </w:r>
      <w:r w:rsidR="005E2C79">
        <w:rPr>
          <w:rFonts w:ascii="Times New Roman" w:eastAsia="Times New Roman" w:hAnsi="Times New Roman" w:cs="Times New Roman"/>
          <w:lang w:eastAsia="zh-CN"/>
        </w:rPr>
        <w:t>Ainsi, c</w:t>
      </w:r>
      <w:r w:rsidR="005E2C79">
        <w:rPr>
          <w:rFonts w:ascii="Times New Roman" w:hAnsi="Times New Roman" w:cs="Times New Roman"/>
        </w:rPr>
        <w:t xml:space="preserve">haque poste vacant fait l’objet d’une publication </w:t>
      </w:r>
      <w:r w:rsidR="005E2C79" w:rsidRPr="00BD556B">
        <w:rPr>
          <w:rFonts w:ascii="Times New Roman" w:hAnsi="Times New Roman" w:cs="Times New Roman"/>
        </w:rPr>
        <w:t>sur la Place de l’emploi public (</w:t>
      </w:r>
      <w:hyperlink r:id="rId8" w:history="1">
        <w:r w:rsidR="005E2C79" w:rsidRPr="00BD556B">
          <w:rPr>
            <w:rStyle w:val="Lienhypertexte"/>
            <w:rFonts w:ascii="Times New Roman" w:hAnsi="Times New Roman" w:cs="Times New Roman"/>
            <w:color w:val="auto"/>
          </w:rPr>
          <w:t>https://www.place-emploi-public.gouv.fr</w:t>
        </w:r>
      </w:hyperlink>
      <w:r w:rsidR="005E2C79" w:rsidRPr="00BD556B">
        <w:rPr>
          <w:rFonts w:ascii="Times New Roman" w:hAnsi="Times New Roman" w:cs="Times New Roman"/>
        </w:rPr>
        <w:t>), sans préjudice d’autres modes de publication.</w:t>
      </w:r>
      <w:r w:rsidR="005E2C79">
        <w:rPr>
          <w:rFonts w:ascii="Times New Roman" w:hAnsi="Times New Roman" w:cs="Times New Roman"/>
        </w:rPr>
        <w:t xml:space="preserve"> </w:t>
      </w:r>
      <w:r>
        <w:rPr>
          <w:rFonts w:ascii="Times New Roman" w:eastAsia="Times New Roman" w:hAnsi="Times New Roman" w:cs="Times New Roman"/>
          <w:lang w:eastAsia="zh-CN"/>
        </w:rPr>
        <w:t>Chacun des recrutements réalisés au sein du périmètre ministériel doit être effectué en suivant cette procédure, hormis les postes pour lesquels une procédure particulière est par ailleurs prévue par les textes</w:t>
      </w:r>
      <w:r w:rsidR="0088145A">
        <w:rPr>
          <w:rFonts w:ascii="Times New Roman" w:eastAsia="Times New Roman" w:hAnsi="Times New Roman" w:cs="Times New Roman"/>
          <w:lang w:eastAsia="zh-CN"/>
        </w:rPr>
        <w:t>.</w:t>
      </w:r>
    </w:p>
    <w:p w14:paraId="0D5746E1" w14:textId="77777777" w:rsidR="00830D84" w:rsidRPr="00830D84" w:rsidRDefault="00830D84" w:rsidP="005E2C79">
      <w:pPr>
        <w:pStyle w:val="Paragraphedeliste"/>
        <w:ind w:left="0"/>
        <w:jc w:val="both"/>
        <w:rPr>
          <w:rFonts w:ascii="Times New Roman" w:eastAsia="Times New Roman" w:hAnsi="Times New Roman" w:cs="Times New Roman"/>
          <w:lang w:eastAsia="zh-CN"/>
        </w:rPr>
      </w:pPr>
    </w:p>
    <w:p w14:paraId="694B8189" w14:textId="5722B1B1" w:rsidR="00830D84" w:rsidRDefault="00BC0433" w:rsidP="00830D84">
      <w:pPr>
        <w:widowControl w:val="0"/>
        <w:tabs>
          <w:tab w:val="left" w:pos="0"/>
        </w:tabs>
        <w:suppressAutoHyphens/>
        <w:spacing w:before="120"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En complément, u</w:t>
      </w:r>
      <w:r w:rsidR="00BD42D5">
        <w:rPr>
          <w:rFonts w:ascii="Times New Roman" w:eastAsia="Times New Roman" w:hAnsi="Times New Roman" w:cs="Times New Roman"/>
          <w:lang w:eastAsia="zh-CN"/>
        </w:rPr>
        <w:t>n guide relatif à la publication des postes, la réc</w:t>
      </w:r>
      <w:r w:rsidR="00830D84">
        <w:rPr>
          <w:rFonts w:ascii="Times New Roman" w:eastAsia="Times New Roman" w:hAnsi="Times New Roman" w:cs="Times New Roman"/>
          <w:lang w:eastAsia="zh-CN"/>
        </w:rPr>
        <w:t>eption des candidatures, la pré-sélection</w:t>
      </w:r>
      <w:r w:rsidR="00BD42D5">
        <w:rPr>
          <w:rFonts w:ascii="Times New Roman" w:eastAsia="Times New Roman" w:hAnsi="Times New Roman" w:cs="Times New Roman"/>
          <w:lang w:eastAsia="zh-CN"/>
        </w:rPr>
        <w:t>, les entretiens, le contrôle et l’archivage de la procédure de recrutement, est diffusé à tous les services du ministère. Il comprend des grilles de sélection et d’entretien permett</w:t>
      </w:r>
      <w:r w:rsidR="00830D84">
        <w:rPr>
          <w:rFonts w:ascii="Times New Roman" w:eastAsia="Times New Roman" w:hAnsi="Times New Roman" w:cs="Times New Roman"/>
          <w:lang w:eastAsia="zh-CN"/>
        </w:rPr>
        <w:t>a</w:t>
      </w:r>
      <w:r w:rsidR="00BD42D5">
        <w:rPr>
          <w:rFonts w:ascii="Times New Roman" w:eastAsia="Times New Roman" w:hAnsi="Times New Roman" w:cs="Times New Roman"/>
          <w:lang w:eastAsia="zh-CN"/>
        </w:rPr>
        <w:t>nt d’avoir des critères objectifs et appliqués de façon homogène au sein du ministère</w:t>
      </w:r>
      <w:r w:rsidR="001D65A9">
        <w:rPr>
          <w:rFonts w:ascii="Times New Roman" w:eastAsia="Times New Roman" w:hAnsi="Times New Roman" w:cs="Times New Roman"/>
          <w:lang w:eastAsia="zh-CN"/>
        </w:rPr>
        <w:t>.</w:t>
      </w:r>
    </w:p>
    <w:p w14:paraId="19E116C7" w14:textId="77777777" w:rsidR="00830D84" w:rsidRDefault="00830D84" w:rsidP="00830D84">
      <w:pPr>
        <w:widowControl w:val="0"/>
        <w:tabs>
          <w:tab w:val="left" w:pos="0"/>
        </w:tabs>
        <w:suppressAutoHyphens/>
        <w:spacing w:before="120" w:after="120"/>
        <w:jc w:val="both"/>
        <w:rPr>
          <w:rFonts w:ascii="Times New Roman" w:eastAsia="Times New Roman" w:hAnsi="Times New Roman" w:cs="Times New Roman"/>
          <w:lang w:eastAsia="zh-CN"/>
        </w:rPr>
      </w:pPr>
    </w:p>
    <w:p w14:paraId="2C6A631B" w14:textId="15498629" w:rsidR="00670E53" w:rsidRPr="00830D84" w:rsidRDefault="00830D84" w:rsidP="00830D84">
      <w:pPr>
        <w:widowControl w:val="0"/>
        <w:tabs>
          <w:tab w:val="left" w:pos="0"/>
        </w:tabs>
        <w:suppressAutoHyphens/>
        <w:spacing w:before="120" w:after="120"/>
        <w:jc w:val="both"/>
        <w:rPr>
          <w:rFonts w:ascii="Times New Roman" w:eastAsia="Times New Roman" w:hAnsi="Times New Roman" w:cs="Times New Roman"/>
          <w:lang w:eastAsia="zh-CN"/>
        </w:rPr>
      </w:pPr>
      <w:r>
        <w:rPr>
          <w:rFonts w:ascii="Times New Roman" w:eastAsia="Times New Roman" w:hAnsi="Times New Roman" w:cs="Times New Roman"/>
          <w:u w:val="single"/>
          <w:lang w:eastAsia="x-none"/>
        </w:rPr>
        <w:t xml:space="preserve">6 : </w:t>
      </w:r>
      <w:proofErr w:type="spellStart"/>
      <w:r w:rsidR="00284AA0">
        <w:rPr>
          <w:rFonts w:ascii="Times New Roman" w:eastAsia="Times New Roman" w:hAnsi="Times New Roman" w:cs="Times New Roman"/>
          <w:u w:val="single"/>
          <w:lang w:eastAsia="x-none"/>
        </w:rPr>
        <w:t>L</w:t>
      </w:r>
      <w:r w:rsidR="00284AA0" w:rsidRPr="001D65A9">
        <w:rPr>
          <w:rFonts w:ascii="Times New Roman" w:eastAsia="Times New Roman" w:hAnsi="Times New Roman" w:cs="Times New Roman"/>
          <w:u w:val="single"/>
          <w:lang w:val="x-none" w:eastAsia="x-none"/>
        </w:rPr>
        <w:t>es</w:t>
      </w:r>
      <w:proofErr w:type="spellEnd"/>
      <w:r w:rsidR="00F37E83">
        <w:rPr>
          <w:rFonts w:ascii="Times New Roman" w:eastAsia="Times New Roman" w:hAnsi="Times New Roman" w:cs="Times New Roman"/>
          <w:u w:val="single"/>
          <w:lang w:eastAsia="x-none"/>
        </w:rPr>
        <w:t xml:space="preserve"> </w:t>
      </w:r>
      <w:r w:rsidR="00670E53" w:rsidRPr="001D65A9">
        <w:rPr>
          <w:rFonts w:ascii="Times New Roman" w:eastAsia="Times New Roman" w:hAnsi="Times New Roman" w:cs="Times New Roman"/>
          <w:u w:val="single"/>
          <w:lang w:val="x-none" w:eastAsia="x-none"/>
        </w:rPr>
        <w:t>modalités d’accompagnement des projets de mobilité au sein ou à l’extérieur de l’administration d’emploi </w:t>
      </w:r>
    </w:p>
    <w:p w14:paraId="0FE35447" w14:textId="65330F4D" w:rsidR="0026392A" w:rsidRDefault="0026392A" w:rsidP="00953583">
      <w:pPr>
        <w:jc w:val="both"/>
        <w:rPr>
          <w:rFonts w:ascii="Times New Roman" w:hAnsi="Times New Roman" w:cs="Times New Roman"/>
        </w:rPr>
      </w:pPr>
    </w:p>
    <w:p w14:paraId="474D74B9" w14:textId="295599EB" w:rsidR="000C6D7D" w:rsidRDefault="000C6D7D" w:rsidP="00DB434D">
      <w:pPr>
        <w:jc w:val="both"/>
        <w:rPr>
          <w:rFonts w:ascii="Times New Roman" w:hAnsi="Times New Roman"/>
        </w:rPr>
      </w:pPr>
      <w:r>
        <w:rPr>
          <w:rFonts w:ascii="Times New Roman" w:hAnsi="Times New Roman"/>
        </w:rPr>
        <w:t xml:space="preserve">Les projets de mobilité peuvent faire l’objet d’un accompagnement </w:t>
      </w:r>
      <w:r w:rsidR="00570F8E">
        <w:rPr>
          <w:rFonts w:ascii="Times New Roman" w:hAnsi="Times New Roman"/>
        </w:rPr>
        <w:t xml:space="preserve">qui s’exerce </w:t>
      </w:r>
      <w:r>
        <w:rPr>
          <w:rFonts w:ascii="Times New Roman" w:hAnsi="Times New Roman"/>
        </w:rPr>
        <w:t>à plusieurs niveaux</w:t>
      </w:r>
      <w:r w:rsidR="003F1119">
        <w:rPr>
          <w:rFonts w:ascii="Times New Roman" w:hAnsi="Times New Roman"/>
        </w:rPr>
        <w:t> :</w:t>
      </w:r>
    </w:p>
    <w:p w14:paraId="3222C9F5" w14:textId="51AB7BA0" w:rsidR="00570F8E" w:rsidRDefault="00570F8E" w:rsidP="00DB434D">
      <w:pPr>
        <w:jc w:val="both"/>
        <w:rPr>
          <w:rFonts w:ascii="Times New Roman" w:hAnsi="Times New Roman"/>
        </w:rPr>
      </w:pPr>
    </w:p>
    <w:p w14:paraId="3A0CE9F5" w14:textId="7BC4CC9D" w:rsidR="004378BC" w:rsidRDefault="003F1119" w:rsidP="001D65A9">
      <w:pPr>
        <w:ind w:firstLine="567"/>
        <w:jc w:val="both"/>
        <w:rPr>
          <w:rFonts w:ascii="Times New Roman" w:hAnsi="Times New Roman" w:cs="Times New Roman"/>
        </w:rPr>
      </w:pPr>
      <w:r>
        <w:rPr>
          <w:rFonts w:ascii="Times New Roman" w:hAnsi="Times New Roman" w:cs="Times New Roman"/>
        </w:rPr>
        <w:t xml:space="preserve">- </w:t>
      </w:r>
      <w:r w:rsidR="00B555B8">
        <w:rPr>
          <w:rFonts w:ascii="Times New Roman" w:hAnsi="Times New Roman" w:cs="Times New Roman"/>
        </w:rPr>
        <w:t>C</w:t>
      </w:r>
      <w:r w:rsidR="0088145A">
        <w:rPr>
          <w:rFonts w:ascii="Times New Roman" w:hAnsi="Times New Roman" w:cs="Times New Roman"/>
        </w:rPr>
        <w:t>es projets sont</w:t>
      </w:r>
      <w:r w:rsidR="00570F8E">
        <w:rPr>
          <w:rFonts w:ascii="Times New Roman" w:hAnsi="Times New Roman" w:cs="Times New Roman"/>
        </w:rPr>
        <w:t xml:space="preserve"> évoqués entre les agents et leur encadrement dans le cadre de leurs relations permanentes et quotidiennes. Au-delà du caractère formel de l’entretien professionnel annuel faisant l’objet d’un compte-rendu (CREP), chaque n+1 est en mesure de recueillir les besoins d’information et les questions des agents qui envisagent une mobilité. Ils</w:t>
      </w:r>
      <w:r w:rsidR="0088145A">
        <w:rPr>
          <w:rFonts w:ascii="Times New Roman" w:hAnsi="Times New Roman" w:cs="Times New Roman"/>
        </w:rPr>
        <w:t xml:space="preserve"> apportent les réponses qui relèvent de leurs compétences, en lien avec le service des r</w:t>
      </w:r>
      <w:r w:rsidR="004378BC">
        <w:rPr>
          <w:rFonts w:ascii="Times New Roman" w:hAnsi="Times New Roman" w:cs="Times New Roman"/>
        </w:rPr>
        <w:t>essources humaines de proximité ;</w:t>
      </w:r>
    </w:p>
    <w:p w14:paraId="19781A3D" w14:textId="141BE503" w:rsidR="003F1119" w:rsidRDefault="003F1119" w:rsidP="001D65A9">
      <w:pPr>
        <w:ind w:firstLine="360"/>
        <w:jc w:val="both"/>
        <w:rPr>
          <w:rFonts w:ascii="Times New Roman" w:hAnsi="Times New Roman" w:cs="Times New Roman"/>
        </w:rPr>
      </w:pPr>
    </w:p>
    <w:p w14:paraId="71D68434" w14:textId="5010B2F0" w:rsidR="00366DD9" w:rsidRPr="00366DD9" w:rsidRDefault="00B555B8" w:rsidP="001D65A9">
      <w:pPr>
        <w:pStyle w:val="Paragraphedeliste"/>
        <w:numPr>
          <w:ilvl w:val="0"/>
          <w:numId w:val="19"/>
        </w:numPr>
        <w:ind w:left="0" w:firstLine="567"/>
        <w:jc w:val="both"/>
        <w:rPr>
          <w:rFonts w:ascii="Times New Roman" w:hAnsi="Times New Roman" w:cs="Times New Roman"/>
        </w:rPr>
      </w:pPr>
      <w:r w:rsidRPr="001D65A9">
        <w:rPr>
          <w:rFonts w:ascii="Times New Roman" w:hAnsi="Times New Roman" w:cs="Times New Roman"/>
        </w:rPr>
        <w:t>Le</w:t>
      </w:r>
      <w:r w:rsidR="00570F8E" w:rsidRPr="001D65A9">
        <w:rPr>
          <w:rFonts w:ascii="Times New Roman" w:hAnsi="Times New Roman" w:cs="Times New Roman"/>
        </w:rPr>
        <w:t xml:space="preserve"> service </w:t>
      </w:r>
      <w:r w:rsidR="004378BC" w:rsidRPr="001D65A9">
        <w:rPr>
          <w:rFonts w:ascii="Times New Roman" w:hAnsi="Times New Roman" w:cs="Times New Roman"/>
        </w:rPr>
        <w:t xml:space="preserve">en charge des ressources humaines </w:t>
      </w:r>
      <w:r w:rsidR="00570F8E" w:rsidRPr="001D65A9">
        <w:rPr>
          <w:rFonts w:ascii="Times New Roman" w:hAnsi="Times New Roman" w:cs="Times New Roman"/>
        </w:rPr>
        <w:t xml:space="preserve">de proximité </w:t>
      </w:r>
      <w:r w:rsidR="004378BC" w:rsidRPr="001D65A9">
        <w:rPr>
          <w:rFonts w:ascii="Times New Roman" w:hAnsi="Times New Roman" w:cs="Times New Roman"/>
        </w:rPr>
        <w:t>complète</w:t>
      </w:r>
      <w:r w:rsidR="00570F8E" w:rsidRPr="001D65A9">
        <w:rPr>
          <w:rFonts w:ascii="Times New Roman" w:hAnsi="Times New Roman" w:cs="Times New Roman"/>
        </w:rPr>
        <w:t xml:space="preserve"> l’information de</w:t>
      </w:r>
      <w:r w:rsidR="00366DD9">
        <w:rPr>
          <w:rFonts w:ascii="Times New Roman" w:hAnsi="Times New Roman" w:cs="Times New Roman"/>
        </w:rPr>
        <w:t xml:space="preserve"> </w:t>
      </w:r>
      <w:r w:rsidR="00570F8E" w:rsidRPr="001D65A9">
        <w:rPr>
          <w:rFonts w:ascii="Times New Roman" w:hAnsi="Times New Roman" w:cs="Times New Roman"/>
        </w:rPr>
        <w:t>l’agent</w:t>
      </w:r>
      <w:r w:rsidR="004378BC" w:rsidRPr="004378BC">
        <w:rPr>
          <w:rFonts w:ascii="Times New Roman" w:hAnsi="Times New Roman" w:cs="Times New Roman"/>
        </w:rPr>
        <w:t xml:space="preserve"> et le conseille si besoin sur son projet de mobilité. Il s’appuie pour ce faire sur l</w:t>
      </w:r>
      <w:r w:rsidR="00366DD9">
        <w:rPr>
          <w:rFonts w:ascii="Times New Roman" w:hAnsi="Times New Roman" w:cs="Times New Roman"/>
        </w:rPr>
        <w:t>e d</w:t>
      </w:r>
      <w:r w:rsidR="004378BC" w:rsidRPr="004378BC">
        <w:rPr>
          <w:rFonts w:ascii="Times New Roman" w:hAnsi="Times New Roman" w:cs="Times New Roman"/>
        </w:rPr>
        <w:t>épartement de</w:t>
      </w:r>
      <w:r w:rsidR="00830D84">
        <w:rPr>
          <w:rFonts w:ascii="Times New Roman" w:hAnsi="Times New Roman" w:cs="Times New Roman"/>
        </w:rPr>
        <w:t xml:space="preserve"> l’action territoriale</w:t>
      </w:r>
      <w:r w:rsidR="004378BC" w:rsidRPr="004378BC">
        <w:rPr>
          <w:rFonts w:ascii="Times New Roman" w:hAnsi="Times New Roman" w:cs="Times New Roman"/>
        </w:rPr>
        <w:t xml:space="preserve"> s’agissant des services déconcentrés, la direction générale de rattachement (pour les services à compétence nationale) ou de tutelle (pour les </w:t>
      </w:r>
      <w:r w:rsidR="004378BC" w:rsidRPr="001D65A9">
        <w:rPr>
          <w:rFonts w:ascii="Times New Roman" w:hAnsi="Times New Roman" w:cs="Times New Roman"/>
        </w:rPr>
        <w:t>établiss</w:t>
      </w:r>
      <w:r w:rsidR="004378BC">
        <w:rPr>
          <w:rFonts w:ascii="Times New Roman" w:hAnsi="Times New Roman" w:cs="Times New Roman"/>
        </w:rPr>
        <w:t xml:space="preserve">ements </w:t>
      </w:r>
      <w:r w:rsidR="004378BC" w:rsidRPr="001D65A9">
        <w:rPr>
          <w:rFonts w:ascii="Times New Roman" w:hAnsi="Times New Roman" w:cs="Times New Roman"/>
        </w:rPr>
        <w:t xml:space="preserve">publics). Pour les agents relevant du secrétariat général, </w:t>
      </w:r>
      <w:r w:rsidR="004378BC">
        <w:rPr>
          <w:rFonts w:ascii="Times New Roman" w:hAnsi="Times New Roman" w:cs="Times New Roman"/>
        </w:rPr>
        <w:t>le service des ressources</w:t>
      </w:r>
      <w:r w:rsidR="00DE2B53">
        <w:rPr>
          <w:rFonts w:ascii="Times New Roman" w:hAnsi="Times New Roman" w:cs="Times New Roman"/>
        </w:rPr>
        <w:t xml:space="preserve"> </w:t>
      </w:r>
      <w:r w:rsidR="00DE2B53" w:rsidRPr="00FA1582">
        <w:rPr>
          <w:rFonts w:ascii="Times New Roman" w:hAnsi="Times New Roman" w:cs="Times New Roman"/>
        </w:rPr>
        <w:t>humaines</w:t>
      </w:r>
      <w:r w:rsidR="004378BC">
        <w:rPr>
          <w:rFonts w:ascii="Times New Roman" w:hAnsi="Times New Roman" w:cs="Times New Roman"/>
        </w:rPr>
        <w:t xml:space="preserve"> rempli les fonction</w:t>
      </w:r>
      <w:r w:rsidR="00366DD9">
        <w:rPr>
          <w:rFonts w:ascii="Times New Roman" w:hAnsi="Times New Roman" w:cs="Times New Roman"/>
        </w:rPr>
        <w:t>s</w:t>
      </w:r>
      <w:r w:rsidR="004378BC">
        <w:rPr>
          <w:rFonts w:ascii="Times New Roman" w:hAnsi="Times New Roman" w:cs="Times New Roman"/>
        </w:rPr>
        <w:t xml:space="preserve"> de service de proximité</w:t>
      </w:r>
      <w:r w:rsidR="00366DD9" w:rsidRPr="00CB0DD7">
        <w:rPr>
          <w:rFonts w:ascii="Times New Roman" w:hAnsi="Times New Roman" w:cs="Times New Roman"/>
        </w:rPr>
        <w:t>.</w:t>
      </w:r>
      <w:r w:rsidR="00366DD9" w:rsidRPr="001D65A9">
        <w:rPr>
          <w:rFonts w:ascii="Times New Roman" w:hAnsi="Times New Roman" w:cs="Times New Roman"/>
        </w:rPr>
        <w:t xml:space="preserve"> Les différentes directions du ministère disposent, en effet, d’une vision actualisée et prospective sur leurs emplois, leurs métiers et les compétences qui leur sont nécessaires, ainsi que sur leurs évolutions. Elles disposent également d’une vision sur les parcours professionnels réalisés en leur sein et sur ceux qui lui paraissent </w:t>
      </w:r>
      <w:r w:rsidR="00366DD9" w:rsidRPr="001D65A9">
        <w:rPr>
          <w:rFonts w:ascii="Times New Roman" w:hAnsi="Times New Roman" w:cs="Times New Roman"/>
        </w:rPr>
        <w:lastRenderedPageBreak/>
        <w:t xml:space="preserve">possibles ou souhaitables. Elles peuvent appuyer les </w:t>
      </w:r>
      <w:r w:rsidRPr="001D65A9">
        <w:rPr>
          <w:rFonts w:ascii="Times New Roman" w:hAnsi="Times New Roman" w:cs="Times New Roman"/>
        </w:rPr>
        <w:t>services de</w:t>
      </w:r>
      <w:r w:rsidR="00366DD9" w:rsidRPr="001D65A9">
        <w:rPr>
          <w:rFonts w:ascii="Times New Roman" w:hAnsi="Times New Roman" w:cs="Times New Roman"/>
        </w:rPr>
        <w:t xml:space="preserve"> ressources humaines de proximité dans la construction des parcours professionnels des agents.</w:t>
      </w:r>
    </w:p>
    <w:p w14:paraId="1614CC20" w14:textId="77777777" w:rsidR="004378BC" w:rsidRPr="001D65A9" w:rsidRDefault="004378BC" w:rsidP="001D65A9">
      <w:pPr>
        <w:rPr>
          <w:rFonts w:ascii="Times New Roman" w:hAnsi="Times New Roman" w:cs="Times New Roman"/>
        </w:rPr>
      </w:pPr>
    </w:p>
    <w:p w14:paraId="2DBD8FCB" w14:textId="4ECCBADF" w:rsidR="00220B1A" w:rsidRDefault="003F1119" w:rsidP="001D65A9">
      <w:pPr>
        <w:ind w:firstLine="567"/>
        <w:jc w:val="both"/>
        <w:rPr>
          <w:rFonts w:ascii="Times New Roman" w:hAnsi="Times New Roman" w:cs="Times New Roman"/>
        </w:rPr>
      </w:pPr>
      <w:r>
        <w:rPr>
          <w:rFonts w:ascii="Times New Roman" w:hAnsi="Times New Roman" w:cs="Times New Roman"/>
        </w:rPr>
        <w:t>-</w:t>
      </w:r>
      <w:r w:rsidR="007B5F74">
        <w:rPr>
          <w:rFonts w:ascii="Times New Roman" w:hAnsi="Times New Roman" w:cs="Times New Roman"/>
        </w:rPr>
        <w:t xml:space="preserve"> </w:t>
      </w:r>
      <w:r w:rsidR="00830D84">
        <w:rPr>
          <w:rFonts w:ascii="Times New Roman" w:hAnsi="Times New Roman" w:cs="Times New Roman"/>
        </w:rPr>
        <w:t>L</w:t>
      </w:r>
      <w:r w:rsidR="00570F8E" w:rsidRPr="007A6FBF">
        <w:rPr>
          <w:rFonts w:ascii="Times New Roman" w:hAnsi="Times New Roman" w:cs="Times New Roman"/>
        </w:rPr>
        <w:t xml:space="preserve">e </w:t>
      </w:r>
      <w:r w:rsidR="00366DD9">
        <w:rPr>
          <w:rFonts w:ascii="Times New Roman" w:hAnsi="Times New Roman" w:cs="Times New Roman"/>
        </w:rPr>
        <w:t xml:space="preserve">service </w:t>
      </w:r>
      <w:r w:rsidR="00830D84">
        <w:rPr>
          <w:rFonts w:ascii="Times New Roman" w:hAnsi="Times New Roman" w:cs="Times New Roman"/>
        </w:rPr>
        <w:t>d</w:t>
      </w:r>
      <w:r w:rsidR="00366DD9">
        <w:rPr>
          <w:rFonts w:ascii="Times New Roman" w:hAnsi="Times New Roman" w:cs="Times New Roman"/>
        </w:rPr>
        <w:t xml:space="preserve">es ressources humaines du ministère de la Culture </w:t>
      </w:r>
      <w:r w:rsidR="00570F8E" w:rsidRPr="007A6FBF">
        <w:rPr>
          <w:rFonts w:ascii="Times New Roman" w:hAnsi="Times New Roman" w:cs="Times New Roman"/>
        </w:rPr>
        <w:t xml:space="preserve">intervient en appui et en conseil des directions et des </w:t>
      </w:r>
      <w:r w:rsidR="00366DD9">
        <w:rPr>
          <w:rFonts w:ascii="Times New Roman" w:hAnsi="Times New Roman" w:cs="Times New Roman"/>
        </w:rPr>
        <w:t>services des ressources humaines de proximité</w:t>
      </w:r>
      <w:r w:rsidR="00570F8E" w:rsidRPr="007A6FBF">
        <w:rPr>
          <w:rFonts w:ascii="Times New Roman" w:hAnsi="Times New Roman" w:cs="Times New Roman"/>
        </w:rPr>
        <w:t>. Il élabore la politique de mobilité</w:t>
      </w:r>
      <w:r w:rsidR="00366DD9">
        <w:rPr>
          <w:rFonts w:ascii="Times New Roman" w:hAnsi="Times New Roman" w:cs="Times New Roman"/>
        </w:rPr>
        <w:t xml:space="preserve">, sur la base des besoins exprimés par les directions générales et les services déconcentrés. Il </w:t>
      </w:r>
      <w:r w:rsidR="00570F8E" w:rsidRPr="007A6FBF">
        <w:rPr>
          <w:rFonts w:ascii="Times New Roman" w:hAnsi="Times New Roman" w:cs="Times New Roman"/>
        </w:rPr>
        <w:t xml:space="preserve">anime le réseau RH du ministère. </w:t>
      </w:r>
    </w:p>
    <w:p w14:paraId="6F5CF3E2" w14:textId="77777777" w:rsidR="00220B1A" w:rsidRDefault="00220B1A" w:rsidP="001D65A9">
      <w:pPr>
        <w:ind w:firstLine="567"/>
        <w:jc w:val="both"/>
        <w:rPr>
          <w:rFonts w:ascii="Times New Roman" w:hAnsi="Times New Roman" w:cs="Times New Roman"/>
        </w:rPr>
      </w:pPr>
    </w:p>
    <w:p w14:paraId="0A85FA38" w14:textId="0E74E204" w:rsidR="00BD786A" w:rsidRDefault="00B555B8" w:rsidP="00BD786A">
      <w:pPr>
        <w:pStyle w:val="Paragraphedeliste"/>
        <w:numPr>
          <w:ilvl w:val="0"/>
          <w:numId w:val="19"/>
        </w:numPr>
        <w:ind w:left="0" w:firstLine="567"/>
        <w:jc w:val="both"/>
        <w:rPr>
          <w:rFonts w:ascii="Times New Roman" w:hAnsi="Times New Roman" w:cs="Times New Roman"/>
        </w:rPr>
      </w:pPr>
      <w:r w:rsidRPr="00BD786A">
        <w:rPr>
          <w:rFonts w:ascii="Times New Roman" w:hAnsi="Times New Roman" w:cs="Times New Roman"/>
        </w:rPr>
        <w:t>Les</w:t>
      </w:r>
      <w:r w:rsidR="00570F8E" w:rsidRPr="00BD786A">
        <w:rPr>
          <w:rFonts w:ascii="Times New Roman" w:hAnsi="Times New Roman" w:cs="Times New Roman"/>
        </w:rPr>
        <w:t xml:space="preserve"> agents dont le projet de mobilité nécessite un accompagnement particulier, </w:t>
      </w:r>
      <w:r w:rsidR="00220B1A" w:rsidRPr="00BD786A">
        <w:rPr>
          <w:rFonts w:ascii="Times New Roman" w:hAnsi="Times New Roman" w:cs="Times New Roman"/>
        </w:rPr>
        <w:t xml:space="preserve">peuvent faire appel à </w:t>
      </w:r>
      <w:r w:rsidR="00570F8E" w:rsidRPr="00BD786A">
        <w:rPr>
          <w:rFonts w:ascii="Times New Roman" w:hAnsi="Times New Roman" w:cs="Times New Roman"/>
        </w:rPr>
        <w:t>un conseiller en évolution professionnelle</w:t>
      </w:r>
      <w:r w:rsidR="00BD786A">
        <w:rPr>
          <w:rFonts w:ascii="Times New Roman" w:hAnsi="Times New Roman" w:cs="Times New Roman"/>
        </w:rPr>
        <w:t>.</w:t>
      </w:r>
    </w:p>
    <w:p w14:paraId="350F6C79" w14:textId="77777777" w:rsidR="00BD786A" w:rsidRDefault="00BD786A" w:rsidP="00BD786A">
      <w:pPr>
        <w:pStyle w:val="Paragraphedeliste"/>
        <w:ind w:left="567"/>
        <w:jc w:val="both"/>
        <w:rPr>
          <w:rFonts w:ascii="Times New Roman" w:hAnsi="Times New Roman" w:cs="Times New Roman"/>
        </w:rPr>
      </w:pPr>
    </w:p>
    <w:p w14:paraId="01271F63" w14:textId="36040211" w:rsidR="00366DD9" w:rsidRDefault="00220B1A" w:rsidP="00366DD9">
      <w:pPr>
        <w:pStyle w:val="Paragraphedeliste"/>
        <w:numPr>
          <w:ilvl w:val="0"/>
          <w:numId w:val="19"/>
        </w:numPr>
        <w:ind w:left="0" w:firstLine="567"/>
        <w:jc w:val="both"/>
        <w:rPr>
          <w:rFonts w:ascii="Times New Roman" w:hAnsi="Times New Roman" w:cs="Times New Roman"/>
        </w:rPr>
      </w:pPr>
      <w:r w:rsidRPr="00BD786A">
        <w:rPr>
          <w:rFonts w:ascii="Times New Roman" w:hAnsi="Times New Roman" w:cs="Times New Roman"/>
        </w:rPr>
        <w:t xml:space="preserve">L’accueil des agents en </w:t>
      </w:r>
      <w:r w:rsidR="00366DD9" w:rsidRPr="00BD786A">
        <w:rPr>
          <w:rFonts w:ascii="Times New Roman" w:hAnsi="Times New Roman" w:cs="Times New Roman"/>
        </w:rPr>
        <w:t>retour de détachement ou d’autres situations interruptives</w:t>
      </w:r>
      <w:r w:rsidRPr="00BD786A">
        <w:rPr>
          <w:rFonts w:ascii="Times New Roman" w:hAnsi="Times New Roman" w:cs="Times New Roman"/>
        </w:rPr>
        <w:t xml:space="preserve"> constitue un enjeu important des parcours de mobilité ministériels</w:t>
      </w:r>
      <w:r w:rsidR="00366DD9" w:rsidRPr="00BD786A">
        <w:rPr>
          <w:rFonts w:ascii="Times New Roman" w:hAnsi="Times New Roman" w:cs="Times New Roman"/>
        </w:rPr>
        <w:t>. C’est le service des ressources humaines de la dernière affectation de l’agent</w:t>
      </w:r>
      <w:r w:rsidRPr="00BD786A">
        <w:rPr>
          <w:rFonts w:ascii="Times New Roman" w:hAnsi="Times New Roman" w:cs="Times New Roman"/>
        </w:rPr>
        <w:t>,</w:t>
      </w:r>
      <w:r w:rsidR="00366DD9" w:rsidRPr="00BD786A">
        <w:rPr>
          <w:rFonts w:ascii="Times New Roman" w:hAnsi="Times New Roman" w:cs="Times New Roman"/>
        </w:rPr>
        <w:t xml:space="preserve"> </w:t>
      </w:r>
      <w:r w:rsidRPr="00BD786A">
        <w:rPr>
          <w:rFonts w:ascii="Times New Roman" w:hAnsi="Times New Roman" w:cs="Times New Roman"/>
        </w:rPr>
        <w:t xml:space="preserve">dans la sphère du Ministère de la Culture, </w:t>
      </w:r>
      <w:r w:rsidR="00366DD9" w:rsidRPr="00BD786A">
        <w:rPr>
          <w:rFonts w:ascii="Times New Roman" w:hAnsi="Times New Roman" w:cs="Times New Roman"/>
        </w:rPr>
        <w:t>qui est</w:t>
      </w:r>
      <w:r w:rsidR="00BD786A" w:rsidRPr="00BD786A">
        <w:rPr>
          <w:rFonts w:ascii="Times New Roman" w:hAnsi="Times New Roman" w:cs="Times New Roman"/>
        </w:rPr>
        <w:t xml:space="preserve"> chargé d’organiser</w:t>
      </w:r>
      <w:r w:rsidRPr="00BD786A">
        <w:rPr>
          <w:rFonts w:ascii="Times New Roman" w:hAnsi="Times New Roman" w:cs="Times New Roman"/>
        </w:rPr>
        <w:t xml:space="preserve"> cet accueil. Il peut s’appuyer pour ce faire sur les autres services des ress</w:t>
      </w:r>
      <w:r w:rsidR="00BD786A">
        <w:rPr>
          <w:rFonts w:ascii="Times New Roman" w:hAnsi="Times New Roman" w:cs="Times New Roman"/>
        </w:rPr>
        <w:t>ources humaines du Ministère.</w:t>
      </w:r>
    </w:p>
    <w:p w14:paraId="16717F3B" w14:textId="77777777" w:rsidR="00BD786A" w:rsidRPr="00BD786A" w:rsidRDefault="00BD786A" w:rsidP="00BD786A">
      <w:pPr>
        <w:pStyle w:val="Paragraphedeliste"/>
        <w:rPr>
          <w:rFonts w:ascii="Times New Roman" w:hAnsi="Times New Roman" w:cs="Times New Roman"/>
        </w:rPr>
      </w:pPr>
    </w:p>
    <w:p w14:paraId="1E5BE0EE" w14:textId="4F5B7FBB" w:rsidR="00BD786A" w:rsidRPr="00BD786A" w:rsidRDefault="00DA5686" w:rsidP="00BD786A">
      <w:pPr>
        <w:pStyle w:val="Paragraphedeliste"/>
        <w:numPr>
          <w:ilvl w:val="0"/>
          <w:numId w:val="19"/>
        </w:numPr>
        <w:ind w:left="0" w:firstLine="567"/>
        <w:jc w:val="both"/>
        <w:rPr>
          <w:rFonts w:ascii="Times New Roman" w:hAnsi="Times New Roman" w:cs="Times New Roman"/>
        </w:rPr>
      </w:pPr>
      <w:r w:rsidRPr="00BD786A">
        <w:rPr>
          <w:rFonts w:ascii="Times New Roman" w:hAnsi="Times New Roman" w:cs="Times New Roman"/>
        </w:rPr>
        <w:t>Les agents en poste au sein des Directions Régionales des Affaires Culturelles peuvent également bénéficier des services offerts par les Plateformes Régionales de</w:t>
      </w:r>
      <w:r w:rsidR="00830D84" w:rsidRPr="00BD786A">
        <w:rPr>
          <w:rFonts w:ascii="Times New Roman" w:hAnsi="Times New Roman" w:cs="Times New Roman"/>
        </w:rPr>
        <w:t>s</w:t>
      </w:r>
      <w:r w:rsidRPr="00BD786A">
        <w:rPr>
          <w:rFonts w:ascii="Times New Roman" w:hAnsi="Times New Roman" w:cs="Times New Roman"/>
        </w:rPr>
        <w:t xml:space="preserve"> Ressources Humaines (PFRH) dans le but d’effectuer des mobilités au sein d’autres administrations territoriales </w:t>
      </w:r>
      <w:r w:rsidR="003C1BBB" w:rsidRPr="00BD786A">
        <w:rPr>
          <w:rFonts w:ascii="Times New Roman" w:hAnsi="Times New Roman" w:cs="Times New Roman"/>
        </w:rPr>
        <w:t>de l’Etat ou d’autres ministères.</w:t>
      </w:r>
    </w:p>
    <w:p w14:paraId="78F019DC" w14:textId="77777777" w:rsidR="00BD786A" w:rsidRDefault="00BD786A" w:rsidP="00BD786A">
      <w:pPr>
        <w:jc w:val="both"/>
        <w:rPr>
          <w:rFonts w:ascii="Times New Roman" w:hAnsi="Times New Roman" w:cs="Times New Roman"/>
        </w:rPr>
      </w:pPr>
    </w:p>
    <w:p w14:paraId="3BE0BB22" w14:textId="04044B52" w:rsidR="00CF602E" w:rsidRPr="00BD786A" w:rsidRDefault="00BD786A" w:rsidP="00BD786A">
      <w:pPr>
        <w:jc w:val="both"/>
        <w:rPr>
          <w:rFonts w:ascii="Times New Roman" w:hAnsi="Times New Roman" w:cs="Times New Roman"/>
        </w:rPr>
      </w:pPr>
      <w:r>
        <w:rPr>
          <w:rFonts w:ascii="Times New Roman" w:eastAsia="Times New Roman" w:hAnsi="Times New Roman" w:cs="Times New Roman"/>
          <w:u w:val="single"/>
          <w:lang w:eastAsia="x-none"/>
        </w:rPr>
        <w:t xml:space="preserve">7 : </w:t>
      </w:r>
      <w:r w:rsidR="00CF602E" w:rsidRPr="001D65A9">
        <w:rPr>
          <w:rFonts w:ascii="Times New Roman" w:eastAsia="Times New Roman" w:hAnsi="Times New Roman" w:cs="Times New Roman"/>
          <w:u w:val="single"/>
          <w:lang w:eastAsia="x-none"/>
        </w:rPr>
        <w:t>Les procédures de gestion des demandes individuelles de mobilité</w:t>
      </w:r>
      <w:r w:rsidR="004A0423" w:rsidRPr="001D65A9">
        <w:rPr>
          <w:rFonts w:ascii="Times New Roman" w:eastAsia="Times New Roman" w:hAnsi="Times New Roman" w:cs="Times New Roman"/>
          <w:u w:val="single"/>
          <w:lang w:eastAsia="x-none"/>
        </w:rPr>
        <w:t xml:space="preserve"> </w:t>
      </w:r>
    </w:p>
    <w:p w14:paraId="3777D248" w14:textId="77777777" w:rsidR="00CF602E" w:rsidRPr="00A62297" w:rsidRDefault="00CF602E" w:rsidP="00CF602E">
      <w:pPr>
        <w:spacing w:after="120"/>
        <w:jc w:val="both"/>
        <w:rPr>
          <w:rFonts w:ascii="Times New Roman" w:eastAsia="Times New Roman" w:hAnsi="Times New Roman" w:cs="Times New Roman"/>
          <w:bCs/>
          <w:lang w:eastAsia="x-none"/>
        </w:rPr>
      </w:pPr>
      <w:r w:rsidRPr="00A62297">
        <w:rPr>
          <w:rFonts w:ascii="Times New Roman" w:eastAsia="Times New Roman" w:hAnsi="Times New Roman" w:cs="Times New Roman"/>
          <w:bCs/>
          <w:lang w:eastAsia="x-none"/>
        </w:rPr>
        <w:t xml:space="preserve">  </w:t>
      </w:r>
    </w:p>
    <w:p w14:paraId="0ACAE036" w14:textId="53F062E6" w:rsidR="00CF602E" w:rsidRDefault="00BD786A" w:rsidP="00CF602E">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Le dispositif de mobilité</w:t>
      </w:r>
      <w:r w:rsidR="00CF602E" w:rsidRPr="007A6FBF">
        <w:rPr>
          <w:rFonts w:ascii="Times New Roman" w:eastAsia="Times New Roman" w:hAnsi="Times New Roman" w:cs="Times New Roman"/>
          <w:bCs/>
          <w:lang w:eastAsia="x-none"/>
        </w:rPr>
        <w:t xml:space="preserve"> au </w:t>
      </w:r>
      <w:r w:rsidR="007B5F74">
        <w:rPr>
          <w:rFonts w:ascii="Times New Roman" w:eastAsia="Times New Roman" w:hAnsi="Times New Roman" w:cs="Times New Roman"/>
          <w:bCs/>
          <w:lang w:eastAsia="x-none"/>
        </w:rPr>
        <w:t xml:space="preserve">sein du </w:t>
      </w:r>
      <w:r w:rsidR="00CF602E" w:rsidRPr="007A6FBF">
        <w:rPr>
          <w:rFonts w:ascii="Times New Roman" w:eastAsia="Times New Roman" w:hAnsi="Times New Roman" w:cs="Times New Roman"/>
          <w:bCs/>
          <w:lang w:eastAsia="x-none"/>
        </w:rPr>
        <w:t>minist</w:t>
      </w:r>
      <w:r w:rsidR="007B5F74">
        <w:rPr>
          <w:rFonts w:ascii="Times New Roman" w:eastAsia="Times New Roman" w:hAnsi="Times New Roman" w:cs="Times New Roman"/>
          <w:bCs/>
          <w:lang w:eastAsia="x-none"/>
        </w:rPr>
        <w:t>è</w:t>
      </w:r>
      <w:r w:rsidR="00CF602E" w:rsidRPr="007A6FBF">
        <w:rPr>
          <w:rFonts w:ascii="Times New Roman" w:eastAsia="Times New Roman" w:hAnsi="Times New Roman" w:cs="Times New Roman"/>
          <w:bCs/>
          <w:lang w:eastAsia="x-none"/>
        </w:rPr>
        <w:t xml:space="preserve">re de la </w:t>
      </w:r>
      <w:r w:rsidR="00CB1CA9" w:rsidRPr="00FD705A">
        <w:rPr>
          <w:rFonts w:ascii="Times New Roman" w:eastAsia="Times New Roman" w:hAnsi="Times New Roman" w:cs="Times New Roman"/>
          <w:bCs/>
          <w:lang w:eastAsia="x-none"/>
        </w:rPr>
        <w:t>Culture</w:t>
      </w:r>
      <w:r w:rsidR="007B5F74">
        <w:rPr>
          <w:rFonts w:ascii="Times New Roman" w:eastAsia="Times New Roman" w:hAnsi="Times New Roman" w:cs="Times New Roman"/>
          <w:bCs/>
          <w:lang w:eastAsia="x-none"/>
        </w:rPr>
        <w:t> (administration centrale, services déconcentrés</w:t>
      </w:r>
      <w:r w:rsidR="00CF602E" w:rsidRPr="007A6FBF">
        <w:rPr>
          <w:rFonts w:ascii="Times New Roman" w:eastAsia="Times New Roman" w:hAnsi="Times New Roman" w:cs="Times New Roman"/>
          <w:bCs/>
          <w:lang w:eastAsia="x-none"/>
        </w:rPr>
        <w:t>, établissements publics et services à compétence nationale</w:t>
      </w:r>
      <w:r w:rsidR="007B5F74">
        <w:rPr>
          <w:rFonts w:ascii="Times New Roman" w:eastAsia="Times New Roman" w:hAnsi="Times New Roman" w:cs="Times New Roman"/>
          <w:bCs/>
          <w:lang w:eastAsia="x-none"/>
        </w:rPr>
        <w:t>)</w:t>
      </w:r>
      <w:r w:rsidR="00CF602E" w:rsidRPr="007A6FBF">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est organisé de façon continue</w:t>
      </w:r>
      <w:r w:rsidR="00CF602E" w:rsidRPr="007A6FBF">
        <w:rPr>
          <w:rFonts w:ascii="Times New Roman" w:eastAsia="Times New Roman" w:hAnsi="Times New Roman" w:cs="Times New Roman"/>
          <w:bCs/>
          <w:lang w:eastAsia="x-none"/>
        </w:rPr>
        <w:t xml:space="preserve"> afin de réduire au minimum</w:t>
      </w:r>
      <w:r>
        <w:rPr>
          <w:rFonts w:ascii="Times New Roman" w:eastAsia="Times New Roman" w:hAnsi="Times New Roman" w:cs="Times New Roman"/>
          <w:bCs/>
          <w:lang w:eastAsia="x-none"/>
        </w:rPr>
        <w:t xml:space="preserve"> la durée</w:t>
      </w:r>
      <w:r w:rsidR="007B5F74">
        <w:rPr>
          <w:rFonts w:ascii="Times New Roman" w:eastAsia="Times New Roman" w:hAnsi="Times New Roman" w:cs="Times New Roman"/>
          <w:bCs/>
          <w:lang w:eastAsia="x-none"/>
        </w:rPr>
        <w:t xml:space="preserve"> de vacance des postes</w:t>
      </w:r>
      <w:r w:rsidR="00CF602E" w:rsidRPr="007A6FBF">
        <w:rPr>
          <w:rFonts w:ascii="Times New Roman" w:eastAsia="Times New Roman" w:hAnsi="Times New Roman" w:cs="Times New Roman"/>
          <w:bCs/>
          <w:lang w:eastAsia="x-none"/>
        </w:rPr>
        <w:t>.</w:t>
      </w:r>
    </w:p>
    <w:p w14:paraId="6F06DEED" w14:textId="77777777" w:rsidR="00BD786A" w:rsidRPr="007A6FBF" w:rsidRDefault="00BD786A" w:rsidP="00CF602E">
      <w:pPr>
        <w:spacing w:after="120"/>
        <w:jc w:val="both"/>
        <w:rPr>
          <w:rFonts w:ascii="Times New Roman" w:eastAsia="Times New Roman" w:hAnsi="Times New Roman" w:cs="Times New Roman"/>
          <w:bCs/>
          <w:lang w:eastAsia="x-none"/>
        </w:rPr>
      </w:pPr>
    </w:p>
    <w:p w14:paraId="2408391B" w14:textId="0DBC83C7" w:rsidR="00CF602E" w:rsidRPr="001D65A9" w:rsidRDefault="007B5F74" w:rsidP="001D65A9">
      <w:pPr>
        <w:pStyle w:val="Paragraphedeliste"/>
        <w:numPr>
          <w:ilvl w:val="0"/>
          <w:numId w:val="20"/>
        </w:numPr>
        <w:spacing w:after="120"/>
        <w:jc w:val="both"/>
        <w:rPr>
          <w:rFonts w:ascii="Times New Roman" w:eastAsia="Times New Roman" w:hAnsi="Times New Roman" w:cs="Times New Roman"/>
          <w:bCs/>
          <w:u w:val="single"/>
          <w:lang w:eastAsia="x-none"/>
        </w:rPr>
      </w:pPr>
      <w:r w:rsidRPr="001D65A9">
        <w:rPr>
          <w:rFonts w:ascii="Times New Roman" w:eastAsia="Times New Roman" w:hAnsi="Times New Roman" w:cs="Times New Roman"/>
          <w:bCs/>
          <w:u w:val="single"/>
          <w:lang w:eastAsia="x-none"/>
        </w:rPr>
        <w:t>Publication des postes</w:t>
      </w:r>
    </w:p>
    <w:p w14:paraId="008070D0" w14:textId="18773B1F" w:rsidR="00220B1A" w:rsidRDefault="00CF602E" w:rsidP="00CF602E">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Tous les postes offerts à la mobilité sont publiés sur le site interministériel </w:t>
      </w:r>
      <w:r w:rsidR="00BD786A">
        <w:rPr>
          <w:rFonts w:ascii="Times New Roman" w:eastAsia="Times New Roman" w:hAnsi="Times New Roman" w:cs="Times New Roman"/>
          <w:bCs/>
          <w:lang w:eastAsia="x-none"/>
        </w:rPr>
        <w:t>« P</w:t>
      </w:r>
      <w:r>
        <w:rPr>
          <w:rFonts w:ascii="Times New Roman" w:eastAsia="Times New Roman" w:hAnsi="Times New Roman" w:cs="Times New Roman"/>
          <w:bCs/>
          <w:lang w:eastAsia="x-none"/>
        </w:rPr>
        <w:t>lace de l’</w:t>
      </w:r>
      <w:r w:rsidR="00BD786A">
        <w:rPr>
          <w:rFonts w:ascii="Times New Roman" w:eastAsia="Times New Roman" w:hAnsi="Times New Roman" w:cs="Times New Roman"/>
          <w:bCs/>
          <w:lang w:eastAsia="x-none"/>
        </w:rPr>
        <w:t>E</w:t>
      </w:r>
      <w:r>
        <w:rPr>
          <w:rFonts w:ascii="Times New Roman" w:eastAsia="Times New Roman" w:hAnsi="Times New Roman" w:cs="Times New Roman"/>
          <w:bCs/>
          <w:lang w:eastAsia="x-none"/>
        </w:rPr>
        <w:t xml:space="preserve">mploi </w:t>
      </w:r>
      <w:r w:rsidR="00BD786A">
        <w:rPr>
          <w:rFonts w:ascii="Times New Roman" w:eastAsia="Times New Roman" w:hAnsi="Times New Roman" w:cs="Times New Roman"/>
          <w:bCs/>
          <w:lang w:eastAsia="x-none"/>
        </w:rPr>
        <w:t>P</w:t>
      </w:r>
      <w:r w:rsidR="000E7444">
        <w:rPr>
          <w:rFonts w:ascii="Times New Roman" w:eastAsia="Times New Roman" w:hAnsi="Times New Roman" w:cs="Times New Roman"/>
          <w:bCs/>
          <w:lang w:eastAsia="x-none"/>
        </w:rPr>
        <w:t>ublic</w:t>
      </w:r>
      <w:r w:rsidR="00BD786A">
        <w:rPr>
          <w:rFonts w:ascii="Times New Roman" w:eastAsia="Times New Roman" w:hAnsi="Times New Roman" w:cs="Times New Roman"/>
          <w:bCs/>
          <w:lang w:eastAsia="x-none"/>
        </w:rPr>
        <w:t> »</w:t>
      </w:r>
      <w:r w:rsidR="000E7444">
        <w:rPr>
          <w:rFonts w:ascii="Times New Roman" w:eastAsia="Times New Roman" w:hAnsi="Times New Roman" w:cs="Times New Roman"/>
          <w:bCs/>
          <w:lang w:eastAsia="x-none"/>
        </w:rPr>
        <w:t>.</w:t>
      </w:r>
      <w:r>
        <w:rPr>
          <w:rFonts w:ascii="Times New Roman" w:eastAsia="Times New Roman" w:hAnsi="Times New Roman" w:cs="Times New Roman"/>
          <w:bCs/>
          <w:lang w:eastAsia="x-none"/>
        </w:rPr>
        <w:t xml:space="preserve"> L’avis de vacance de </w:t>
      </w:r>
      <w:r w:rsidR="000E7444">
        <w:rPr>
          <w:rFonts w:ascii="Times New Roman" w:eastAsia="Times New Roman" w:hAnsi="Times New Roman" w:cs="Times New Roman"/>
          <w:bCs/>
          <w:lang w:eastAsia="x-none"/>
        </w:rPr>
        <w:t>poste</w:t>
      </w:r>
      <w:r w:rsidR="007068A2">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 xml:space="preserve">est publié pour une durée de 30 </w:t>
      </w:r>
      <w:r w:rsidR="007068A2">
        <w:rPr>
          <w:rFonts w:ascii="Times New Roman" w:eastAsia="Times New Roman" w:hAnsi="Times New Roman" w:cs="Times New Roman"/>
          <w:bCs/>
          <w:lang w:eastAsia="x-none"/>
        </w:rPr>
        <w:t>jours</w:t>
      </w:r>
      <w:r w:rsidR="007068A2" w:rsidRPr="007B5F74">
        <w:rPr>
          <w:rFonts w:ascii="Times New Roman" w:eastAsia="Times New Roman" w:hAnsi="Times New Roman" w:cs="Times New Roman"/>
          <w:bCs/>
          <w:lang w:eastAsia="x-none"/>
        </w:rPr>
        <w:t xml:space="preserve">, sauf urgence </w:t>
      </w:r>
      <w:r w:rsidR="007068A2" w:rsidRPr="007B5F74">
        <w:rPr>
          <w:rFonts w:ascii="Times New Roman" w:hAnsi="Times New Roman" w:cs="Times New Roman"/>
        </w:rPr>
        <w:t>liée à la nécessité de pourvoir un poste au motif de la continuité du service (possibilité de dérogation pour une publication de 15 jours)</w:t>
      </w:r>
      <w:r w:rsidR="007B5F74">
        <w:rPr>
          <w:rFonts w:ascii="Times New Roman" w:eastAsia="Times New Roman" w:hAnsi="Times New Roman" w:cs="Times New Roman"/>
          <w:bCs/>
          <w:lang w:eastAsia="x-none"/>
        </w:rPr>
        <w:t>. L</w:t>
      </w:r>
      <w:r w:rsidRPr="007B5F74">
        <w:rPr>
          <w:rFonts w:ascii="Times New Roman" w:eastAsia="Times New Roman" w:hAnsi="Times New Roman" w:cs="Times New Roman"/>
          <w:bCs/>
          <w:lang w:eastAsia="x-none"/>
        </w:rPr>
        <w:t xml:space="preserve">’avis de vacance respecte les prescriptions garantissant l’égalité de traitement et l’absence de </w:t>
      </w:r>
      <w:r w:rsidR="000E7444" w:rsidRPr="007B5F74">
        <w:rPr>
          <w:rFonts w:ascii="Times New Roman" w:eastAsia="Times New Roman" w:hAnsi="Times New Roman" w:cs="Times New Roman"/>
          <w:bCs/>
          <w:lang w:eastAsia="x-none"/>
        </w:rPr>
        <w:t>discrimination</w:t>
      </w:r>
      <w:r w:rsidR="00220B1A">
        <w:rPr>
          <w:rFonts w:ascii="Times New Roman" w:eastAsia="Times New Roman" w:hAnsi="Times New Roman" w:cs="Times New Roman"/>
          <w:bCs/>
          <w:lang w:eastAsia="x-none"/>
        </w:rPr>
        <w:t>.</w:t>
      </w:r>
    </w:p>
    <w:p w14:paraId="3123D3E1" w14:textId="32CDAB9E" w:rsidR="00945A51" w:rsidRDefault="00945A51" w:rsidP="00CF602E">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Pour les postes d’enseignant dans les écoles sous tutelle du Ministère de la Culture, la période privilégiée de mobilité est la rentrée scolaire. Pour ce faire, les postes vacants ou susceptibles d’être vacants sont publiés au printemps. </w:t>
      </w:r>
    </w:p>
    <w:p w14:paraId="798768FC" w14:textId="2027974E" w:rsidR="00CF602E" w:rsidRDefault="00CF602E" w:rsidP="00CF602E">
      <w:pPr>
        <w:spacing w:after="120"/>
        <w:jc w:val="both"/>
        <w:rPr>
          <w:rFonts w:ascii="Times New Roman" w:eastAsia="Times New Roman" w:hAnsi="Times New Roman" w:cs="Times New Roman"/>
          <w:bCs/>
          <w:lang w:eastAsia="x-none"/>
        </w:rPr>
      </w:pPr>
    </w:p>
    <w:p w14:paraId="5AD3774B" w14:textId="3472C16D" w:rsidR="00CF602E" w:rsidRPr="001D65A9" w:rsidRDefault="00CF602E" w:rsidP="007A6FBF">
      <w:pPr>
        <w:pStyle w:val="Paragraphedeliste"/>
        <w:numPr>
          <w:ilvl w:val="0"/>
          <w:numId w:val="11"/>
        </w:numPr>
        <w:spacing w:after="120"/>
        <w:jc w:val="both"/>
        <w:rPr>
          <w:rFonts w:ascii="Times New Roman" w:eastAsia="Times New Roman" w:hAnsi="Times New Roman" w:cs="Times New Roman"/>
          <w:bCs/>
          <w:u w:val="single"/>
          <w:lang w:eastAsia="x-none"/>
        </w:rPr>
      </w:pPr>
      <w:r w:rsidRPr="001D65A9">
        <w:rPr>
          <w:rFonts w:ascii="Times New Roman" w:eastAsia="Times New Roman" w:hAnsi="Times New Roman" w:cs="Times New Roman"/>
          <w:bCs/>
          <w:u w:val="single"/>
          <w:lang w:eastAsia="x-none"/>
        </w:rPr>
        <w:t xml:space="preserve">Modalités </w:t>
      </w:r>
      <w:r w:rsidR="00FD705A" w:rsidRPr="001D65A9">
        <w:rPr>
          <w:rFonts w:ascii="Times New Roman" w:eastAsia="Times New Roman" w:hAnsi="Times New Roman" w:cs="Times New Roman"/>
          <w:bCs/>
          <w:u w:val="single"/>
          <w:lang w:eastAsia="x-none"/>
        </w:rPr>
        <w:t>de candidature</w:t>
      </w:r>
    </w:p>
    <w:p w14:paraId="3F48DA37" w14:textId="259F10B7" w:rsidR="00CF602E" w:rsidRDefault="00BD786A" w:rsidP="00CF602E">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Toute candidature est </w:t>
      </w:r>
      <w:r w:rsidR="0087421B">
        <w:rPr>
          <w:rFonts w:ascii="Times New Roman" w:eastAsia="Times New Roman" w:hAnsi="Times New Roman" w:cs="Times New Roman"/>
          <w:bCs/>
          <w:lang w:eastAsia="x-none"/>
        </w:rPr>
        <w:t>effectu</w:t>
      </w:r>
      <w:r>
        <w:rPr>
          <w:rFonts w:ascii="Times New Roman" w:eastAsia="Times New Roman" w:hAnsi="Times New Roman" w:cs="Times New Roman"/>
          <w:bCs/>
          <w:lang w:eastAsia="x-none"/>
        </w:rPr>
        <w:t>ée au moyen d’un dossier</w:t>
      </w:r>
      <w:r w:rsidR="0087421B">
        <w:rPr>
          <w:rFonts w:ascii="Times New Roman" w:eastAsia="Times New Roman" w:hAnsi="Times New Roman" w:cs="Times New Roman"/>
          <w:bCs/>
          <w:lang w:eastAsia="x-none"/>
        </w:rPr>
        <w:t>. Ce dossier est</w:t>
      </w:r>
      <w:r w:rsidRPr="00BD786A">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 xml:space="preserve">constitué d’une lettre </w:t>
      </w:r>
      <w:r w:rsidRPr="00ED0C93">
        <w:rPr>
          <w:rFonts w:ascii="Times New Roman" w:eastAsia="Times New Roman" w:hAnsi="Times New Roman" w:cs="Times New Roman"/>
          <w:bCs/>
          <w:lang w:eastAsia="x-none"/>
        </w:rPr>
        <w:t>de candidature</w:t>
      </w:r>
      <w:r>
        <w:rPr>
          <w:rFonts w:ascii="Times New Roman" w:eastAsia="Times New Roman" w:hAnsi="Times New Roman" w:cs="Times New Roman"/>
          <w:bCs/>
          <w:lang w:eastAsia="x-none"/>
        </w:rPr>
        <w:t>, d’un CV et d’un formulaire qui permet notamment à l’agent de signaler s’il est susceptible de relever d’une des priorités de mutation énumérées à l’article 8, sous réserve d’en présenter les justificatifs.</w:t>
      </w:r>
      <w:r w:rsidR="0087421B">
        <w:rPr>
          <w:rFonts w:ascii="Times New Roman" w:eastAsia="Times New Roman" w:hAnsi="Times New Roman" w:cs="Times New Roman"/>
          <w:bCs/>
          <w:lang w:eastAsia="x-none"/>
        </w:rPr>
        <w:t xml:space="preserve"> </w:t>
      </w:r>
      <w:r w:rsidR="00CF602E">
        <w:rPr>
          <w:rFonts w:ascii="Times New Roman" w:eastAsia="Times New Roman" w:hAnsi="Times New Roman" w:cs="Times New Roman"/>
          <w:bCs/>
          <w:lang w:eastAsia="x-none"/>
        </w:rPr>
        <w:t xml:space="preserve">L’agent candidate directement auprès du service recruteur </w:t>
      </w:r>
      <w:r w:rsidR="0087421B">
        <w:rPr>
          <w:rFonts w:ascii="Times New Roman" w:eastAsia="Times New Roman" w:hAnsi="Times New Roman" w:cs="Times New Roman"/>
          <w:bCs/>
          <w:lang w:eastAsia="x-none"/>
        </w:rPr>
        <w:t xml:space="preserve">avec copie aux directions ou services indiqués sur la </w:t>
      </w:r>
      <w:r w:rsidR="00CF602E">
        <w:rPr>
          <w:rFonts w:ascii="Times New Roman" w:eastAsia="Times New Roman" w:hAnsi="Times New Roman" w:cs="Times New Roman"/>
          <w:bCs/>
          <w:lang w:eastAsia="x-none"/>
        </w:rPr>
        <w:t>fiche de poste</w:t>
      </w:r>
      <w:r w:rsidR="0087421B">
        <w:rPr>
          <w:rFonts w:ascii="Times New Roman" w:eastAsia="Times New Roman" w:hAnsi="Times New Roman" w:cs="Times New Roman"/>
          <w:bCs/>
          <w:lang w:eastAsia="x-none"/>
        </w:rPr>
        <w:t>.</w:t>
      </w:r>
    </w:p>
    <w:p w14:paraId="238A9C13" w14:textId="006C53C9" w:rsidR="00415CDA" w:rsidRDefault="00415CDA" w:rsidP="00CF602E">
      <w:pPr>
        <w:spacing w:after="120"/>
        <w:jc w:val="both"/>
        <w:rPr>
          <w:rFonts w:ascii="Times New Roman" w:eastAsia="Times New Roman" w:hAnsi="Times New Roman" w:cs="Times New Roman"/>
          <w:bCs/>
          <w:lang w:eastAsia="x-none"/>
        </w:rPr>
      </w:pPr>
    </w:p>
    <w:p w14:paraId="051E2168" w14:textId="77777777" w:rsidR="00415CDA" w:rsidRDefault="00FD705A" w:rsidP="007A6FBF">
      <w:pPr>
        <w:pStyle w:val="Paragraphedeliste"/>
        <w:numPr>
          <w:ilvl w:val="0"/>
          <w:numId w:val="11"/>
        </w:numPr>
        <w:spacing w:after="120"/>
        <w:jc w:val="both"/>
        <w:rPr>
          <w:rFonts w:ascii="Times New Roman" w:eastAsia="Times New Roman" w:hAnsi="Times New Roman" w:cs="Times New Roman"/>
          <w:bCs/>
          <w:u w:val="single"/>
          <w:lang w:eastAsia="x-none"/>
        </w:rPr>
      </w:pPr>
      <w:r w:rsidRPr="001D65A9">
        <w:rPr>
          <w:rFonts w:ascii="Times New Roman" w:eastAsia="Times New Roman" w:hAnsi="Times New Roman" w:cs="Times New Roman"/>
          <w:bCs/>
          <w:u w:val="single"/>
          <w:lang w:eastAsia="x-none"/>
        </w:rPr>
        <w:t>Modalités d’examen et de choix des candidatures</w:t>
      </w:r>
    </w:p>
    <w:p w14:paraId="18BA13F1" w14:textId="56D6E69D" w:rsidR="00FD705A" w:rsidRPr="001D65A9" w:rsidRDefault="00FD705A" w:rsidP="001D65A9">
      <w:pPr>
        <w:pStyle w:val="Paragraphedeliste"/>
        <w:spacing w:after="120"/>
        <w:jc w:val="both"/>
        <w:rPr>
          <w:rFonts w:ascii="Times New Roman" w:eastAsia="Times New Roman" w:hAnsi="Times New Roman" w:cs="Times New Roman"/>
          <w:bCs/>
          <w:u w:val="single"/>
          <w:lang w:eastAsia="x-none"/>
        </w:rPr>
      </w:pPr>
    </w:p>
    <w:p w14:paraId="1016C845" w14:textId="58AA285C" w:rsidR="00C24925" w:rsidRDefault="00044068" w:rsidP="00C24925">
      <w:pPr>
        <w:spacing w:after="120"/>
        <w:jc w:val="both"/>
        <w:rPr>
          <w:rFonts w:ascii="Times New Roman" w:eastAsia="Times New Roman" w:hAnsi="Times New Roman" w:cs="Times New Roman"/>
          <w:bCs/>
          <w:lang w:eastAsia="x-none"/>
        </w:rPr>
      </w:pPr>
      <w:r w:rsidRPr="007A6FBF">
        <w:rPr>
          <w:rFonts w:ascii="Times New Roman" w:eastAsia="Times New Roman" w:hAnsi="Times New Roman" w:cs="Times New Roman"/>
          <w:bCs/>
          <w:lang w:eastAsia="x-none"/>
        </w:rPr>
        <w:t xml:space="preserve">Le </w:t>
      </w:r>
      <w:r w:rsidR="00ED0C93">
        <w:rPr>
          <w:rFonts w:ascii="Times New Roman" w:eastAsia="Times New Roman" w:hAnsi="Times New Roman" w:cs="Times New Roman"/>
          <w:bCs/>
          <w:lang w:eastAsia="x-none"/>
        </w:rPr>
        <w:t xml:space="preserve">service </w:t>
      </w:r>
      <w:r>
        <w:rPr>
          <w:rFonts w:ascii="Times New Roman" w:eastAsia="Times New Roman" w:hAnsi="Times New Roman" w:cs="Times New Roman"/>
          <w:bCs/>
          <w:lang w:eastAsia="x-none"/>
        </w:rPr>
        <w:t xml:space="preserve">recruteur </w:t>
      </w:r>
      <w:r w:rsidR="000F5E42">
        <w:rPr>
          <w:rFonts w:ascii="Times New Roman" w:eastAsia="Times New Roman" w:hAnsi="Times New Roman" w:cs="Times New Roman"/>
          <w:bCs/>
          <w:lang w:eastAsia="x-none"/>
        </w:rPr>
        <w:t xml:space="preserve">procède à la </w:t>
      </w:r>
      <w:r w:rsidR="00ED0C93">
        <w:rPr>
          <w:rFonts w:ascii="Times New Roman" w:eastAsia="Times New Roman" w:hAnsi="Times New Roman" w:cs="Times New Roman"/>
          <w:bCs/>
          <w:lang w:eastAsia="x-none"/>
        </w:rPr>
        <w:t>pré-</w:t>
      </w:r>
      <w:r w:rsidR="009F26E3">
        <w:rPr>
          <w:rFonts w:ascii="Times New Roman" w:eastAsia="Times New Roman" w:hAnsi="Times New Roman" w:cs="Times New Roman"/>
          <w:bCs/>
          <w:lang w:eastAsia="x-none"/>
        </w:rPr>
        <w:t>sélection</w:t>
      </w:r>
      <w:r w:rsidR="00ED0C93">
        <w:rPr>
          <w:rFonts w:ascii="Times New Roman" w:eastAsia="Times New Roman" w:hAnsi="Times New Roman" w:cs="Times New Roman"/>
          <w:bCs/>
          <w:lang w:eastAsia="x-none"/>
        </w:rPr>
        <w:t xml:space="preserve"> des </w:t>
      </w:r>
      <w:r w:rsidR="00B555B8">
        <w:rPr>
          <w:rFonts w:ascii="Times New Roman" w:eastAsia="Times New Roman" w:hAnsi="Times New Roman" w:cs="Times New Roman"/>
          <w:bCs/>
          <w:lang w:eastAsia="x-none"/>
        </w:rPr>
        <w:t>candidatures qui</w:t>
      </w:r>
      <w:r w:rsidR="00415CDA">
        <w:rPr>
          <w:rFonts w:ascii="Times New Roman" w:eastAsia="Times New Roman" w:hAnsi="Times New Roman" w:cs="Times New Roman"/>
          <w:bCs/>
          <w:lang w:eastAsia="x-none"/>
        </w:rPr>
        <w:t xml:space="preserve"> est effectuée par </w:t>
      </w:r>
      <w:r w:rsidR="000F5E42">
        <w:rPr>
          <w:rFonts w:ascii="Times New Roman" w:eastAsia="Times New Roman" w:hAnsi="Times New Roman" w:cs="Times New Roman"/>
          <w:bCs/>
          <w:lang w:eastAsia="x-none"/>
        </w:rPr>
        <w:t>au moins deux personnes</w:t>
      </w:r>
      <w:r w:rsidR="000E7444">
        <w:rPr>
          <w:rFonts w:ascii="Times New Roman" w:eastAsia="Times New Roman" w:hAnsi="Times New Roman" w:cs="Times New Roman"/>
          <w:bCs/>
          <w:lang w:eastAsia="x-none"/>
        </w:rPr>
        <w:t>.</w:t>
      </w:r>
      <w:r w:rsidR="000F5E42">
        <w:rPr>
          <w:rFonts w:ascii="Times New Roman" w:eastAsia="Times New Roman" w:hAnsi="Times New Roman" w:cs="Times New Roman"/>
          <w:bCs/>
          <w:lang w:eastAsia="x-none"/>
        </w:rPr>
        <w:t xml:space="preserve"> A l’issue </w:t>
      </w:r>
      <w:r w:rsidR="00ED0C93">
        <w:rPr>
          <w:rFonts w:ascii="Times New Roman" w:eastAsia="Times New Roman" w:hAnsi="Times New Roman" w:cs="Times New Roman"/>
          <w:bCs/>
          <w:lang w:eastAsia="x-none"/>
        </w:rPr>
        <w:t>de cette étape</w:t>
      </w:r>
      <w:r w:rsidR="000F5E42">
        <w:rPr>
          <w:rFonts w:ascii="Times New Roman" w:eastAsia="Times New Roman" w:hAnsi="Times New Roman" w:cs="Times New Roman"/>
          <w:bCs/>
          <w:lang w:eastAsia="x-none"/>
        </w:rPr>
        <w:t xml:space="preserve">, les </w:t>
      </w:r>
      <w:r w:rsidR="00415CDA">
        <w:rPr>
          <w:rFonts w:ascii="Times New Roman" w:eastAsia="Times New Roman" w:hAnsi="Times New Roman" w:cs="Times New Roman"/>
          <w:bCs/>
          <w:lang w:eastAsia="x-none"/>
        </w:rPr>
        <w:t>candidat</w:t>
      </w:r>
      <w:r w:rsidR="000F5E42">
        <w:rPr>
          <w:rFonts w:ascii="Times New Roman" w:eastAsia="Times New Roman" w:hAnsi="Times New Roman" w:cs="Times New Roman"/>
          <w:bCs/>
          <w:lang w:eastAsia="x-none"/>
        </w:rPr>
        <w:t xml:space="preserve">s </w:t>
      </w:r>
      <w:r w:rsidR="00B555B8">
        <w:rPr>
          <w:rFonts w:ascii="Times New Roman" w:eastAsia="Times New Roman" w:hAnsi="Times New Roman" w:cs="Times New Roman"/>
          <w:bCs/>
          <w:lang w:eastAsia="x-none"/>
        </w:rPr>
        <w:t>présélectionnés</w:t>
      </w:r>
      <w:r w:rsidR="000F5E42">
        <w:rPr>
          <w:rFonts w:ascii="Times New Roman" w:eastAsia="Times New Roman" w:hAnsi="Times New Roman" w:cs="Times New Roman"/>
          <w:bCs/>
          <w:lang w:eastAsia="x-none"/>
        </w:rPr>
        <w:t xml:space="preserve"> sont invités à un ou plusieurs entretiens</w:t>
      </w:r>
      <w:r w:rsidR="00ED0C93">
        <w:rPr>
          <w:rFonts w:ascii="Times New Roman" w:eastAsia="Times New Roman" w:hAnsi="Times New Roman" w:cs="Times New Roman"/>
          <w:bCs/>
          <w:lang w:eastAsia="x-none"/>
        </w:rPr>
        <w:t>.</w:t>
      </w:r>
      <w:r w:rsidR="00415CDA">
        <w:rPr>
          <w:rFonts w:ascii="Times New Roman" w:eastAsia="Times New Roman" w:hAnsi="Times New Roman" w:cs="Times New Roman"/>
          <w:bCs/>
          <w:lang w:eastAsia="x-none"/>
        </w:rPr>
        <w:t xml:space="preserve"> </w:t>
      </w:r>
      <w:r w:rsidR="00C24925" w:rsidRPr="007A6FBF">
        <w:rPr>
          <w:rFonts w:ascii="Times New Roman" w:eastAsia="Times New Roman" w:hAnsi="Times New Roman" w:cs="Times New Roman"/>
          <w:bCs/>
          <w:lang w:eastAsia="x-none"/>
        </w:rPr>
        <w:t xml:space="preserve">Lorsqu’un agent </w:t>
      </w:r>
      <w:r w:rsidR="00C24925">
        <w:rPr>
          <w:rFonts w:ascii="Times New Roman" w:eastAsia="Times New Roman" w:hAnsi="Times New Roman" w:cs="Times New Roman"/>
          <w:bCs/>
          <w:lang w:eastAsia="x-none"/>
        </w:rPr>
        <w:t xml:space="preserve">s’inscrit dans l’une des priorités listées au point </w:t>
      </w:r>
      <w:r w:rsidR="0087421B">
        <w:rPr>
          <w:rFonts w:ascii="Times New Roman" w:eastAsia="Times New Roman" w:hAnsi="Times New Roman" w:cs="Times New Roman"/>
          <w:bCs/>
          <w:lang w:eastAsia="x-none"/>
        </w:rPr>
        <w:t>8</w:t>
      </w:r>
      <w:r w:rsidR="00C24925">
        <w:rPr>
          <w:rFonts w:ascii="Times New Roman" w:eastAsia="Times New Roman" w:hAnsi="Times New Roman" w:cs="Times New Roman"/>
          <w:bCs/>
          <w:lang w:eastAsia="x-none"/>
        </w:rPr>
        <w:t>, le service recruteur est te</w:t>
      </w:r>
      <w:r w:rsidR="0087421B">
        <w:rPr>
          <w:rFonts w:ascii="Times New Roman" w:eastAsia="Times New Roman" w:hAnsi="Times New Roman" w:cs="Times New Roman"/>
          <w:bCs/>
          <w:lang w:eastAsia="x-none"/>
        </w:rPr>
        <w:t xml:space="preserve">nu de le recevoir et ne peut </w:t>
      </w:r>
      <w:r w:rsidR="00C24925">
        <w:rPr>
          <w:rFonts w:ascii="Times New Roman" w:eastAsia="Times New Roman" w:hAnsi="Times New Roman" w:cs="Times New Roman"/>
          <w:bCs/>
          <w:lang w:eastAsia="x-none"/>
        </w:rPr>
        <w:t>motiver son refus qu’au regard des besoins du service et de l’intérêt général.</w:t>
      </w:r>
    </w:p>
    <w:p w14:paraId="1D54893A" w14:textId="021837EB" w:rsidR="007C67B2" w:rsidRDefault="009F26E3" w:rsidP="00044068">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L’entretien de </w:t>
      </w:r>
      <w:r w:rsidR="007C67B2">
        <w:rPr>
          <w:rFonts w:ascii="Times New Roman" w:eastAsia="Times New Roman" w:hAnsi="Times New Roman" w:cs="Times New Roman"/>
          <w:bCs/>
          <w:lang w:eastAsia="x-none"/>
        </w:rPr>
        <w:t>recrutement se</w:t>
      </w:r>
      <w:r>
        <w:rPr>
          <w:rFonts w:ascii="Times New Roman" w:eastAsia="Times New Roman" w:hAnsi="Times New Roman" w:cs="Times New Roman"/>
          <w:bCs/>
          <w:lang w:eastAsia="x-none"/>
        </w:rPr>
        <w:t xml:space="preserve"> déroule dans les conditions </w:t>
      </w:r>
      <w:r w:rsidR="000E7444">
        <w:rPr>
          <w:rFonts w:ascii="Times New Roman" w:eastAsia="Times New Roman" w:hAnsi="Times New Roman" w:cs="Times New Roman"/>
          <w:bCs/>
          <w:lang w:eastAsia="x-none"/>
        </w:rPr>
        <w:t>prévues par</w:t>
      </w:r>
      <w:r w:rsidR="007C67B2">
        <w:rPr>
          <w:rFonts w:ascii="Times New Roman" w:eastAsia="Times New Roman" w:hAnsi="Times New Roman" w:cs="Times New Roman"/>
          <w:bCs/>
          <w:lang w:eastAsia="x-none"/>
        </w:rPr>
        <w:t xml:space="preserve"> la procédure permettant de garantir </w:t>
      </w:r>
      <w:r w:rsidR="00ED0C93">
        <w:rPr>
          <w:rFonts w:ascii="Times New Roman" w:eastAsia="Times New Roman" w:hAnsi="Times New Roman" w:cs="Times New Roman"/>
          <w:bCs/>
          <w:lang w:eastAsia="x-none"/>
        </w:rPr>
        <w:t>l’</w:t>
      </w:r>
      <w:r w:rsidR="007C67B2">
        <w:rPr>
          <w:rFonts w:ascii="Times New Roman" w:eastAsia="Times New Roman" w:hAnsi="Times New Roman" w:cs="Times New Roman"/>
          <w:bCs/>
          <w:lang w:eastAsia="x-none"/>
        </w:rPr>
        <w:t xml:space="preserve">égalité de traitement et </w:t>
      </w:r>
      <w:r w:rsidR="00ED0C93">
        <w:rPr>
          <w:rFonts w:ascii="Times New Roman" w:eastAsia="Times New Roman" w:hAnsi="Times New Roman" w:cs="Times New Roman"/>
          <w:bCs/>
          <w:lang w:eastAsia="x-none"/>
        </w:rPr>
        <w:t>l’</w:t>
      </w:r>
      <w:r w:rsidR="007C67B2">
        <w:rPr>
          <w:rFonts w:ascii="Times New Roman" w:eastAsia="Times New Roman" w:hAnsi="Times New Roman" w:cs="Times New Roman"/>
          <w:bCs/>
          <w:lang w:eastAsia="x-none"/>
        </w:rPr>
        <w:t>absence de discrimination</w:t>
      </w:r>
      <w:r w:rsidR="00ED0C93">
        <w:rPr>
          <w:rFonts w:ascii="Times New Roman" w:eastAsia="Times New Roman" w:hAnsi="Times New Roman" w:cs="Times New Roman"/>
          <w:bCs/>
          <w:lang w:eastAsia="x-none"/>
        </w:rPr>
        <w:t xml:space="preserve">. </w:t>
      </w:r>
      <w:r w:rsidR="0087421B">
        <w:rPr>
          <w:rFonts w:ascii="Times New Roman" w:eastAsia="Times New Roman" w:hAnsi="Times New Roman" w:cs="Times New Roman"/>
          <w:bCs/>
          <w:lang w:eastAsia="x-none"/>
        </w:rPr>
        <w:t xml:space="preserve">Cet entretien peut également avoir lieu à distance. </w:t>
      </w:r>
      <w:r w:rsidR="007C67B2">
        <w:rPr>
          <w:rFonts w:ascii="Times New Roman" w:eastAsia="Times New Roman" w:hAnsi="Times New Roman" w:cs="Times New Roman"/>
          <w:bCs/>
          <w:lang w:eastAsia="x-none"/>
        </w:rPr>
        <w:t xml:space="preserve">L’examen </w:t>
      </w:r>
      <w:r w:rsidR="00C62D80">
        <w:rPr>
          <w:rFonts w:ascii="Times New Roman" w:eastAsia="Times New Roman" w:hAnsi="Times New Roman" w:cs="Times New Roman"/>
          <w:bCs/>
          <w:lang w:eastAsia="x-none"/>
        </w:rPr>
        <w:t xml:space="preserve">des </w:t>
      </w:r>
      <w:r w:rsidR="00322F23">
        <w:rPr>
          <w:rFonts w:ascii="Times New Roman" w:eastAsia="Times New Roman" w:hAnsi="Times New Roman" w:cs="Times New Roman"/>
          <w:bCs/>
          <w:lang w:eastAsia="x-none"/>
        </w:rPr>
        <w:t>candidatures prend</w:t>
      </w:r>
      <w:r w:rsidR="00C62D80">
        <w:rPr>
          <w:rFonts w:ascii="Times New Roman" w:eastAsia="Times New Roman" w:hAnsi="Times New Roman" w:cs="Times New Roman"/>
          <w:bCs/>
          <w:lang w:eastAsia="x-none"/>
        </w:rPr>
        <w:t xml:space="preserve"> en compte le respect des priorités légales rappelées à l’article </w:t>
      </w:r>
      <w:r w:rsidR="0087421B">
        <w:rPr>
          <w:rFonts w:ascii="Times New Roman" w:eastAsia="Times New Roman" w:hAnsi="Times New Roman" w:cs="Times New Roman"/>
          <w:bCs/>
          <w:lang w:eastAsia="x-none"/>
        </w:rPr>
        <w:t>8</w:t>
      </w:r>
      <w:r w:rsidR="00CF6959">
        <w:rPr>
          <w:rFonts w:ascii="Times New Roman" w:eastAsia="Times New Roman" w:hAnsi="Times New Roman" w:cs="Times New Roman"/>
          <w:bCs/>
          <w:lang w:eastAsia="x-none"/>
        </w:rPr>
        <w:t xml:space="preserve"> du présent document </w:t>
      </w:r>
      <w:r w:rsidR="00C62D80">
        <w:rPr>
          <w:rFonts w:ascii="Times New Roman" w:eastAsia="Times New Roman" w:hAnsi="Times New Roman" w:cs="Times New Roman"/>
          <w:bCs/>
          <w:lang w:eastAsia="x-none"/>
        </w:rPr>
        <w:t>ainsi que les situations de réintégration après disponibilité</w:t>
      </w:r>
      <w:r w:rsidR="00ED0C93">
        <w:rPr>
          <w:rFonts w:ascii="Times New Roman" w:eastAsia="Times New Roman" w:hAnsi="Times New Roman" w:cs="Times New Roman"/>
          <w:bCs/>
          <w:lang w:eastAsia="x-none"/>
        </w:rPr>
        <w:t xml:space="preserve"> ou détachement</w:t>
      </w:r>
      <w:r w:rsidR="00C62D80">
        <w:rPr>
          <w:rFonts w:ascii="Times New Roman" w:eastAsia="Times New Roman" w:hAnsi="Times New Roman" w:cs="Times New Roman"/>
          <w:bCs/>
          <w:lang w:eastAsia="x-none"/>
        </w:rPr>
        <w:t>.</w:t>
      </w:r>
    </w:p>
    <w:p w14:paraId="154A4C9B" w14:textId="77777777" w:rsidR="0087421B" w:rsidRDefault="0087421B" w:rsidP="00044068">
      <w:pPr>
        <w:spacing w:after="120"/>
        <w:jc w:val="both"/>
        <w:rPr>
          <w:rFonts w:ascii="Times New Roman" w:eastAsia="Times New Roman" w:hAnsi="Times New Roman" w:cs="Times New Roman"/>
          <w:bCs/>
          <w:lang w:eastAsia="x-none"/>
        </w:rPr>
      </w:pPr>
    </w:p>
    <w:p w14:paraId="3E478DCE" w14:textId="177597F7" w:rsidR="00044068" w:rsidRDefault="00044068" w:rsidP="00044068">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Le choix du service recruteur tient compte</w:t>
      </w:r>
      <w:r w:rsidR="00ED0C93">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w:t>
      </w:r>
    </w:p>
    <w:p w14:paraId="64E68331" w14:textId="15520D1D" w:rsidR="00044068" w:rsidRDefault="0087421B" w:rsidP="00B555B8">
      <w:pPr>
        <w:pStyle w:val="Paragraphedeliste"/>
        <w:numPr>
          <w:ilvl w:val="0"/>
          <w:numId w:val="10"/>
        </w:numPr>
        <w:spacing w:after="120"/>
        <w:jc w:val="both"/>
        <w:rPr>
          <w:rFonts w:ascii="Times New Roman" w:eastAsia="Times New Roman" w:hAnsi="Times New Roman" w:cs="Times New Roman"/>
          <w:bCs/>
          <w:lang w:eastAsia="x-none"/>
        </w:rPr>
      </w:pPr>
      <w:proofErr w:type="gramStart"/>
      <w:r>
        <w:rPr>
          <w:rFonts w:ascii="Times New Roman" w:eastAsia="Times New Roman" w:hAnsi="Times New Roman" w:cs="Times New Roman"/>
          <w:bCs/>
          <w:lang w:eastAsia="x-none"/>
        </w:rPr>
        <w:t>d</w:t>
      </w:r>
      <w:r w:rsidR="00B555B8">
        <w:rPr>
          <w:rFonts w:ascii="Times New Roman" w:eastAsia="Times New Roman" w:hAnsi="Times New Roman" w:cs="Times New Roman"/>
          <w:bCs/>
          <w:lang w:eastAsia="x-none"/>
        </w:rPr>
        <w:t>u</w:t>
      </w:r>
      <w:proofErr w:type="gramEnd"/>
      <w:r w:rsidR="00044068">
        <w:rPr>
          <w:rFonts w:ascii="Times New Roman" w:eastAsia="Times New Roman" w:hAnsi="Times New Roman" w:cs="Times New Roman"/>
          <w:bCs/>
          <w:lang w:eastAsia="x-none"/>
        </w:rPr>
        <w:t xml:space="preserve"> respect des principes d’égalité et de diversité</w:t>
      </w:r>
      <w:r>
        <w:rPr>
          <w:rFonts w:ascii="Times New Roman" w:eastAsia="Times New Roman" w:hAnsi="Times New Roman" w:cs="Times New Roman"/>
          <w:bCs/>
          <w:lang w:eastAsia="x-none"/>
        </w:rPr>
        <w:t>,</w:t>
      </w:r>
    </w:p>
    <w:p w14:paraId="252C3BD0" w14:textId="1F81F680" w:rsidR="0087421B" w:rsidRDefault="0087421B" w:rsidP="0087421B">
      <w:pPr>
        <w:pStyle w:val="Paragraphedeliste"/>
        <w:numPr>
          <w:ilvl w:val="0"/>
          <w:numId w:val="10"/>
        </w:numPr>
        <w:spacing w:after="120"/>
        <w:jc w:val="both"/>
        <w:rPr>
          <w:rFonts w:ascii="Times New Roman" w:eastAsia="Times New Roman" w:hAnsi="Times New Roman" w:cs="Times New Roman"/>
          <w:bCs/>
          <w:lang w:eastAsia="x-none"/>
        </w:rPr>
      </w:pPr>
      <w:proofErr w:type="gramStart"/>
      <w:r>
        <w:rPr>
          <w:rFonts w:ascii="Times New Roman" w:eastAsia="Times New Roman" w:hAnsi="Times New Roman" w:cs="Times New Roman"/>
          <w:bCs/>
          <w:lang w:eastAsia="x-none"/>
        </w:rPr>
        <w:t>d</w:t>
      </w:r>
      <w:r w:rsidR="00FA1582">
        <w:rPr>
          <w:rFonts w:ascii="Times New Roman" w:eastAsia="Times New Roman" w:hAnsi="Times New Roman" w:cs="Times New Roman"/>
          <w:bCs/>
          <w:lang w:eastAsia="x-none"/>
        </w:rPr>
        <w:t>u</w:t>
      </w:r>
      <w:proofErr w:type="gramEnd"/>
      <w:r w:rsidR="00FA1582">
        <w:rPr>
          <w:rFonts w:ascii="Times New Roman" w:eastAsia="Times New Roman" w:hAnsi="Times New Roman" w:cs="Times New Roman"/>
          <w:bCs/>
          <w:lang w:eastAsia="x-none"/>
        </w:rPr>
        <w:t xml:space="preserve"> </w:t>
      </w:r>
      <w:r w:rsidR="00044068">
        <w:rPr>
          <w:rFonts w:ascii="Times New Roman" w:eastAsia="Times New Roman" w:hAnsi="Times New Roman" w:cs="Times New Roman"/>
          <w:bCs/>
          <w:lang w:eastAsia="x-none"/>
        </w:rPr>
        <w:t>classement des candidatures au regard des critères objectifs</w:t>
      </w:r>
      <w:r w:rsidR="008824A3">
        <w:rPr>
          <w:rFonts w:ascii="Times New Roman" w:eastAsia="Times New Roman" w:hAnsi="Times New Roman" w:cs="Times New Roman"/>
          <w:bCs/>
          <w:lang w:eastAsia="x-none"/>
        </w:rPr>
        <w:t xml:space="preserve"> </w:t>
      </w:r>
      <w:r w:rsidR="008824A3" w:rsidRPr="00ED0C93">
        <w:rPr>
          <w:rFonts w:ascii="Times New Roman" w:eastAsia="Times New Roman" w:hAnsi="Times New Roman" w:cs="Times New Roman"/>
          <w:bCs/>
          <w:lang w:eastAsia="x-none"/>
        </w:rPr>
        <w:t>de compétences, d’aptitudes et de capacités à exercer les missions dévolues et l’emploi à pourvoir</w:t>
      </w:r>
      <w:r w:rsidR="00044068">
        <w:rPr>
          <w:rFonts w:ascii="Times New Roman" w:eastAsia="Times New Roman" w:hAnsi="Times New Roman" w:cs="Times New Roman"/>
          <w:bCs/>
          <w:lang w:eastAsia="x-none"/>
        </w:rPr>
        <w:t xml:space="preserve">. </w:t>
      </w:r>
      <w:r w:rsidR="007C67B2">
        <w:rPr>
          <w:rFonts w:ascii="Times New Roman" w:eastAsia="Times New Roman" w:hAnsi="Times New Roman" w:cs="Times New Roman"/>
          <w:bCs/>
          <w:lang w:eastAsia="x-none"/>
        </w:rPr>
        <w:t xml:space="preserve">Ce classement est récapitulé sur un tableau de synthèse qui garantit la </w:t>
      </w:r>
      <w:r w:rsidR="00ED0C93">
        <w:rPr>
          <w:rFonts w:ascii="Times New Roman" w:eastAsia="Times New Roman" w:hAnsi="Times New Roman" w:cs="Times New Roman"/>
          <w:bCs/>
          <w:lang w:eastAsia="x-none"/>
        </w:rPr>
        <w:t>traçabilité du recrutement.</w:t>
      </w:r>
    </w:p>
    <w:p w14:paraId="04A1B810" w14:textId="77777777" w:rsidR="0087421B" w:rsidRPr="0087421B" w:rsidRDefault="0087421B" w:rsidP="0087421B">
      <w:pPr>
        <w:pStyle w:val="Paragraphedeliste"/>
        <w:spacing w:after="120"/>
        <w:jc w:val="both"/>
        <w:rPr>
          <w:rFonts w:ascii="Times New Roman" w:eastAsia="Times New Roman" w:hAnsi="Times New Roman" w:cs="Times New Roman"/>
          <w:bCs/>
          <w:lang w:eastAsia="x-none"/>
        </w:rPr>
      </w:pPr>
    </w:p>
    <w:p w14:paraId="5BD58D81" w14:textId="278B9218" w:rsidR="00415CDA" w:rsidRDefault="00415CDA">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Le choix du service recruteur</w:t>
      </w:r>
      <w:r w:rsidR="00CB653C">
        <w:rPr>
          <w:rFonts w:ascii="Times New Roman" w:eastAsia="Times New Roman" w:hAnsi="Times New Roman" w:cs="Times New Roman"/>
          <w:bCs/>
          <w:lang w:eastAsia="x-none"/>
        </w:rPr>
        <w:t>,</w:t>
      </w:r>
      <w:r w:rsidR="001E3861">
        <w:rPr>
          <w:rFonts w:ascii="Times New Roman" w:eastAsia="Times New Roman" w:hAnsi="Times New Roman" w:cs="Times New Roman"/>
          <w:bCs/>
          <w:lang w:eastAsia="x-none"/>
        </w:rPr>
        <w:t xml:space="preserve"> accompagné du dossier </w:t>
      </w:r>
      <w:r w:rsidR="00C40C55">
        <w:rPr>
          <w:rFonts w:ascii="Times New Roman" w:eastAsia="Times New Roman" w:hAnsi="Times New Roman" w:cs="Times New Roman"/>
          <w:bCs/>
          <w:lang w:eastAsia="x-none"/>
        </w:rPr>
        <w:t>de sélection</w:t>
      </w:r>
      <w:r w:rsidR="001E3861">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est transmis au service en charge des ressources humain</w:t>
      </w:r>
      <w:r w:rsidR="00CB653C">
        <w:rPr>
          <w:rFonts w:ascii="Times New Roman" w:eastAsia="Times New Roman" w:hAnsi="Times New Roman" w:cs="Times New Roman"/>
          <w:bCs/>
          <w:lang w:eastAsia="x-none"/>
        </w:rPr>
        <w:t xml:space="preserve">es dont relève le recrutement. </w:t>
      </w:r>
      <w:r>
        <w:rPr>
          <w:rFonts w:ascii="Times New Roman" w:eastAsia="Times New Roman" w:hAnsi="Times New Roman" w:cs="Times New Roman"/>
          <w:bCs/>
          <w:lang w:eastAsia="x-none"/>
        </w:rPr>
        <w:t xml:space="preserve">Celui-ci s’assure </w:t>
      </w:r>
      <w:r w:rsidR="007C67B2">
        <w:rPr>
          <w:rFonts w:ascii="Times New Roman" w:eastAsia="Times New Roman" w:hAnsi="Times New Roman" w:cs="Times New Roman"/>
          <w:bCs/>
          <w:lang w:eastAsia="x-none"/>
        </w:rPr>
        <w:t xml:space="preserve">du respect des procédures de </w:t>
      </w:r>
      <w:r w:rsidR="000E7444">
        <w:rPr>
          <w:rFonts w:ascii="Times New Roman" w:eastAsia="Times New Roman" w:hAnsi="Times New Roman" w:cs="Times New Roman"/>
          <w:bCs/>
          <w:lang w:eastAsia="x-none"/>
        </w:rPr>
        <w:t>recrutement</w:t>
      </w:r>
      <w:r w:rsidR="003F4A5D">
        <w:rPr>
          <w:rFonts w:ascii="Times New Roman" w:eastAsia="Times New Roman" w:hAnsi="Times New Roman" w:cs="Times New Roman"/>
          <w:bCs/>
          <w:lang w:eastAsia="x-none"/>
        </w:rPr>
        <w:t xml:space="preserve"> et de la complétude du dossier</w:t>
      </w:r>
      <w:r w:rsidR="00ED0C93">
        <w:rPr>
          <w:rFonts w:ascii="Times New Roman" w:eastAsia="Times New Roman" w:hAnsi="Times New Roman" w:cs="Times New Roman"/>
          <w:bCs/>
          <w:lang w:eastAsia="x-none"/>
        </w:rPr>
        <w:t>.</w:t>
      </w:r>
      <w:r>
        <w:rPr>
          <w:rFonts w:ascii="Times New Roman" w:eastAsia="Times New Roman" w:hAnsi="Times New Roman" w:cs="Times New Roman"/>
          <w:bCs/>
          <w:lang w:eastAsia="x-none"/>
        </w:rPr>
        <w:t xml:space="preserve"> </w:t>
      </w:r>
      <w:r w:rsidR="008519BB">
        <w:rPr>
          <w:rFonts w:ascii="Times New Roman" w:eastAsia="Times New Roman" w:hAnsi="Times New Roman" w:cs="Times New Roman"/>
          <w:bCs/>
          <w:lang w:eastAsia="x-none"/>
        </w:rPr>
        <w:t>Les candidats non retenus sont informés par écrit de cette décision</w:t>
      </w:r>
      <w:r w:rsidR="00CB653C">
        <w:rPr>
          <w:rFonts w:ascii="Times New Roman" w:eastAsia="Times New Roman" w:hAnsi="Times New Roman" w:cs="Times New Roman"/>
          <w:bCs/>
          <w:lang w:eastAsia="x-none"/>
        </w:rPr>
        <w:t xml:space="preserve"> par le service recruteur dans les meilleurs délais</w:t>
      </w:r>
      <w:r w:rsidR="008519BB">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 xml:space="preserve">Le Service des ressources humaines procède à la nomination, </w:t>
      </w:r>
      <w:r w:rsidR="003F4A5D">
        <w:rPr>
          <w:rFonts w:ascii="Times New Roman" w:eastAsia="Times New Roman" w:hAnsi="Times New Roman" w:cs="Times New Roman"/>
          <w:bCs/>
          <w:lang w:eastAsia="x-none"/>
        </w:rPr>
        <w:t>après avis de la</w:t>
      </w:r>
      <w:r>
        <w:rPr>
          <w:rFonts w:ascii="Times New Roman" w:eastAsia="Times New Roman" w:hAnsi="Times New Roman" w:cs="Times New Roman"/>
          <w:bCs/>
          <w:lang w:eastAsia="x-none"/>
        </w:rPr>
        <w:t xml:space="preserve"> direction générale ou du département compétent</w:t>
      </w:r>
      <w:r w:rsidR="001E3861">
        <w:rPr>
          <w:rFonts w:ascii="Times New Roman" w:eastAsia="Times New Roman" w:hAnsi="Times New Roman" w:cs="Times New Roman"/>
          <w:bCs/>
          <w:lang w:eastAsia="x-none"/>
        </w:rPr>
        <w:t>s</w:t>
      </w:r>
      <w:r w:rsidR="00CB653C">
        <w:rPr>
          <w:rFonts w:ascii="Times New Roman" w:eastAsia="Times New Roman" w:hAnsi="Times New Roman" w:cs="Times New Roman"/>
          <w:bCs/>
          <w:lang w:eastAsia="x-none"/>
        </w:rPr>
        <w:t>.</w:t>
      </w:r>
    </w:p>
    <w:p w14:paraId="5A905124" w14:textId="77777777" w:rsidR="00415CDA" w:rsidRDefault="00415CDA" w:rsidP="00ED0C93">
      <w:pPr>
        <w:spacing w:after="120"/>
        <w:jc w:val="both"/>
        <w:rPr>
          <w:rFonts w:ascii="Times New Roman" w:eastAsia="Times New Roman" w:hAnsi="Times New Roman" w:cs="Times New Roman"/>
          <w:bCs/>
          <w:lang w:eastAsia="x-none"/>
        </w:rPr>
      </w:pPr>
    </w:p>
    <w:p w14:paraId="41787E95" w14:textId="3520C36A" w:rsidR="00FD705A" w:rsidRPr="001D65A9" w:rsidRDefault="00FD705A" w:rsidP="007A6FBF">
      <w:pPr>
        <w:pStyle w:val="Paragraphedeliste"/>
        <w:numPr>
          <w:ilvl w:val="0"/>
          <w:numId w:val="11"/>
        </w:numPr>
        <w:spacing w:after="120"/>
        <w:jc w:val="both"/>
        <w:rPr>
          <w:rFonts w:ascii="Times New Roman" w:eastAsia="Times New Roman" w:hAnsi="Times New Roman" w:cs="Times New Roman"/>
          <w:bCs/>
          <w:u w:val="single"/>
          <w:lang w:eastAsia="x-none"/>
        </w:rPr>
      </w:pPr>
      <w:r w:rsidRPr="001D65A9">
        <w:rPr>
          <w:rFonts w:ascii="Times New Roman" w:eastAsia="Times New Roman" w:hAnsi="Times New Roman" w:cs="Times New Roman"/>
          <w:bCs/>
          <w:u w:val="single"/>
          <w:lang w:eastAsia="x-none"/>
        </w:rPr>
        <w:t xml:space="preserve">Actes de gestion formalisant </w:t>
      </w:r>
      <w:r w:rsidR="00C62D80" w:rsidRPr="001D65A9">
        <w:rPr>
          <w:rFonts w:ascii="Times New Roman" w:eastAsia="Times New Roman" w:hAnsi="Times New Roman" w:cs="Times New Roman"/>
          <w:bCs/>
          <w:u w:val="single"/>
          <w:lang w:eastAsia="x-none"/>
        </w:rPr>
        <w:t xml:space="preserve">le </w:t>
      </w:r>
      <w:r w:rsidR="008519BB">
        <w:rPr>
          <w:rFonts w:ascii="Times New Roman" w:eastAsia="Times New Roman" w:hAnsi="Times New Roman" w:cs="Times New Roman"/>
          <w:bCs/>
          <w:u w:val="single"/>
          <w:lang w:eastAsia="x-none"/>
        </w:rPr>
        <w:t>recrutement</w:t>
      </w:r>
    </w:p>
    <w:p w14:paraId="2270F983" w14:textId="166A4FD9" w:rsidR="00AE110D" w:rsidRDefault="001E3861" w:rsidP="002B0D28">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L</w:t>
      </w:r>
      <w:r w:rsidR="004A0423" w:rsidRPr="001D65A9">
        <w:rPr>
          <w:rFonts w:ascii="Times New Roman" w:eastAsia="Times New Roman" w:hAnsi="Times New Roman" w:cs="Times New Roman"/>
          <w:bCs/>
          <w:lang w:eastAsia="x-none"/>
        </w:rPr>
        <w:t>’acte de nomination (mutation, affectation, détachement</w:t>
      </w:r>
      <w:r w:rsidR="00F37E83">
        <w:rPr>
          <w:rFonts w:ascii="Times New Roman" w:eastAsia="Times New Roman" w:hAnsi="Times New Roman" w:cs="Times New Roman"/>
          <w:bCs/>
          <w:lang w:eastAsia="x-none"/>
        </w:rPr>
        <w:t>, contrat…</w:t>
      </w:r>
      <w:r w:rsidR="004A0423" w:rsidRPr="001D65A9">
        <w:rPr>
          <w:rFonts w:ascii="Times New Roman" w:eastAsia="Times New Roman" w:hAnsi="Times New Roman" w:cs="Times New Roman"/>
          <w:bCs/>
          <w:lang w:eastAsia="x-none"/>
        </w:rPr>
        <w:t>) est pris par le</w:t>
      </w:r>
      <w:r w:rsidR="00F37E83">
        <w:rPr>
          <w:rFonts w:ascii="Times New Roman" w:eastAsia="Times New Roman" w:hAnsi="Times New Roman" w:cs="Times New Roman"/>
          <w:bCs/>
          <w:lang w:eastAsia="x-none"/>
        </w:rPr>
        <w:t xml:space="preserve"> service d</w:t>
      </w:r>
      <w:r w:rsidR="00AE110D">
        <w:rPr>
          <w:rFonts w:ascii="Times New Roman" w:eastAsia="Times New Roman" w:hAnsi="Times New Roman" w:cs="Times New Roman"/>
          <w:bCs/>
          <w:lang w:eastAsia="x-none"/>
        </w:rPr>
        <w:t>es ressources humaines</w:t>
      </w:r>
      <w:r>
        <w:rPr>
          <w:rFonts w:ascii="Times New Roman" w:eastAsia="Times New Roman" w:hAnsi="Times New Roman" w:cs="Times New Roman"/>
          <w:bCs/>
          <w:lang w:eastAsia="x-none"/>
        </w:rPr>
        <w:t xml:space="preserve"> du ministère. S’agissant des contrats c’est le signataire du contrat qui est en charge de cet acte</w:t>
      </w:r>
      <w:r w:rsidR="00C40C55">
        <w:rPr>
          <w:rFonts w:ascii="Times New Roman" w:eastAsia="Times New Roman" w:hAnsi="Times New Roman" w:cs="Times New Roman"/>
          <w:bCs/>
          <w:lang w:eastAsia="x-none"/>
        </w:rPr>
        <w:t>.</w:t>
      </w:r>
    </w:p>
    <w:p w14:paraId="7F6CF7E2" w14:textId="77777777" w:rsidR="00AE110D" w:rsidRDefault="00AE110D" w:rsidP="002B0D28">
      <w:pPr>
        <w:spacing w:after="120"/>
        <w:jc w:val="both"/>
        <w:rPr>
          <w:rFonts w:ascii="Times New Roman" w:eastAsia="Times New Roman" w:hAnsi="Times New Roman" w:cs="Times New Roman"/>
          <w:bCs/>
          <w:lang w:eastAsia="x-none"/>
        </w:rPr>
      </w:pPr>
    </w:p>
    <w:p w14:paraId="454E2AC3" w14:textId="70D0F0D0" w:rsidR="00410718" w:rsidRDefault="002B0D28" w:rsidP="002B0D28">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L</w:t>
      </w:r>
      <w:r w:rsidR="002942FB" w:rsidRPr="002B0D28">
        <w:rPr>
          <w:rFonts w:ascii="Times New Roman" w:eastAsia="Times New Roman" w:hAnsi="Times New Roman" w:cs="Times New Roman"/>
          <w:bCs/>
          <w:lang w:eastAsia="x-none"/>
        </w:rPr>
        <w:t>es recour</w:t>
      </w:r>
      <w:r w:rsidR="00A50189" w:rsidRPr="002B0D28">
        <w:rPr>
          <w:rFonts w:ascii="Times New Roman" w:eastAsia="Times New Roman" w:hAnsi="Times New Roman" w:cs="Times New Roman"/>
          <w:bCs/>
          <w:lang w:eastAsia="x-none"/>
        </w:rPr>
        <w:t xml:space="preserve">s </w:t>
      </w:r>
      <w:r w:rsidR="001E3861">
        <w:rPr>
          <w:rFonts w:ascii="Times New Roman" w:eastAsia="Times New Roman" w:hAnsi="Times New Roman" w:cs="Times New Roman"/>
          <w:bCs/>
          <w:lang w:eastAsia="x-none"/>
        </w:rPr>
        <w:t xml:space="preserve">contre </w:t>
      </w:r>
      <w:r w:rsidR="00A50189" w:rsidRPr="002B0D28">
        <w:rPr>
          <w:rFonts w:ascii="Times New Roman" w:eastAsia="Times New Roman" w:hAnsi="Times New Roman" w:cs="Times New Roman"/>
          <w:bCs/>
          <w:lang w:eastAsia="x-none"/>
        </w:rPr>
        <w:t>les décisions de mobilité</w:t>
      </w:r>
      <w:r w:rsidR="002942FB" w:rsidRPr="002B0D28">
        <w:rPr>
          <w:rFonts w:ascii="Times New Roman" w:eastAsia="Times New Roman" w:hAnsi="Times New Roman" w:cs="Times New Roman"/>
          <w:bCs/>
          <w:lang w:eastAsia="x-none"/>
        </w:rPr>
        <w:t xml:space="preserve"> ne relèvent </w:t>
      </w:r>
      <w:r w:rsidR="005E5366" w:rsidRPr="002B0D28">
        <w:rPr>
          <w:rFonts w:ascii="Times New Roman" w:eastAsia="Times New Roman" w:hAnsi="Times New Roman" w:cs="Times New Roman"/>
          <w:bCs/>
          <w:lang w:eastAsia="x-none"/>
        </w:rPr>
        <w:t>plus</w:t>
      </w:r>
      <w:r w:rsidR="002942FB" w:rsidRPr="002B0D28">
        <w:rPr>
          <w:rFonts w:ascii="Times New Roman" w:eastAsia="Times New Roman" w:hAnsi="Times New Roman" w:cs="Times New Roman"/>
          <w:bCs/>
          <w:lang w:eastAsia="x-none"/>
        </w:rPr>
        <w:t xml:space="preserve"> de la compétence de la </w:t>
      </w:r>
      <w:r w:rsidR="000E7444" w:rsidRPr="002B0D28">
        <w:rPr>
          <w:rFonts w:ascii="Times New Roman" w:eastAsia="Times New Roman" w:hAnsi="Times New Roman" w:cs="Times New Roman"/>
          <w:bCs/>
          <w:lang w:eastAsia="x-none"/>
        </w:rPr>
        <w:t>CAP</w:t>
      </w:r>
      <w:r w:rsidR="005E5366" w:rsidRPr="002B0D28">
        <w:rPr>
          <w:rFonts w:ascii="Times New Roman" w:eastAsia="Times New Roman" w:hAnsi="Times New Roman" w:cs="Times New Roman"/>
          <w:bCs/>
          <w:lang w:eastAsia="x-none"/>
        </w:rPr>
        <w:t xml:space="preserve"> à compter de janvier 2020.</w:t>
      </w:r>
      <w:r>
        <w:rPr>
          <w:rFonts w:ascii="Times New Roman" w:eastAsia="Times New Roman" w:hAnsi="Times New Roman" w:cs="Times New Roman"/>
          <w:bCs/>
          <w:lang w:eastAsia="x-none"/>
        </w:rPr>
        <w:t xml:space="preserve"> </w:t>
      </w:r>
      <w:r w:rsidR="002942FB">
        <w:rPr>
          <w:rFonts w:ascii="Times New Roman" w:eastAsia="Times New Roman" w:hAnsi="Times New Roman" w:cs="Times New Roman"/>
          <w:bCs/>
          <w:lang w:eastAsia="x-none"/>
        </w:rPr>
        <w:t xml:space="preserve">L’agent </w:t>
      </w:r>
      <w:r>
        <w:rPr>
          <w:rFonts w:ascii="Times New Roman" w:eastAsia="Times New Roman" w:hAnsi="Times New Roman" w:cs="Times New Roman"/>
          <w:bCs/>
          <w:lang w:eastAsia="x-none"/>
        </w:rPr>
        <w:t>qui souhaite contester une décision peut soit exercer un r</w:t>
      </w:r>
      <w:r w:rsidR="002942FB">
        <w:rPr>
          <w:rFonts w:ascii="Times New Roman" w:eastAsia="Times New Roman" w:hAnsi="Times New Roman" w:cs="Times New Roman"/>
          <w:bCs/>
          <w:lang w:eastAsia="x-none"/>
        </w:rPr>
        <w:t xml:space="preserve">ecours gracieux </w:t>
      </w:r>
      <w:r w:rsidR="00A50189">
        <w:rPr>
          <w:rFonts w:ascii="Times New Roman" w:eastAsia="Times New Roman" w:hAnsi="Times New Roman" w:cs="Times New Roman"/>
          <w:bCs/>
          <w:lang w:eastAsia="x-none"/>
        </w:rPr>
        <w:t>devant l’autorité</w:t>
      </w:r>
      <w:r>
        <w:rPr>
          <w:rFonts w:ascii="Times New Roman" w:eastAsia="Times New Roman" w:hAnsi="Times New Roman" w:cs="Times New Roman"/>
          <w:bCs/>
          <w:lang w:eastAsia="x-none"/>
        </w:rPr>
        <w:t xml:space="preserve"> de recrutement, soit un r</w:t>
      </w:r>
      <w:r w:rsidR="00A50189">
        <w:rPr>
          <w:rFonts w:ascii="Times New Roman" w:eastAsia="Times New Roman" w:hAnsi="Times New Roman" w:cs="Times New Roman"/>
          <w:bCs/>
          <w:lang w:eastAsia="x-none"/>
        </w:rPr>
        <w:t>ecours contentieux auprès de</w:t>
      </w:r>
      <w:r>
        <w:rPr>
          <w:rFonts w:ascii="Times New Roman" w:eastAsia="Times New Roman" w:hAnsi="Times New Roman" w:cs="Times New Roman"/>
          <w:bCs/>
          <w:lang w:eastAsia="x-none"/>
        </w:rPr>
        <w:t xml:space="preserve"> la juridiction administrative.</w:t>
      </w:r>
      <w:r w:rsidR="005E5366">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 xml:space="preserve">Il peut pour cela se faire assister du </w:t>
      </w:r>
      <w:r w:rsidR="00B555B8">
        <w:rPr>
          <w:rFonts w:ascii="Times New Roman" w:eastAsia="Times New Roman" w:hAnsi="Times New Roman" w:cs="Times New Roman"/>
          <w:bCs/>
          <w:lang w:eastAsia="x-none"/>
        </w:rPr>
        <w:t>représentant désigné</w:t>
      </w:r>
      <w:r w:rsidR="00F37E83">
        <w:rPr>
          <w:rFonts w:ascii="Times New Roman" w:eastAsia="Times New Roman" w:hAnsi="Times New Roman" w:cs="Times New Roman"/>
          <w:bCs/>
          <w:lang w:eastAsia="x-none"/>
        </w:rPr>
        <w:t xml:space="preserve"> par une organisation </w:t>
      </w:r>
      <w:r>
        <w:rPr>
          <w:rFonts w:ascii="Times New Roman" w:eastAsia="Times New Roman" w:hAnsi="Times New Roman" w:cs="Times New Roman"/>
          <w:bCs/>
          <w:lang w:eastAsia="x-none"/>
        </w:rPr>
        <w:t>syndical</w:t>
      </w:r>
      <w:r w:rsidR="00F37E83">
        <w:rPr>
          <w:rFonts w:ascii="Times New Roman" w:eastAsia="Times New Roman" w:hAnsi="Times New Roman" w:cs="Times New Roman"/>
          <w:bCs/>
          <w:lang w:eastAsia="x-none"/>
        </w:rPr>
        <w:t xml:space="preserve">e représentative de </w:t>
      </w:r>
      <w:r w:rsidR="001E3861">
        <w:rPr>
          <w:rFonts w:ascii="Times New Roman" w:eastAsia="Times New Roman" w:hAnsi="Times New Roman" w:cs="Times New Roman"/>
          <w:bCs/>
          <w:lang w:eastAsia="x-none"/>
        </w:rPr>
        <w:t>son</w:t>
      </w:r>
      <w:r>
        <w:rPr>
          <w:rFonts w:ascii="Times New Roman" w:eastAsia="Times New Roman" w:hAnsi="Times New Roman" w:cs="Times New Roman"/>
          <w:bCs/>
          <w:lang w:eastAsia="x-none"/>
        </w:rPr>
        <w:t xml:space="preserve"> choix</w:t>
      </w:r>
      <w:r w:rsidR="00F37E83">
        <w:rPr>
          <w:rFonts w:ascii="Times New Roman" w:eastAsia="Times New Roman" w:hAnsi="Times New Roman" w:cs="Times New Roman"/>
          <w:bCs/>
          <w:lang w:eastAsia="x-none"/>
        </w:rPr>
        <w:t xml:space="preserve"> pour </w:t>
      </w:r>
      <w:r w:rsidR="001E3861">
        <w:rPr>
          <w:rFonts w:ascii="Times New Roman" w:eastAsia="Times New Roman" w:hAnsi="Times New Roman" w:cs="Times New Roman"/>
          <w:bCs/>
          <w:lang w:eastAsia="x-none"/>
        </w:rPr>
        <w:t>l’</w:t>
      </w:r>
      <w:r w:rsidR="00B555B8">
        <w:rPr>
          <w:rFonts w:ascii="Times New Roman" w:eastAsia="Times New Roman" w:hAnsi="Times New Roman" w:cs="Times New Roman"/>
          <w:bCs/>
          <w:lang w:eastAsia="x-none"/>
        </w:rPr>
        <w:t>assister dans</w:t>
      </w:r>
      <w:r w:rsidR="00F37E83">
        <w:rPr>
          <w:rFonts w:ascii="Times New Roman" w:eastAsia="Times New Roman" w:hAnsi="Times New Roman" w:cs="Times New Roman"/>
          <w:bCs/>
          <w:lang w:eastAsia="x-none"/>
        </w:rPr>
        <w:t xml:space="preserve"> l’exercice </w:t>
      </w:r>
      <w:r w:rsidR="001E3861">
        <w:rPr>
          <w:rFonts w:ascii="Times New Roman" w:eastAsia="Times New Roman" w:hAnsi="Times New Roman" w:cs="Times New Roman"/>
          <w:bCs/>
          <w:lang w:eastAsia="x-none"/>
        </w:rPr>
        <w:t>des</w:t>
      </w:r>
      <w:r w:rsidR="00F37E83">
        <w:rPr>
          <w:rFonts w:ascii="Times New Roman" w:eastAsia="Times New Roman" w:hAnsi="Times New Roman" w:cs="Times New Roman"/>
          <w:bCs/>
          <w:lang w:eastAsia="x-none"/>
        </w:rPr>
        <w:t xml:space="preserve"> recours administratifs contre les décisions individuelles de mutation. </w:t>
      </w:r>
    </w:p>
    <w:p w14:paraId="35EE4AFF" w14:textId="77777777" w:rsidR="001E3861" w:rsidRDefault="001E3861" w:rsidP="001E3861">
      <w:pPr>
        <w:spacing w:after="120"/>
        <w:jc w:val="both"/>
        <w:rPr>
          <w:rFonts w:ascii="Times New Roman" w:eastAsia="Times New Roman" w:hAnsi="Times New Roman" w:cs="Times New Roman"/>
          <w:bCs/>
          <w:lang w:eastAsia="x-none"/>
        </w:rPr>
      </w:pPr>
    </w:p>
    <w:p w14:paraId="1FA10322" w14:textId="7AB4A265" w:rsidR="00410718" w:rsidRPr="001E3861" w:rsidRDefault="001E3861" w:rsidP="001E3861">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8 : </w:t>
      </w:r>
      <w:r w:rsidR="00556C32" w:rsidRPr="001D65A9">
        <w:rPr>
          <w:rFonts w:ascii="Times New Roman" w:eastAsia="Times New Roman" w:hAnsi="Times New Roman" w:cs="Times New Roman"/>
          <w:bCs/>
          <w:u w:val="single"/>
          <w:lang w:val="x-none" w:eastAsia="x-none"/>
        </w:rPr>
        <w:t>Les priorités</w:t>
      </w:r>
      <w:r w:rsidR="00670E53" w:rsidRPr="001D65A9">
        <w:rPr>
          <w:rFonts w:ascii="Times New Roman" w:eastAsia="Times New Roman" w:hAnsi="Times New Roman" w:cs="Times New Roman"/>
          <w:bCs/>
          <w:u w:val="single"/>
          <w:lang w:eastAsia="x-none"/>
        </w:rPr>
        <w:t xml:space="preserve"> prises en compte en matière de mutation </w:t>
      </w:r>
    </w:p>
    <w:p w14:paraId="1A5592F7" w14:textId="77777777" w:rsidR="00AF2C49" w:rsidRDefault="00712BCA" w:rsidP="00267F5B">
      <w:pPr>
        <w:pStyle w:val="Paragraphedeliste"/>
        <w:spacing w:after="160" w:line="256" w:lineRule="auto"/>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Dans toute la mesure compatible avec </w:t>
      </w:r>
      <w:r w:rsidR="00513E18">
        <w:rPr>
          <w:rFonts w:ascii="Times New Roman" w:eastAsia="Times New Roman" w:hAnsi="Times New Roman" w:cs="Times New Roman"/>
          <w:bCs/>
          <w:lang w:eastAsia="x-none"/>
        </w:rPr>
        <w:t>le bon fonctionnement du service, et sous réserve des priorités mentionnées à l’article 8.3, les demandes de mutation sont examinées en tenant compte des demandes formulées par les intéressés et de leur situation</w:t>
      </w:r>
      <w:r>
        <w:rPr>
          <w:rFonts w:ascii="Times New Roman" w:eastAsia="Times New Roman" w:hAnsi="Times New Roman" w:cs="Times New Roman"/>
          <w:bCs/>
          <w:lang w:eastAsia="x-none"/>
        </w:rPr>
        <w:t xml:space="preserve"> au regard des priorités mentionnées aux points 8.1 et 8.2. </w:t>
      </w:r>
    </w:p>
    <w:p w14:paraId="2827BED2" w14:textId="77777777" w:rsidR="00AF2C49" w:rsidRDefault="00AF2C49" w:rsidP="00267F5B">
      <w:pPr>
        <w:pStyle w:val="Paragraphedeliste"/>
        <w:spacing w:after="160" w:line="256" w:lineRule="auto"/>
        <w:jc w:val="both"/>
        <w:rPr>
          <w:rFonts w:ascii="Times New Roman" w:eastAsia="Times New Roman" w:hAnsi="Times New Roman" w:cs="Times New Roman"/>
          <w:bCs/>
          <w:lang w:eastAsia="x-none"/>
        </w:rPr>
      </w:pPr>
    </w:p>
    <w:p w14:paraId="61B7103C" w14:textId="5FF3D463" w:rsidR="0066032F" w:rsidRPr="001E3861" w:rsidRDefault="00C24925" w:rsidP="00AF2C49">
      <w:pPr>
        <w:pStyle w:val="Paragraphedeliste"/>
        <w:spacing w:after="160" w:line="256" w:lineRule="auto"/>
        <w:ind w:left="0"/>
        <w:jc w:val="both"/>
        <w:rPr>
          <w:rFonts w:ascii="Times New Roman" w:hAnsi="Times New Roman" w:cs="Times New Roman"/>
          <w:sz w:val="22"/>
          <w:szCs w:val="22"/>
        </w:rPr>
      </w:pPr>
      <w:r w:rsidRPr="001E3861">
        <w:rPr>
          <w:rFonts w:ascii="Times New Roman" w:hAnsi="Times New Roman" w:cs="Times New Roman"/>
        </w:rPr>
        <w:lastRenderedPageBreak/>
        <w:t>8</w:t>
      </w:r>
      <w:r w:rsidR="00267F5B" w:rsidRPr="001E3861">
        <w:rPr>
          <w:rFonts w:ascii="Times New Roman" w:hAnsi="Times New Roman" w:cs="Times New Roman"/>
        </w:rPr>
        <w:t xml:space="preserve">.1 </w:t>
      </w:r>
      <w:r w:rsidR="00916DA1" w:rsidRPr="001E3861">
        <w:rPr>
          <w:rFonts w:ascii="Times New Roman" w:hAnsi="Times New Roman" w:cs="Times New Roman"/>
        </w:rPr>
        <w:t xml:space="preserve">Les </w:t>
      </w:r>
      <w:r w:rsidR="0066032F" w:rsidRPr="001E3861">
        <w:rPr>
          <w:rFonts w:ascii="Times New Roman" w:hAnsi="Times New Roman" w:cs="Times New Roman"/>
        </w:rPr>
        <w:t>priorités légales de mutation</w:t>
      </w:r>
    </w:p>
    <w:p w14:paraId="3BA3D147" w14:textId="7EDBB2B8" w:rsidR="00410718" w:rsidRDefault="00267F5B" w:rsidP="0066032F">
      <w:pPr>
        <w:jc w:val="both"/>
        <w:rPr>
          <w:rFonts w:ascii="Times New Roman" w:hAnsi="Times New Roman" w:cs="Times New Roman"/>
        </w:rPr>
      </w:pPr>
      <w:r>
        <w:rPr>
          <w:rFonts w:ascii="Times New Roman" w:hAnsi="Times New Roman" w:cs="Times New Roman"/>
        </w:rPr>
        <w:t>L</w:t>
      </w:r>
      <w:r w:rsidR="0066032F">
        <w:rPr>
          <w:rFonts w:ascii="Times New Roman" w:hAnsi="Times New Roman" w:cs="Times New Roman"/>
        </w:rPr>
        <w:t>’article 60 de la loi n° 84-16 du 11 janvier 1984 portant dispositions statutaires relatives à la fonction publique de l'Etat</w:t>
      </w:r>
      <w:r>
        <w:rPr>
          <w:rFonts w:ascii="Times New Roman" w:hAnsi="Times New Roman" w:cs="Times New Roman"/>
        </w:rPr>
        <w:t xml:space="preserve"> </w:t>
      </w:r>
      <w:r w:rsidR="00A62297">
        <w:rPr>
          <w:rFonts w:ascii="Times New Roman" w:hAnsi="Times New Roman" w:cs="Times New Roman"/>
        </w:rPr>
        <w:t>modifié</w:t>
      </w:r>
      <w:r w:rsidR="00CF6959">
        <w:rPr>
          <w:rFonts w:ascii="Times New Roman" w:hAnsi="Times New Roman" w:cs="Times New Roman"/>
        </w:rPr>
        <w:t>e</w:t>
      </w:r>
      <w:r w:rsidR="00A62297">
        <w:rPr>
          <w:rFonts w:ascii="Times New Roman" w:hAnsi="Times New Roman" w:cs="Times New Roman"/>
        </w:rPr>
        <w:t>, accorde</w:t>
      </w:r>
      <w:r>
        <w:rPr>
          <w:rFonts w:ascii="Times New Roman" w:hAnsi="Times New Roman" w:cs="Times New Roman"/>
        </w:rPr>
        <w:t xml:space="preserve"> une priorité de mutation aux </w:t>
      </w:r>
      <w:r w:rsidR="0066032F">
        <w:rPr>
          <w:rFonts w:ascii="Times New Roman" w:hAnsi="Times New Roman" w:cs="Times New Roman"/>
        </w:rPr>
        <w:t>agents se trouvant dans l'une des situations suivantes :</w:t>
      </w:r>
    </w:p>
    <w:p w14:paraId="08466710" w14:textId="77777777" w:rsidR="00267F5B" w:rsidRDefault="00267F5B" w:rsidP="0066032F">
      <w:pPr>
        <w:jc w:val="both"/>
        <w:rPr>
          <w:rFonts w:ascii="Times New Roman" w:hAnsi="Times New Roman" w:cs="Times New Roman"/>
        </w:rPr>
      </w:pPr>
    </w:p>
    <w:p w14:paraId="1D8ED0C2" w14:textId="356D9DA2" w:rsidR="0066032F" w:rsidRDefault="0066032F" w:rsidP="0066032F">
      <w:pPr>
        <w:pStyle w:val="Paragraphedeliste"/>
        <w:numPr>
          <w:ilvl w:val="0"/>
          <w:numId w:val="13"/>
        </w:numPr>
        <w:spacing w:after="160" w:line="256" w:lineRule="auto"/>
        <w:jc w:val="both"/>
        <w:rPr>
          <w:rFonts w:ascii="Times New Roman" w:hAnsi="Times New Roman" w:cs="Times New Roman"/>
          <w:u w:val="single"/>
        </w:rPr>
      </w:pPr>
      <w:r>
        <w:rPr>
          <w:rFonts w:ascii="Times New Roman" w:hAnsi="Times New Roman" w:cs="Times New Roman"/>
          <w:u w:val="single"/>
        </w:rPr>
        <w:t>Rapprochement de conjoint</w:t>
      </w:r>
      <w:r w:rsidR="00CC01AB">
        <w:rPr>
          <w:rFonts w:ascii="Times New Roman" w:hAnsi="Times New Roman" w:cs="Times New Roman"/>
          <w:u w:val="single"/>
        </w:rPr>
        <w:t xml:space="preserve"> </w:t>
      </w:r>
    </w:p>
    <w:p w14:paraId="438F5D40" w14:textId="191C6BF8" w:rsidR="00030827" w:rsidRDefault="00C567DD" w:rsidP="0066032F">
      <w:pPr>
        <w:jc w:val="both"/>
        <w:rPr>
          <w:rFonts w:ascii="Times New Roman" w:hAnsi="Times New Roman" w:cs="Times New Roman"/>
        </w:rPr>
      </w:pPr>
      <w:r>
        <w:rPr>
          <w:rFonts w:ascii="Times New Roman" w:hAnsi="Times New Roman" w:cs="Times New Roman"/>
        </w:rPr>
        <w:t>Peut se prévaloir de cette priorité l</w:t>
      </w:r>
      <w:r w:rsidR="0066032F">
        <w:rPr>
          <w:rFonts w:ascii="Times New Roman" w:hAnsi="Times New Roman" w:cs="Times New Roman"/>
        </w:rPr>
        <w:t>e fonctionnaire séparé de son conjoint pour des raisons professionnelles, ainsi que le fonctionnaire séparé pour des raisons professionnelles du partenaire avec lequel il est lié par un pacte civil de solidarité</w:t>
      </w:r>
      <w:r>
        <w:rPr>
          <w:rFonts w:ascii="Times New Roman" w:hAnsi="Times New Roman" w:cs="Times New Roman"/>
        </w:rPr>
        <w:t xml:space="preserve"> (</w:t>
      </w:r>
      <w:r w:rsidR="0066032F">
        <w:rPr>
          <w:rFonts w:ascii="Times New Roman" w:hAnsi="Times New Roman" w:cs="Times New Roman"/>
        </w:rPr>
        <w:t>s’il produit la preuve qu’ils se soumettent à l’obligation d’imposition commune prévue par le code général des impôts</w:t>
      </w:r>
      <w:r w:rsidR="002B4998">
        <w:rPr>
          <w:rFonts w:ascii="Times New Roman" w:hAnsi="Times New Roman" w:cs="Times New Roman"/>
        </w:rPr>
        <w:t>)</w:t>
      </w:r>
      <w:r w:rsidR="0066032F">
        <w:rPr>
          <w:rFonts w:ascii="Times New Roman" w:hAnsi="Times New Roman" w:cs="Times New Roman"/>
        </w:rPr>
        <w:t>.</w:t>
      </w:r>
    </w:p>
    <w:p w14:paraId="0BEEA4C6" w14:textId="77777777" w:rsidR="00030827" w:rsidRDefault="00030827" w:rsidP="0066032F">
      <w:pPr>
        <w:jc w:val="both"/>
        <w:rPr>
          <w:rFonts w:ascii="Times New Roman" w:hAnsi="Times New Roman" w:cs="Times New Roman"/>
        </w:rPr>
      </w:pPr>
    </w:p>
    <w:p w14:paraId="027E0C9C" w14:textId="77777777" w:rsidR="0066032F" w:rsidRDefault="0066032F" w:rsidP="0066032F">
      <w:pPr>
        <w:pStyle w:val="Paragraphedeliste"/>
        <w:numPr>
          <w:ilvl w:val="0"/>
          <w:numId w:val="13"/>
        </w:numPr>
        <w:spacing w:after="160" w:line="256" w:lineRule="auto"/>
        <w:jc w:val="both"/>
        <w:rPr>
          <w:rFonts w:ascii="Times New Roman" w:hAnsi="Times New Roman" w:cs="Times New Roman"/>
          <w:u w:val="single"/>
        </w:rPr>
      </w:pPr>
      <w:r>
        <w:rPr>
          <w:rFonts w:ascii="Times New Roman" w:hAnsi="Times New Roman" w:cs="Times New Roman"/>
          <w:u w:val="single"/>
        </w:rPr>
        <w:t>Handicap</w:t>
      </w:r>
    </w:p>
    <w:p w14:paraId="3AFF83B4" w14:textId="7266C914" w:rsidR="002B4998" w:rsidRDefault="002B4998" w:rsidP="0066032F">
      <w:pPr>
        <w:jc w:val="both"/>
        <w:rPr>
          <w:rFonts w:ascii="Times New Roman" w:hAnsi="Times New Roman" w:cs="Times New Roman"/>
        </w:rPr>
      </w:pPr>
      <w:r>
        <w:rPr>
          <w:rFonts w:ascii="Times New Roman" w:hAnsi="Times New Roman" w:cs="Times New Roman"/>
        </w:rPr>
        <w:t>Peut se prévaloir de cette priorité l</w:t>
      </w:r>
      <w:r w:rsidR="0066032F">
        <w:rPr>
          <w:rFonts w:ascii="Times New Roman" w:hAnsi="Times New Roman" w:cs="Times New Roman"/>
        </w:rPr>
        <w:t xml:space="preserve">e fonctionnaire en situation de handicap relevant de l’une des catégories mentionnées aux 1°, 2°, 3°, 4°, 9°, 10° et 11° de l’article L. 5212-13 du code du travail. Sont concernés : </w:t>
      </w:r>
    </w:p>
    <w:p w14:paraId="6DF9AF35" w14:textId="6CBE9887" w:rsidR="002B4998"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travailleurs reconnus handicapés par la Commission des droits et de l'autonomie (RQTH) ;</w:t>
      </w:r>
    </w:p>
    <w:p w14:paraId="7BC42271" w14:textId="61CB6C08" w:rsidR="002B4998"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victimes d'accidents du travail ou de maladies professionnelles ayant entraîné une incapacité permanente au moins égale à 10 % et titulaires d'une rente attribuée au titre du régime général de sécurité sociale ou de tout autre régime de protection sociale obligatoire ; </w:t>
      </w:r>
    </w:p>
    <w:p w14:paraId="3FFEC38C" w14:textId="14C6C7CA" w:rsidR="002B4998"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titulaires d'une pension d'invalidité, à condition que l'invalidité réduise au moins des deux tiers la capacité de travail ou de gain ; les anciens militaires et assimilés titulaires d'une pension d'invalidité ; </w:t>
      </w:r>
    </w:p>
    <w:p w14:paraId="4B4B08C5" w14:textId="64F03C95" w:rsidR="002B4998"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titulaires de la carte d'invalidité délivrée par la Commission des droits et de l'autonomie, à toute personne dont le taux d'incapacité permanente est au moins de 80 % ou qui a été classée en 3e catégorie de la pension d'invalidité de la sécurité sociale</w:t>
      </w:r>
      <w:r w:rsidR="002B4998">
        <w:rPr>
          <w:rFonts w:ascii="Times New Roman" w:hAnsi="Times New Roman" w:cs="Times New Roman"/>
        </w:rPr>
        <w:t xml:space="preserve"> ; </w:t>
      </w:r>
    </w:p>
    <w:p w14:paraId="32312F63" w14:textId="145B2530" w:rsidR="002B4998"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titulaires d'une allocation ou d'une rente d'invalidité pour les sapeurs-pompiers volontaires </w:t>
      </w:r>
      <w:r w:rsidR="002B4998" w:rsidRPr="001D65A9">
        <w:rPr>
          <w:rFonts w:ascii="Times New Roman" w:hAnsi="Times New Roman" w:cs="Times New Roman"/>
        </w:rPr>
        <w:t>;</w:t>
      </w:r>
    </w:p>
    <w:p w14:paraId="38B67E29" w14:textId="44EC51A6" w:rsidR="0066032F" w:rsidRPr="001D65A9" w:rsidRDefault="00B555B8" w:rsidP="001D65A9">
      <w:pPr>
        <w:pStyle w:val="Paragraphedeliste"/>
        <w:numPr>
          <w:ilvl w:val="0"/>
          <w:numId w:val="13"/>
        </w:numPr>
        <w:jc w:val="both"/>
        <w:rPr>
          <w:rFonts w:ascii="Times New Roman" w:hAnsi="Times New Roman" w:cs="Times New Roman"/>
        </w:rPr>
      </w:pPr>
      <w:r w:rsidRPr="001D65A9">
        <w:rPr>
          <w:rFonts w:ascii="Times New Roman" w:hAnsi="Times New Roman" w:cs="Times New Roman"/>
        </w:rPr>
        <w:t>Les</w:t>
      </w:r>
      <w:r w:rsidR="0066032F" w:rsidRPr="001D65A9">
        <w:rPr>
          <w:rFonts w:ascii="Times New Roman" w:hAnsi="Times New Roman" w:cs="Times New Roman"/>
        </w:rPr>
        <w:t xml:space="preserve"> titulaires de l'allocation aux adultes handicapés.</w:t>
      </w:r>
    </w:p>
    <w:p w14:paraId="0A898119" w14:textId="77777777" w:rsidR="00410718" w:rsidRDefault="00410718" w:rsidP="0066032F">
      <w:pPr>
        <w:jc w:val="both"/>
        <w:rPr>
          <w:rFonts w:ascii="Times New Roman" w:hAnsi="Times New Roman" w:cs="Times New Roman"/>
        </w:rPr>
      </w:pPr>
    </w:p>
    <w:p w14:paraId="4C12BB4B" w14:textId="77777777" w:rsidR="0066032F" w:rsidRPr="003908A1" w:rsidRDefault="0066032F" w:rsidP="0066032F">
      <w:pPr>
        <w:pStyle w:val="Paragraphedeliste"/>
        <w:numPr>
          <w:ilvl w:val="0"/>
          <w:numId w:val="13"/>
        </w:numPr>
        <w:spacing w:after="160" w:line="256" w:lineRule="auto"/>
        <w:jc w:val="both"/>
        <w:rPr>
          <w:rFonts w:ascii="Times New Roman" w:hAnsi="Times New Roman" w:cs="Times New Roman"/>
          <w:u w:val="single"/>
        </w:rPr>
      </w:pPr>
      <w:r w:rsidRPr="003908A1">
        <w:rPr>
          <w:rFonts w:ascii="Times New Roman" w:hAnsi="Times New Roman" w:cs="Times New Roman"/>
          <w:u w:val="single"/>
        </w:rPr>
        <w:t>Exercice des fonctions dans un quartier urbain difficile</w:t>
      </w:r>
    </w:p>
    <w:p w14:paraId="05A81945" w14:textId="4DE6098D" w:rsidR="0066032F" w:rsidRDefault="00CB0DD7" w:rsidP="0066032F">
      <w:pPr>
        <w:jc w:val="both"/>
        <w:rPr>
          <w:rFonts w:ascii="Times New Roman" w:hAnsi="Times New Roman" w:cs="Times New Roman"/>
        </w:rPr>
      </w:pPr>
      <w:r w:rsidRPr="001D65A9">
        <w:rPr>
          <w:rFonts w:ascii="Times New Roman" w:hAnsi="Times New Roman" w:cs="Times New Roman"/>
        </w:rPr>
        <w:t>Peut se prévaloir d’une priorité de mutation l</w:t>
      </w:r>
      <w:r w:rsidR="0066032F" w:rsidRPr="003908A1">
        <w:rPr>
          <w:rFonts w:ascii="Times New Roman" w:hAnsi="Times New Roman" w:cs="Times New Roman"/>
        </w:rPr>
        <w:t>e fonctionnaire qui exerce ses fonctions dans un quartier urbain où se posent des problèmes sociaux et de sécurité particulièrement difficiles</w:t>
      </w:r>
      <w:r w:rsidR="00CC01AB">
        <w:rPr>
          <w:rFonts w:ascii="Times New Roman" w:hAnsi="Times New Roman" w:cs="Times New Roman"/>
        </w:rPr>
        <w:t xml:space="preserve"> </w:t>
      </w:r>
      <w:r w:rsidR="002C1137">
        <w:rPr>
          <w:rFonts w:ascii="Times New Roman" w:hAnsi="Times New Roman" w:cs="Times New Roman"/>
        </w:rPr>
        <w:t>e</w:t>
      </w:r>
      <w:r w:rsidR="00CC01AB">
        <w:rPr>
          <w:rFonts w:ascii="Times New Roman" w:hAnsi="Times New Roman" w:cs="Times New Roman"/>
        </w:rPr>
        <w:t>n application du décret n°</w:t>
      </w:r>
      <w:r w:rsidR="002C1137">
        <w:rPr>
          <w:rFonts w:ascii="Times New Roman" w:hAnsi="Times New Roman" w:cs="Times New Roman"/>
        </w:rPr>
        <w:t xml:space="preserve"> </w:t>
      </w:r>
      <w:r w:rsidR="00CC01AB">
        <w:rPr>
          <w:rFonts w:ascii="Times New Roman" w:hAnsi="Times New Roman" w:cs="Times New Roman"/>
        </w:rPr>
        <w:t xml:space="preserve">95-313 du 21 mars 1995 relatif aux droits de mutation prioritaire et aux droits de l’avantage spécifique </w:t>
      </w:r>
      <w:r w:rsidR="00CC01AB" w:rsidRPr="00CC01AB">
        <w:rPr>
          <w:rFonts w:ascii="Times New Roman" w:hAnsi="Times New Roman" w:cs="Times New Roman"/>
        </w:rPr>
        <w:t>d'ancienneté accordés à certains agents de l'Etat affectés dans les quartiers urbains particulièrement difficiles</w:t>
      </w:r>
      <w:r w:rsidR="00CC01AB">
        <w:rPr>
          <w:rFonts w:ascii="Times New Roman" w:hAnsi="Times New Roman" w:cs="Times New Roman"/>
        </w:rPr>
        <w:t>.</w:t>
      </w:r>
    </w:p>
    <w:p w14:paraId="6CE15419" w14:textId="77777777" w:rsidR="00410718" w:rsidRDefault="00410718" w:rsidP="0066032F">
      <w:pPr>
        <w:jc w:val="both"/>
        <w:rPr>
          <w:rFonts w:ascii="Times New Roman" w:hAnsi="Times New Roman" w:cs="Times New Roman"/>
        </w:rPr>
      </w:pPr>
    </w:p>
    <w:p w14:paraId="1CDE2A8F" w14:textId="77777777" w:rsidR="0066032F" w:rsidRDefault="0066032F" w:rsidP="0066032F">
      <w:pPr>
        <w:pStyle w:val="Paragraphedeliste"/>
        <w:numPr>
          <w:ilvl w:val="0"/>
          <w:numId w:val="13"/>
        </w:numPr>
        <w:spacing w:after="160" w:line="256" w:lineRule="auto"/>
        <w:jc w:val="both"/>
        <w:rPr>
          <w:rFonts w:ascii="Times New Roman" w:hAnsi="Times New Roman" w:cs="Times New Roman"/>
          <w:u w:val="single"/>
        </w:rPr>
      </w:pPr>
      <w:r>
        <w:rPr>
          <w:rFonts w:ascii="Times New Roman" w:hAnsi="Times New Roman" w:cs="Times New Roman"/>
          <w:u w:val="single"/>
        </w:rPr>
        <w:t>Centre des intérêts matériels et moraux en outre-mer</w:t>
      </w:r>
    </w:p>
    <w:p w14:paraId="12137629" w14:textId="7B3A4EE9" w:rsidR="0066032F" w:rsidRDefault="00CB0DD7" w:rsidP="0066032F">
      <w:pPr>
        <w:jc w:val="both"/>
        <w:rPr>
          <w:rFonts w:ascii="Times New Roman" w:hAnsi="Times New Roman" w:cs="Times New Roman"/>
        </w:rPr>
      </w:pPr>
      <w:r w:rsidRPr="001D65A9">
        <w:rPr>
          <w:rFonts w:ascii="Times New Roman" w:hAnsi="Times New Roman" w:cs="Times New Roman"/>
        </w:rPr>
        <w:t xml:space="preserve">Peut se prévaloir d’une priorité de mutation </w:t>
      </w:r>
      <w:r>
        <w:rPr>
          <w:rFonts w:ascii="Times New Roman" w:hAnsi="Times New Roman" w:cs="Times New Roman"/>
        </w:rPr>
        <w:t>l</w:t>
      </w:r>
      <w:r w:rsidR="0066032F" w:rsidRPr="00CB0DD7">
        <w:rPr>
          <w:rFonts w:ascii="Times New Roman" w:hAnsi="Times New Roman" w:cs="Times New Roman"/>
        </w:rPr>
        <w:t>e</w:t>
      </w:r>
      <w:r w:rsidR="0066032F">
        <w:rPr>
          <w:rFonts w:ascii="Times New Roman" w:hAnsi="Times New Roman" w:cs="Times New Roman"/>
        </w:rPr>
        <w:t xml:space="preserve"> fonctionnaire qui justifie du centre de ses intérêts matériels et moraux dans l’un des cinq départements et cinq collectivités d’outre-mer au sens respectivement des articles 73 et 74 de la Constitution, ainsi que la Nouvelle-Calédonie.</w:t>
      </w:r>
    </w:p>
    <w:p w14:paraId="6E5F7152" w14:textId="77777777" w:rsidR="00410718" w:rsidRDefault="00410718" w:rsidP="0066032F">
      <w:pPr>
        <w:jc w:val="both"/>
        <w:rPr>
          <w:rFonts w:ascii="Times New Roman" w:hAnsi="Times New Roman" w:cs="Times New Roman"/>
        </w:rPr>
      </w:pPr>
    </w:p>
    <w:p w14:paraId="0FA8BDF1" w14:textId="77777777" w:rsidR="0066032F" w:rsidRDefault="0066032F" w:rsidP="0066032F">
      <w:pPr>
        <w:pStyle w:val="Paragraphedeliste"/>
        <w:numPr>
          <w:ilvl w:val="0"/>
          <w:numId w:val="13"/>
        </w:numPr>
        <w:spacing w:after="160" w:line="256" w:lineRule="auto"/>
        <w:jc w:val="both"/>
        <w:rPr>
          <w:rFonts w:ascii="Times New Roman" w:hAnsi="Times New Roman" w:cs="Times New Roman"/>
          <w:u w:val="single"/>
        </w:rPr>
      </w:pPr>
      <w:r>
        <w:rPr>
          <w:rFonts w:ascii="Times New Roman" w:hAnsi="Times New Roman" w:cs="Times New Roman"/>
          <w:u w:val="single"/>
        </w:rPr>
        <w:t>Suppression d’emploi</w:t>
      </w:r>
    </w:p>
    <w:p w14:paraId="578B7F1F" w14:textId="094FF066" w:rsidR="0066032F" w:rsidRDefault="00CB0DD7" w:rsidP="0066032F">
      <w:pPr>
        <w:jc w:val="both"/>
        <w:rPr>
          <w:rFonts w:ascii="Times New Roman" w:hAnsi="Times New Roman" w:cs="Times New Roman"/>
        </w:rPr>
      </w:pPr>
      <w:r w:rsidRPr="00AB7E50">
        <w:rPr>
          <w:rFonts w:ascii="Times New Roman" w:hAnsi="Times New Roman" w:cs="Times New Roman"/>
        </w:rPr>
        <w:t xml:space="preserve">Peut se prévaloir d’une priorité de mutation </w:t>
      </w:r>
      <w:r>
        <w:rPr>
          <w:rFonts w:ascii="Times New Roman" w:hAnsi="Times New Roman" w:cs="Times New Roman"/>
        </w:rPr>
        <w:t>l</w:t>
      </w:r>
      <w:r w:rsidRPr="00AB7E50">
        <w:rPr>
          <w:rFonts w:ascii="Times New Roman" w:hAnsi="Times New Roman" w:cs="Times New Roman"/>
        </w:rPr>
        <w:t>e</w:t>
      </w:r>
      <w:r>
        <w:rPr>
          <w:rFonts w:ascii="Times New Roman" w:hAnsi="Times New Roman" w:cs="Times New Roman"/>
        </w:rPr>
        <w:t xml:space="preserve"> fonctionnaire l</w:t>
      </w:r>
      <w:r w:rsidR="0066032F">
        <w:rPr>
          <w:rFonts w:ascii="Times New Roman" w:hAnsi="Times New Roman" w:cs="Times New Roman"/>
        </w:rPr>
        <w:t xml:space="preserve">e fonctionnaire, y compris relevant d’une autre administration, dont l’emploi est supprimé et qui ne peut être réaffecté sur un emploi </w:t>
      </w:r>
      <w:r w:rsidR="0066032F">
        <w:rPr>
          <w:rFonts w:ascii="Times New Roman" w:hAnsi="Times New Roman" w:cs="Times New Roman"/>
        </w:rPr>
        <w:lastRenderedPageBreak/>
        <w:t>correspondant à son grade dans son service</w:t>
      </w:r>
      <w:r>
        <w:rPr>
          <w:rFonts w:ascii="Times New Roman" w:hAnsi="Times New Roman" w:cs="Times New Roman"/>
        </w:rPr>
        <w:t xml:space="preserve">, </w:t>
      </w:r>
      <w:r w:rsidRPr="003908A1">
        <w:rPr>
          <w:rFonts w:ascii="Times New Roman" w:hAnsi="Times New Roman" w:cs="Times New Roman"/>
        </w:rPr>
        <w:t>selon des conditions précisées par décret en Conseil d’Etat</w:t>
      </w:r>
      <w:r w:rsidR="0066032F" w:rsidRPr="003908A1">
        <w:rPr>
          <w:rFonts w:ascii="Times New Roman" w:hAnsi="Times New Roman" w:cs="Times New Roman"/>
        </w:rPr>
        <w:t>.</w:t>
      </w:r>
    </w:p>
    <w:p w14:paraId="5AC629FB" w14:textId="7F457379" w:rsidR="00FF2C42" w:rsidRDefault="00FF2C42" w:rsidP="0066032F">
      <w:pPr>
        <w:jc w:val="both"/>
        <w:rPr>
          <w:rFonts w:ascii="Times New Roman" w:hAnsi="Times New Roman" w:cs="Times New Roman"/>
        </w:rPr>
      </w:pPr>
    </w:p>
    <w:p w14:paraId="12CBB371" w14:textId="4383AB13" w:rsidR="00FF2C42" w:rsidRPr="004C21BD" w:rsidRDefault="00FF2C42" w:rsidP="00AF2C49">
      <w:pPr>
        <w:pStyle w:val="Paragraphedeliste"/>
        <w:numPr>
          <w:ilvl w:val="1"/>
          <w:numId w:val="22"/>
        </w:numPr>
        <w:spacing w:after="120"/>
        <w:ind w:left="360"/>
        <w:jc w:val="both"/>
        <w:rPr>
          <w:rFonts w:ascii="Times New Roman" w:eastAsia="Times New Roman" w:hAnsi="Times New Roman" w:cs="Times New Roman"/>
          <w:bCs/>
          <w:lang w:eastAsia="x-none"/>
        </w:rPr>
      </w:pPr>
      <w:r w:rsidRPr="004C21BD">
        <w:rPr>
          <w:rFonts w:ascii="Times New Roman" w:eastAsia="Times New Roman" w:hAnsi="Times New Roman" w:cs="Times New Roman"/>
          <w:bCs/>
          <w:lang w:eastAsia="x-none"/>
        </w:rPr>
        <w:t>Priorité subsidiaire</w:t>
      </w:r>
    </w:p>
    <w:p w14:paraId="2BAFA70E" w14:textId="77777777" w:rsidR="00FF2C42" w:rsidRDefault="00FF2C42" w:rsidP="00FF2C42">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Une priorité subsidiaire est accordée au fonctionnaire souhaitant rejoindre une affectation en sa qualité de proche aidant, en application des articles L3142-16 à L3142-19 du code du travail relatif au congé du proche aidant.</w:t>
      </w:r>
    </w:p>
    <w:p w14:paraId="266BDB60" w14:textId="77777777" w:rsidR="00FF2C42" w:rsidRDefault="00FF2C42" w:rsidP="0066032F">
      <w:pPr>
        <w:jc w:val="both"/>
        <w:rPr>
          <w:rFonts w:ascii="Times New Roman" w:hAnsi="Times New Roman" w:cs="Times New Roman"/>
        </w:rPr>
      </w:pPr>
    </w:p>
    <w:p w14:paraId="44A5680C" w14:textId="18956835" w:rsidR="00CF6959" w:rsidRDefault="00CF6959" w:rsidP="0066032F">
      <w:pPr>
        <w:jc w:val="both"/>
        <w:rPr>
          <w:rFonts w:ascii="Times New Roman" w:hAnsi="Times New Roman" w:cs="Times New Roman"/>
        </w:rPr>
      </w:pPr>
    </w:p>
    <w:p w14:paraId="4B466386" w14:textId="0D0938DF" w:rsidR="0066032F" w:rsidRPr="004C21BD" w:rsidRDefault="004C21BD" w:rsidP="00AF2C49">
      <w:pPr>
        <w:pStyle w:val="Paragraphedeliste"/>
        <w:spacing w:after="160" w:line="256" w:lineRule="auto"/>
        <w:ind w:left="0"/>
        <w:jc w:val="both"/>
        <w:rPr>
          <w:rFonts w:ascii="Times New Roman" w:hAnsi="Times New Roman" w:cs="Times New Roman"/>
        </w:rPr>
      </w:pPr>
      <w:r w:rsidRPr="004C21BD">
        <w:rPr>
          <w:rFonts w:ascii="Times New Roman" w:hAnsi="Times New Roman" w:cs="Times New Roman"/>
        </w:rPr>
        <w:t>8.</w:t>
      </w:r>
      <w:r w:rsidR="00FF2C42">
        <w:rPr>
          <w:rFonts w:ascii="Times New Roman" w:hAnsi="Times New Roman" w:cs="Times New Roman"/>
        </w:rPr>
        <w:t>3.</w:t>
      </w:r>
      <w:r w:rsidRPr="004C21BD">
        <w:rPr>
          <w:rFonts w:ascii="Times New Roman" w:hAnsi="Times New Roman" w:cs="Times New Roman"/>
        </w:rPr>
        <w:t xml:space="preserve"> </w:t>
      </w:r>
      <w:r w:rsidR="0066032F" w:rsidRPr="004C21BD">
        <w:rPr>
          <w:rFonts w:ascii="Times New Roman" w:hAnsi="Times New Roman" w:cs="Times New Roman"/>
        </w:rPr>
        <w:t>Les priorités prévues en cas de restructuration</w:t>
      </w:r>
    </w:p>
    <w:p w14:paraId="6664F481" w14:textId="6C5171DD" w:rsidR="0066032F" w:rsidRDefault="0066032F" w:rsidP="0066032F">
      <w:pPr>
        <w:jc w:val="both"/>
        <w:rPr>
          <w:rFonts w:ascii="Times New Roman" w:hAnsi="Times New Roman" w:cs="Times New Roman"/>
        </w:rPr>
      </w:pPr>
      <w:r>
        <w:rPr>
          <w:rFonts w:ascii="Times New Roman" w:hAnsi="Times New Roman" w:cs="Times New Roman"/>
        </w:rPr>
        <w:t xml:space="preserve">Le cas échéant, deux priorités de mutation ou de détachement prévues par l’article 62 bis de la loi précitée du 11 janvier 1984 bénéficient aux agents dont l’emploi est supprimé dans le cadre d’une restructuration : </w:t>
      </w:r>
    </w:p>
    <w:p w14:paraId="0B8A165C" w14:textId="77777777" w:rsidR="00410718" w:rsidRDefault="00410718" w:rsidP="0066032F">
      <w:pPr>
        <w:jc w:val="both"/>
        <w:rPr>
          <w:rFonts w:ascii="Times New Roman" w:hAnsi="Times New Roman" w:cs="Times New Roman"/>
        </w:rPr>
      </w:pPr>
    </w:p>
    <w:p w14:paraId="36BDAD6F" w14:textId="54A8BD7D" w:rsidR="0066032F" w:rsidRPr="00AF2C49" w:rsidRDefault="0066032F" w:rsidP="00712BCA">
      <w:pPr>
        <w:pStyle w:val="Paragraphedeliste"/>
        <w:numPr>
          <w:ilvl w:val="0"/>
          <w:numId w:val="13"/>
        </w:numPr>
        <w:spacing w:after="160" w:line="256" w:lineRule="auto"/>
        <w:jc w:val="both"/>
        <w:rPr>
          <w:rFonts w:ascii="Times New Roman" w:hAnsi="Times New Roman" w:cs="Times New Roman"/>
        </w:rPr>
      </w:pPr>
      <w:r w:rsidRPr="00712BCA">
        <w:rPr>
          <w:rFonts w:ascii="Times New Roman" w:hAnsi="Times New Roman" w:cs="Times New Roman"/>
        </w:rPr>
        <w:t>Priorité de mutation ou de détachement dans tout emploi vacant correspondant à leur grade au sein de leur département ministériel</w:t>
      </w:r>
      <w:r w:rsidR="00DE2B53">
        <w:rPr>
          <w:rFonts w:ascii="Times New Roman" w:hAnsi="Times New Roman" w:cs="Times New Roman"/>
        </w:rPr>
        <w:t xml:space="preserve"> </w:t>
      </w:r>
      <w:r w:rsidR="00DE2B53" w:rsidRPr="00AF2C49">
        <w:rPr>
          <w:rFonts w:ascii="Times New Roman" w:hAnsi="Times New Roman" w:cs="Times New Roman"/>
        </w:rPr>
        <w:t>ainsi que vers un établissement public sous tutelle</w:t>
      </w:r>
      <w:r w:rsidR="00FC3AD2" w:rsidRPr="00AF2C49">
        <w:rPr>
          <w:rFonts w:ascii="Times New Roman" w:hAnsi="Times New Roman" w:cs="Times New Roman"/>
        </w:rPr>
        <w:t>,</w:t>
      </w:r>
      <w:r w:rsidR="00DE2B53" w:rsidRPr="00AF2C49">
        <w:rPr>
          <w:rFonts w:ascii="Times New Roman" w:hAnsi="Times New Roman" w:cs="Times New Roman"/>
        </w:rPr>
        <w:t xml:space="preserve"> sur l’ensemble du territoire national</w:t>
      </w:r>
      <w:r w:rsidRPr="00AF2C49">
        <w:rPr>
          <w:rFonts w:ascii="Times New Roman" w:hAnsi="Times New Roman" w:cs="Times New Roman"/>
        </w:rPr>
        <w:t>.</w:t>
      </w:r>
      <w:r w:rsidR="00CC01AB" w:rsidRPr="00AF2C49">
        <w:t xml:space="preserve"> </w:t>
      </w:r>
    </w:p>
    <w:p w14:paraId="25B347C1" w14:textId="4E7C113C" w:rsidR="0066032F" w:rsidRDefault="00DE2B53" w:rsidP="0066032F">
      <w:pPr>
        <w:pStyle w:val="Paragraphedeliste"/>
        <w:numPr>
          <w:ilvl w:val="0"/>
          <w:numId w:val="13"/>
        </w:numPr>
        <w:spacing w:after="160" w:line="256" w:lineRule="auto"/>
        <w:jc w:val="both"/>
        <w:rPr>
          <w:rFonts w:ascii="Times New Roman" w:hAnsi="Times New Roman" w:cs="Times New Roman"/>
        </w:rPr>
      </w:pPr>
      <w:r w:rsidRPr="00AF2C49">
        <w:rPr>
          <w:rFonts w:ascii="Times New Roman" w:hAnsi="Times New Roman" w:cs="Times New Roman"/>
        </w:rPr>
        <w:t>Lorsque la pr</w:t>
      </w:r>
      <w:r w:rsidR="00AF2C49" w:rsidRPr="00AF2C49">
        <w:rPr>
          <w:rFonts w:ascii="Times New Roman" w:hAnsi="Times New Roman" w:cs="Times New Roman"/>
        </w:rPr>
        <w:t>iorité ci-dessus n’est pas app</w:t>
      </w:r>
      <w:r w:rsidR="00FA1582">
        <w:rPr>
          <w:rFonts w:ascii="Times New Roman" w:hAnsi="Times New Roman" w:cs="Times New Roman"/>
        </w:rPr>
        <w:t>l</w:t>
      </w:r>
      <w:r w:rsidR="00AF2C49" w:rsidRPr="00AF2C49">
        <w:rPr>
          <w:rFonts w:ascii="Times New Roman" w:hAnsi="Times New Roman" w:cs="Times New Roman"/>
        </w:rPr>
        <w:t>ica</w:t>
      </w:r>
      <w:r w:rsidRPr="00AF2C49">
        <w:rPr>
          <w:rFonts w:ascii="Times New Roman" w:hAnsi="Times New Roman" w:cs="Times New Roman"/>
        </w:rPr>
        <w:t>ble</w:t>
      </w:r>
      <w:r>
        <w:rPr>
          <w:rFonts w:ascii="Times New Roman" w:hAnsi="Times New Roman" w:cs="Times New Roman"/>
        </w:rPr>
        <w:t>, p</w:t>
      </w:r>
      <w:r w:rsidR="0066032F">
        <w:rPr>
          <w:rFonts w:ascii="Times New Roman" w:hAnsi="Times New Roman" w:cs="Times New Roman"/>
        </w:rPr>
        <w:t>riorité d'affectation ou de détachement dans les emplois vacants correspondant à leur grade dans un autre département ministériel ou dans un établissement public de l'Etat dans le département ou, à défaut, dans la région où est située leur résidence administrative.</w:t>
      </w:r>
    </w:p>
    <w:p w14:paraId="69D47514" w14:textId="77777777" w:rsidR="0066032F" w:rsidRDefault="0066032F" w:rsidP="0066032F">
      <w:pPr>
        <w:pStyle w:val="Paragraphedeliste"/>
        <w:rPr>
          <w:rFonts w:ascii="Times New Roman" w:hAnsi="Times New Roman" w:cs="Times New Roman"/>
        </w:rPr>
      </w:pPr>
    </w:p>
    <w:p w14:paraId="169C626D" w14:textId="5E8B3665" w:rsidR="0066032F" w:rsidRDefault="0066032F" w:rsidP="0066032F">
      <w:pPr>
        <w:jc w:val="both"/>
        <w:rPr>
          <w:rFonts w:ascii="Times New Roman" w:hAnsi="Times New Roman" w:cs="Times New Roman"/>
        </w:rPr>
      </w:pPr>
      <w:r>
        <w:rPr>
          <w:rFonts w:ascii="Times New Roman" w:hAnsi="Times New Roman" w:cs="Times New Roman"/>
        </w:rPr>
        <w:t>Les priorités de mutation ou de détachement prévues en cas de restructuration prévalent sur les priorités légales énoncées plus haut.</w:t>
      </w:r>
    </w:p>
    <w:p w14:paraId="1DB2B834" w14:textId="77777777" w:rsidR="00410718" w:rsidRDefault="00410718" w:rsidP="0066032F">
      <w:pPr>
        <w:jc w:val="both"/>
        <w:rPr>
          <w:rFonts w:ascii="Times New Roman" w:hAnsi="Times New Roman" w:cs="Times New Roman"/>
        </w:rPr>
      </w:pPr>
    </w:p>
    <w:p w14:paraId="1EE89324" w14:textId="77777777" w:rsidR="004C21BD" w:rsidRDefault="004C21BD" w:rsidP="004C21BD">
      <w:pPr>
        <w:spacing w:after="120"/>
        <w:jc w:val="both"/>
        <w:rPr>
          <w:rFonts w:ascii="Times New Roman" w:eastAsia="Times New Roman" w:hAnsi="Times New Roman" w:cs="Times New Roman"/>
          <w:bCs/>
          <w:lang w:eastAsia="x-none"/>
        </w:rPr>
      </w:pPr>
    </w:p>
    <w:p w14:paraId="1921AF96" w14:textId="1D818181" w:rsidR="00556C32" w:rsidRPr="004C21BD" w:rsidRDefault="004C21BD" w:rsidP="004C21BD">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9 : </w:t>
      </w:r>
      <w:r w:rsidR="00C24925" w:rsidRPr="001D65A9">
        <w:rPr>
          <w:rFonts w:ascii="Times New Roman" w:eastAsia="Times New Roman" w:hAnsi="Times New Roman" w:cs="Times New Roman"/>
          <w:bCs/>
          <w:u w:val="single"/>
          <w:lang w:val="x-none" w:eastAsia="x-none"/>
        </w:rPr>
        <w:t>D</w:t>
      </w:r>
      <w:r w:rsidR="00953583" w:rsidRPr="001D65A9">
        <w:rPr>
          <w:rFonts w:ascii="Times New Roman" w:eastAsia="Times New Roman" w:hAnsi="Times New Roman" w:cs="Times New Roman"/>
          <w:bCs/>
          <w:u w:val="single"/>
          <w:lang w:val="x-none" w:eastAsia="x-none"/>
        </w:rPr>
        <w:t>urées minimales o</w:t>
      </w:r>
      <w:r w:rsidR="00BD556B" w:rsidRPr="001D65A9">
        <w:rPr>
          <w:rFonts w:ascii="Times New Roman" w:eastAsia="Times New Roman" w:hAnsi="Times New Roman" w:cs="Times New Roman"/>
          <w:bCs/>
          <w:u w:val="single"/>
          <w:lang w:val="x-none" w:eastAsia="x-none"/>
        </w:rPr>
        <w:t>u maximales sur certains postes</w:t>
      </w:r>
    </w:p>
    <w:p w14:paraId="56ED5625" w14:textId="77777777" w:rsidR="00C24925" w:rsidRPr="004C21BD" w:rsidRDefault="00C24925" w:rsidP="001D65A9">
      <w:pPr>
        <w:spacing w:after="120"/>
        <w:ind w:left="360"/>
        <w:jc w:val="both"/>
        <w:rPr>
          <w:rFonts w:ascii="Times New Roman" w:eastAsia="Times New Roman" w:hAnsi="Times New Roman" w:cs="Times New Roman"/>
          <w:bCs/>
          <w:u w:val="single"/>
          <w:lang w:eastAsia="x-none"/>
        </w:rPr>
      </w:pPr>
    </w:p>
    <w:p w14:paraId="6411D3B8" w14:textId="7E7220DB" w:rsidR="00083BAE" w:rsidRDefault="001444CD" w:rsidP="00556C32">
      <w:pPr>
        <w:spacing w:after="120"/>
        <w:jc w:val="both"/>
        <w:rPr>
          <w:rFonts w:ascii="Times New Roman" w:eastAsia="Times New Roman" w:hAnsi="Times New Roman" w:cs="Times New Roman"/>
          <w:bCs/>
          <w:i/>
          <w:lang w:eastAsia="x-none"/>
        </w:rPr>
      </w:pPr>
      <w:r w:rsidRPr="00556C32">
        <w:rPr>
          <w:rFonts w:ascii="Times New Roman" w:eastAsia="Times New Roman" w:hAnsi="Times New Roman" w:cs="Times New Roman"/>
          <w:bCs/>
          <w:lang w:val="x-none" w:eastAsia="x-none"/>
        </w:rPr>
        <w:t>En application du III de l’article 60 de la loi du 11 janvier 1984, dans les administrations et établissements mentionn</w:t>
      </w:r>
      <w:r>
        <w:rPr>
          <w:rFonts w:ascii="Times New Roman" w:eastAsia="Times New Roman" w:hAnsi="Times New Roman" w:cs="Times New Roman"/>
          <w:bCs/>
          <w:lang w:val="x-none" w:eastAsia="x-none"/>
        </w:rPr>
        <w:t>és à l’article 2 de la même loi, et c</w:t>
      </w:r>
      <w:r w:rsidR="00D86ACA">
        <w:rPr>
          <w:rFonts w:ascii="Times New Roman" w:eastAsia="Times New Roman" w:hAnsi="Times New Roman" w:cs="Times New Roman"/>
          <w:bCs/>
          <w:lang w:eastAsia="x-none"/>
        </w:rPr>
        <w:t>ompte</w:t>
      </w:r>
      <w:r>
        <w:rPr>
          <w:rFonts w:ascii="Times New Roman" w:eastAsia="Times New Roman" w:hAnsi="Times New Roman" w:cs="Times New Roman"/>
          <w:bCs/>
          <w:lang w:eastAsia="x-none"/>
        </w:rPr>
        <w:t xml:space="preserve"> </w:t>
      </w:r>
      <w:r w:rsidR="00D86ACA">
        <w:rPr>
          <w:rFonts w:ascii="Times New Roman" w:eastAsia="Times New Roman" w:hAnsi="Times New Roman" w:cs="Times New Roman"/>
          <w:bCs/>
          <w:lang w:eastAsia="x-none"/>
        </w:rPr>
        <w:t>-</w:t>
      </w:r>
      <w:r>
        <w:rPr>
          <w:rFonts w:ascii="Times New Roman" w:eastAsia="Times New Roman" w:hAnsi="Times New Roman" w:cs="Times New Roman"/>
          <w:bCs/>
          <w:lang w:eastAsia="x-none"/>
        </w:rPr>
        <w:t xml:space="preserve"> </w:t>
      </w:r>
      <w:r w:rsidR="00D86ACA">
        <w:rPr>
          <w:rFonts w:ascii="Times New Roman" w:eastAsia="Times New Roman" w:hAnsi="Times New Roman" w:cs="Times New Roman"/>
          <w:bCs/>
          <w:lang w:eastAsia="x-none"/>
        </w:rPr>
        <w:t>tenu des impératifs de continuité de service et de maintien des compétences</w:t>
      </w:r>
      <w:r>
        <w:rPr>
          <w:rFonts w:ascii="Times New Roman" w:eastAsia="Times New Roman" w:hAnsi="Times New Roman" w:cs="Times New Roman"/>
          <w:bCs/>
          <w:lang w:eastAsia="x-none"/>
        </w:rPr>
        <w:t>,</w:t>
      </w:r>
      <w:r w:rsidR="00D86ACA">
        <w:rPr>
          <w:rFonts w:ascii="Times New Roman" w:eastAsia="Times New Roman" w:hAnsi="Times New Roman" w:cs="Times New Roman"/>
          <w:bCs/>
          <w:lang w:eastAsia="x-none"/>
        </w:rPr>
        <w:t xml:space="preserve"> mais également de prévention des risques d’usure professionnelle </w:t>
      </w:r>
      <w:r w:rsidR="00D86ACA" w:rsidRPr="00FA1582">
        <w:rPr>
          <w:rFonts w:ascii="Times New Roman" w:eastAsia="Times New Roman" w:hAnsi="Times New Roman" w:cs="Times New Roman"/>
          <w:bCs/>
          <w:lang w:eastAsia="x-none"/>
        </w:rPr>
        <w:t>liés</w:t>
      </w:r>
      <w:r w:rsidR="00D86ACA">
        <w:rPr>
          <w:rFonts w:ascii="Times New Roman" w:eastAsia="Times New Roman" w:hAnsi="Times New Roman" w:cs="Times New Roman"/>
          <w:bCs/>
          <w:lang w:eastAsia="x-none"/>
        </w:rPr>
        <w:t xml:space="preserve"> aux conditions particulières d’exercice de certaines fonctions, </w:t>
      </w:r>
      <w:r>
        <w:rPr>
          <w:rFonts w:ascii="Times New Roman" w:eastAsia="Times New Roman" w:hAnsi="Times New Roman" w:cs="Times New Roman"/>
          <w:bCs/>
          <w:lang w:eastAsia="x-none"/>
        </w:rPr>
        <w:t xml:space="preserve">il apparait nécessaire de fixer </w:t>
      </w:r>
      <w:r w:rsidR="00D86ACA">
        <w:rPr>
          <w:rFonts w:ascii="Times New Roman" w:eastAsia="Times New Roman" w:hAnsi="Times New Roman" w:cs="Times New Roman"/>
          <w:bCs/>
          <w:lang w:eastAsia="x-none"/>
        </w:rPr>
        <w:t xml:space="preserve">des durées minimales et maximales de fonction pour </w:t>
      </w:r>
      <w:r>
        <w:rPr>
          <w:rFonts w:ascii="Times New Roman" w:eastAsia="Times New Roman" w:hAnsi="Times New Roman" w:cs="Times New Roman"/>
          <w:bCs/>
          <w:lang w:eastAsia="x-none"/>
        </w:rPr>
        <w:t>certain</w:t>
      </w:r>
      <w:r w:rsidR="00D86ACA">
        <w:rPr>
          <w:rFonts w:ascii="Times New Roman" w:eastAsia="Times New Roman" w:hAnsi="Times New Roman" w:cs="Times New Roman"/>
          <w:bCs/>
          <w:lang w:eastAsia="x-none"/>
        </w:rPr>
        <w:t>s postes</w:t>
      </w:r>
      <w:r>
        <w:rPr>
          <w:rFonts w:ascii="Times New Roman" w:eastAsia="Times New Roman" w:hAnsi="Times New Roman" w:cs="Times New Roman"/>
          <w:bCs/>
          <w:lang w:eastAsia="x-none"/>
        </w:rPr>
        <w:t xml:space="preserve"> dont la liste sera fixée par arrêté du ministre.</w:t>
      </w:r>
    </w:p>
    <w:p w14:paraId="21D4A48A" w14:textId="1A9670EF" w:rsidR="00083BAE" w:rsidRPr="00945A51" w:rsidRDefault="00083BAE" w:rsidP="00556C32">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Compte tenu des nécessités de continuité de service d’une part et de prévention des risques d’usure professionnelle d’autre part, une durée minimale de 2 ans et une durée maximale de 8 ans </w:t>
      </w:r>
      <w:r w:rsidRPr="00083BAE">
        <w:rPr>
          <w:rFonts w:ascii="Times New Roman" w:eastAsia="Times New Roman" w:hAnsi="Times New Roman" w:cs="Times New Roman"/>
          <w:bCs/>
          <w:lang w:eastAsia="x-none"/>
        </w:rPr>
        <w:t>est fixée</w:t>
      </w:r>
      <w:r w:rsidR="00F37E83">
        <w:rPr>
          <w:rFonts w:ascii="Times New Roman" w:eastAsia="Times New Roman" w:hAnsi="Times New Roman" w:cs="Times New Roman"/>
          <w:bCs/>
          <w:lang w:eastAsia="x-none"/>
        </w:rPr>
        <w:t xml:space="preserve"> pour </w:t>
      </w:r>
      <w:r w:rsidRPr="001D65A9">
        <w:rPr>
          <w:rFonts w:ascii="Times New Roman" w:eastAsia="Times New Roman" w:hAnsi="Times New Roman" w:cs="Times New Roman"/>
          <w:bCs/>
          <w:lang w:eastAsia="x-none"/>
        </w:rPr>
        <w:t>les chefs de bureau et de département et adjoints de sous-directeur</w:t>
      </w:r>
      <w:r w:rsidR="00F37E83">
        <w:rPr>
          <w:rFonts w:ascii="Times New Roman" w:eastAsia="Times New Roman" w:hAnsi="Times New Roman" w:cs="Times New Roman"/>
          <w:bCs/>
          <w:lang w:eastAsia="x-none"/>
        </w:rPr>
        <w:t xml:space="preserve"> au sein de l’administration centrale du ministère de la culture. C</w:t>
      </w:r>
      <w:r>
        <w:rPr>
          <w:rFonts w:ascii="Times New Roman" w:eastAsia="Times New Roman" w:hAnsi="Times New Roman" w:cs="Times New Roman"/>
          <w:bCs/>
          <w:lang w:eastAsia="x-none"/>
        </w:rPr>
        <w:t xml:space="preserve">es emplois ainsi que </w:t>
      </w:r>
      <w:r w:rsidRPr="00556C32">
        <w:rPr>
          <w:rFonts w:ascii="Times New Roman" w:eastAsia="Times New Roman" w:hAnsi="Times New Roman" w:cs="Times New Roman"/>
          <w:bCs/>
          <w:lang w:val="x-none" w:eastAsia="x-none"/>
        </w:rPr>
        <w:t>le quantum de ces durées</w:t>
      </w:r>
      <w:r>
        <w:rPr>
          <w:rFonts w:ascii="Times New Roman" w:eastAsia="Times New Roman" w:hAnsi="Times New Roman" w:cs="Times New Roman"/>
          <w:bCs/>
          <w:lang w:eastAsia="x-none"/>
        </w:rPr>
        <w:t xml:space="preserve"> sont listés dans </w:t>
      </w:r>
      <w:proofErr w:type="spellStart"/>
      <w:r w:rsidR="00B555B8">
        <w:rPr>
          <w:rFonts w:ascii="Times New Roman" w:eastAsia="Times New Roman" w:hAnsi="Times New Roman" w:cs="Times New Roman"/>
          <w:bCs/>
          <w:lang w:eastAsia="x-none"/>
        </w:rPr>
        <w:t>u</w:t>
      </w:r>
      <w:r w:rsidR="00B555B8" w:rsidRPr="00556C32">
        <w:rPr>
          <w:rFonts w:ascii="Times New Roman" w:eastAsia="Times New Roman" w:hAnsi="Times New Roman" w:cs="Times New Roman"/>
          <w:bCs/>
          <w:lang w:val="x-none" w:eastAsia="x-none"/>
        </w:rPr>
        <w:t>n</w:t>
      </w:r>
      <w:proofErr w:type="spellEnd"/>
      <w:r w:rsidRPr="00556C32">
        <w:rPr>
          <w:rFonts w:ascii="Times New Roman" w:eastAsia="Times New Roman" w:hAnsi="Times New Roman" w:cs="Times New Roman"/>
          <w:bCs/>
          <w:lang w:val="x-none" w:eastAsia="x-none"/>
        </w:rPr>
        <w:t xml:space="preserve"> arrêté du </w:t>
      </w:r>
      <w:r>
        <w:rPr>
          <w:rFonts w:ascii="Times New Roman" w:eastAsia="Times New Roman" w:hAnsi="Times New Roman" w:cs="Times New Roman"/>
          <w:bCs/>
          <w:lang w:val="x-none" w:eastAsia="x-none"/>
        </w:rPr>
        <w:t>ministre</w:t>
      </w:r>
      <w:r w:rsidRPr="00556C32">
        <w:rPr>
          <w:rFonts w:ascii="Times New Roman" w:eastAsia="Times New Roman" w:hAnsi="Times New Roman" w:cs="Times New Roman"/>
          <w:bCs/>
          <w:lang w:val="x-none" w:eastAsia="x-none"/>
        </w:rPr>
        <w:t xml:space="preserve"> </w:t>
      </w:r>
      <w:r>
        <w:rPr>
          <w:rFonts w:ascii="Times New Roman" w:eastAsia="Times New Roman" w:hAnsi="Times New Roman" w:cs="Times New Roman"/>
          <w:bCs/>
          <w:lang w:eastAsia="x-none"/>
        </w:rPr>
        <w:t xml:space="preserve">de la culture </w:t>
      </w:r>
      <w:r w:rsidRPr="00556C32">
        <w:rPr>
          <w:rFonts w:ascii="Times New Roman" w:eastAsia="Times New Roman" w:hAnsi="Times New Roman" w:cs="Times New Roman"/>
          <w:bCs/>
          <w:lang w:val="x-none" w:eastAsia="x-none"/>
        </w:rPr>
        <w:t>et du ministre en charge de la fonction publique.</w:t>
      </w:r>
      <w:r w:rsidR="00945A51">
        <w:rPr>
          <w:rFonts w:ascii="Times New Roman" w:eastAsia="Times New Roman" w:hAnsi="Times New Roman" w:cs="Times New Roman"/>
          <w:bCs/>
          <w:lang w:eastAsia="x-none"/>
        </w:rPr>
        <w:t xml:space="preserve"> </w:t>
      </w:r>
    </w:p>
    <w:p w14:paraId="0B80B217" w14:textId="77777777" w:rsidR="00F37E83" w:rsidRPr="00556C32" w:rsidRDefault="00F37E83" w:rsidP="00F37E83">
      <w:pPr>
        <w:tabs>
          <w:tab w:val="left" w:pos="1005"/>
        </w:tabs>
        <w:jc w:val="both"/>
        <w:rPr>
          <w:rFonts w:ascii="Times New Roman" w:eastAsia="Times New Roman" w:hAnsi="Times New Roman" w:cs="Times New Roman"/>
          <w:bCs/>
          <w:lang w:eastAsia="x-none"/>
        </w:rPr>
      </w:pPr>
      <w:r w:rsidRPr="00556C32">
        <w:rPr>
          <w:rFonts w:ascii="Times New Roman" w:eastAsia="Times New Roman" w:hAnsi="Times New Roman" w:cs="Times New Roman"/>
          <w:bCs/>
          <w:lang w:eastAsia="x-none"/>
        </w:rPr>
        <w:t>Il peut être dérogé à la durée fixée dans l’intérêt du service ou, s’agissant de la durée minimale, pour tenir compte de la situation personnelle ou familiale de l’agent.</w:t>
      </w:r>
    </w:p>
    <w:p w14:paraId="633CE2F0" w14:textId="77777777" w:rsidR="00F37E83" w:rsidRPr="00556C32" w:rsidRDefault="00F37E83" w:rsidP="00F37E83">
      <w:pPr>
        <w:tabs>
          <w:tab w:val="left" w:pos="1005"/>
        </w:tabs>
        <w:jc w:val="both"/>
        <w:rPr>
          <w:rFonts w:ascii="Times New Roman" w:eastAsia="Times New Roman" w:hAnsi="Times New Roman" w:cs="Times New Roman"/>
          <w:bCs/>
          <w:lang w:eastAsia="x-none"/>
        </w:rPr>
      </w:pPr>
    </w:p>
    <w:p w14:paraId="31DAEF13" w14:textId="77777777" w:rsidR="00F37E83" w:rsidRPr="00556C32" w:rsidRDefault="00F37E83" w:rsidP="00F37E83">
      <w:pPr>
        <w:tabs>
          <w:tab w:val="left" w:pos="1005"/>
        </w:tabs>
        <w:jc w:val="both"/>
        <w:rPr>
          <w:rFonts w:ascii="Times New Roman" w:eastAsia="Times New Roman" w:hAnsi="Times New Roman" w:cs="Times New Roman"/>
          <w:bCs/>
          <w:lang w:eastAsia="x-none"/>
        </w:rPr>
      </w:pPr>
      <w:r w:rsidRPr="00556C32">
        <w:rPr>
          <w:rFonts w:ascii="Times New Roman" w:eastAsia="Times New Roman" w:hAnsi="Times New Roman" w:cs="Times New Roman"/>
          <w:bCs/>
          <w:lang w:eastAsia="x-none"/>
        </w:rPr>
        <w:t>La durée maximale ne peut être opposée à un fonctionnaire sans proposition de nouvel emploi, correspondant à son grade.</w:t>
      </w:r>
    </w:p>
    <w:p w14:paraId="3712763B" w14:textId="77777777" w:rsidR="00F37E83" w:rsidRPr="00556C32" w:rsidRDefault="00F37E83" w:rsidP="00F37E83">
      <w:pPr>
        <w:tabs>
          <w:tab w:val="left" w:pos="1005"/>
        </w:tabs>
        <w:jc w:val="both"/>
        <w:rPr>
          <w:rFonts w:ascii="Times New Roman" w:eastAsia="Times New Roman" w:hAnsi="Times New Roman" w:cs="Times New Roman"/>
          <w:bCs/>
          <w:lang w:eastAsia="x-none"/>
        </w:rPr>
      </w:pPr>
    </w:p>
    <w:p w14:paraId="5A4E9677" w14:textId="77777777" w:rsidR="00F37E83" w:rsidRPr="00556C32" w:rsidRDefault="00F37E83" w:rsidP="00F37E83">
      <w:pPr>
        <w:tabs>
          <w:tab w:val="left" w:pos="1005"/>
        </w:tabs>
        <w:jc w:val="both"/>
        <w:rPr>
          <w:rFonts w:ascii="Times New Roman" w:eastAsia="Times New Roman" w:hAnsi="Times New Roman" w:cs="Times New Roman"/>
          <w:bCs/>
          <w:lang w:eastAsia="x-none"/>
        </w:rPr>
      </w:pPr>
      <w:r w:rsidRPr="00556C32">
        <w:rPr>
          <w:rFonts w:ascii="Times New Roman" w:eastAsia="Times New Roman" w:hAnsi="Times New Roman" w:cs="Times New Roman"/>
          <w:bCs/>
          <w:lang w:eastAsia="x-none"/>
        </w:rPr>
        <w:lastRenderedPageBreak/>
        <w:t>A sa demande, l’agent bénéficie d’un dispositif d’accompagnement en vue de l’élaboration et de la mise en œuvre de son projet de mobilité.</w:t>
      </w:r>
    </w:p>
    <w:p w14:paraId="13EF35B0" w14:textId="77777777" w:rsidR="00F37E83" w:rsidRPr="00556C32" w:rsidRDefault="00F37E83" w:rsidP="00F37E83">
      <w:pPr>
        <w:jc w:val="both"/>
        <w:rPr>
          <w:rFonts w:ascii="Times New Roman" w:eastAsia="Times New Roman" w:hAnsi="Times New Roman" w:cs="Times New Roman"/>
          <w:bCs/>
          <w:lang w:val="x-none" w:eastAsia="x-none"/>
        </w:rPr>
      </w:pPr>
    </w:p>
    <w:p w14:paraId="305CBE72" w14:textId="649FD0A4" w:rsidR="00D86ACA" w:rsidRDefault="00F37E83" w:rsidP="00556C32">
      <w:pPr>
        <w:spacing w:after="1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A titre transitoire, l</w:t>
      </w:r>
      <w:r w:rsidR="005F3E67">
        <w:rPr>
          <w:rFonts w:ascii="Times New Roman" w:eastAsia="Times New Roman" w:hAnsi="Times New Roman" w:cs="Times New Roman"/>
          <w:bCs/>
          <w:lang w:eastAsia="x-none"/>
        </w:rPr>
        <w:t>es</w:t>
      </w:r>
      <w:r w:rsidR="00D86ACA">
        <w:rPr>
          <w:rFonts w:ascii="Times New Roman" w:eastAsia="Times New Roman" w:hAnsi="Times New Roman" w:cs="Times New Roman"/>
          <w:bCs/>
          <w:lang w:eastAsia="x-none"/>
        </w:rPr>
        <w:t xml:space="preserve"> agents du ministère de la culture ayant déjà atteint la durée maximale au</w:t>
      </w:r>
      <w:r>
        <w:rPr>
          <w:rFonts w:ascii="Times New Roman" w:eastAsia="Times New Roman" w:hAnsi="Times New Roman" w:cs="Times New Roman"/>
          <w:bCs/>
          <w:lang w:eastAsia="x-none"/>
        </w:rPr>
        <w:t xml:space="preserve"> 1</w:t>
      </w:r>
      <w:r w:rsidRPr="00F37E83">
        <w:rPr>
          <w:rFonts w:ascii="Times New Roman" w:eastAsia="Times New Roman" w:hAnsi="Times New Roman" w:cs="Times New Roman"/>
          <w:bCs/>
          <w:vertAlign w:val="superscript"/>
          <w:lang w:eastAsia="x-none"/>
        </w:rPr>
        <w:t>er</w:t>
      </w:r>
      <w:r>
        <w:rPr>
          <w:rFonts w:ascii="Times New Roman" w:eastAsia="Times New Roman" w:hAnsi="Times New Roman" w:cs="Times New Roman"/>
          <w:bCs/>
          <w:lang w:eastAsia="x-none"/>
        </w:rPr>
        <w:t xml:space="preserve"> janvier 2020</w:t>
      </w:r>
      <w:r w:rsidR="005F3E67">
        <w:rPr>
          <w:rFonts w:ascii="Times New Roman" w:eastAsia="Times New Roman" w:hAnsi="Times New Roman" w:cs="Times New Roman"/>
          <w:bCs/>
          <w:lang w:eastAsia="x-none"/>
        </w:rPr>
        <w:t xml:space="preserve"> </w:t>
      </w:r>
      <w:r w:rsidR="00D86ACA">
        <w:rPr>
          <w:rFonts w:ascii="Times New Roman" w:eastAsia="Times New Roman" w:hAnsi="Times New Roman" w:cs="Times New Roman"/>
          <w:bCs/>
          <w:lang w:eastAsia="x-none"/>
        </w:rPr>
        <w:t xml:space="preserve">disposent de </w:t>
      </w:r>
      <w:r w:rsidR="005F3E67">
        <w:rPr>
          <w:rFonts w:ascii="Times New Roman" w:eastAsia="Times New Roman" w:hAnsi="Times New Roman" w:cs="Times New Roman"/>
          <w:bCs/>
          <w:lang w:eastAsia="x-none"/>
        </w:rPr>
        <w:t>deux</w:t>
      </w:r>
      <w:r w:rsidR="00D86ACA">
        <w:rPr>
          <w:rFonts w:ascii="Times New Roman" w:eastAsia="Times New Roman" w:hAnsi="Times New Roman" w:cs="Times New Roman"/>
          <w:bCs/>
          <w:lang w:eastAsia="x-none"/>
        </w:rPr>
        <w:t xml:space="preserve"> années </w:t>
      </w:r>
      <w:r w:rsidR="005F3E67">
        <w:rPr>
          <w:rFonts w:ascii="Times New Roman" w:eastAsia="Times New Roman" w:hAnsi="Times New Roman" w:cs="Times New Roman"/>
          <w:bCs/>
          <w:lang w:eastAsia="x-none"/>
        </w:rPr>
        <w:t>pour opérer une mobilité</w:t>
      </w:r>
      <w:r w:rsidR="001444CD">
        <w:rPr>
          <w:rFonts w:ascii="Times New Roman" w:eastAsia="Times New Roman" w:hAnsi="Times New Roman" w:cs="Times New Roman"/>
          <w:bCs/>
          <w:lang w:eastAsia="x-none"/>
        </w:rPr>
        <w:t>.</w:t>
      </w:r>
    </w:p>
    <w:p w14:paraId="429E3F73" w14:textId="5A395573" w:rsidR="00556C32" w:rsidRPr="00556C32" w:rsidRDefault="00556C32" w:rsidP="00556C32">
      <w:pPr>
        <w:jc w:val="both"/>
        <w:rPr>
          <w:rFonts w:ascii="Times New Roman" w:eastAsia="Times New Roman" w:hAnsi="Times New Roman" w:cs="Times New Roman"/>
          <w:bCs/>
          <w:lang w:val="x-none" w:eastAsia="x-none"/>
        </w:rPr>
      </w:pPr>
      <w:r w:rsidRPr="00556C32">
        <w:rPr>
          <w:rFonts w:ascii="Times New Roman" w:eastAsia="Times New Roman" w:hAnsi="Times New Roman" w:cs="Times New Roman"/>
          <w:bCs/>
          <w:lang w:val="x-none" w:eastAsia="x-none"/>
        </w:rPr>
        <w:t>Les dispositions du présent article sont établies sans préjudice :</w:t>
      </w:r>
    </w:p>
    <w:p w14:paraId="4BF4FA31" w14:textId="77777777" w:rsidR="00556C32" w:rsidRPr="00556C32" w:rsidRDefault="00556C32" w:rsidP="00556C32">
      <w:pPr>
        <w:numPr>
          <w:ilvl w:val="0"/>
          <w:numId w:val="3"/>
        </w:numPr>
        <w:jc w:val="both"/>
        <w:rPr>
          <w:rFonts w:ascii="Times New Roman" w:eastAsia="Times New Roman" w:hAnsi="Times New Roman" w:cs="Times New Roman"/>
          <w:bCs/>
          <w:lang w:val="x-none" w:eastAsia="x-none"/>
        </w:rPr>
      </w:pPr>
      <w:r w:rsidRPr="00556C32">
        <w:rPr>
          <w:rFonts w:ascii="Times New Roman" w:eastAsia="Times New Roman" w:hAnsi="Times New Roman" w:cs="Times New Roman"/>
          <w:bCs/>
          <w:lang w:val="x-none" w:eastAsia="x-none"/>
        </w:rPr>
        <w:t>de la durée d’affectation définie pour l’occupation des emplois fonctionnels ;</w:t>
      </w:r>
    </w:p>
    <w:p w14:paraId="23C08AC0" w14:textId="77777777" w:rsidR="004C21BD" w:rsidRDefault="00556C32" w:rsidP="004C21BD">
      <w:pPr>
        <w:numPr>
          <w:ilvl w:val="0"/>
          <w:numId w:val="3"/>
        </w:numPr>
        <w:jc w:val="both"/>
        <w:rPr>
          <w:rFonts w:ascii="Times New Roman" w:eastAsia="Times New Roman" w:hAnsi="Times New Roman" w:cs="Times New Roman"/>
          <w:bCs/>
          <w:lang w:val="x-none" w:eastAsia="x-none"/>
        </w:rPr>
      </w:pPr>
      <w:r w:rsidRPr="00556C32">
        <w:rPr>
          <w:rFonts w:ascii="Times New Roman" w:eastAsia="Times New Roman" w:hAnsi="Times New Roman" w:cs="Times New Roman"/>
          <w:bCs/>
          <w:lang w:val="x-none" w:eastAsia="x-none"/>
        </w:rPr>
        <w:t>des règles spécifiques relatives aux durées minimales et maximales d’occupation de certains emplois prévus par les statuts particuliers</w:t>
      </w:r>
      <w:r w:rsidRPr="00556C32">
        <w:rPr>
          <w:rFonts w:ascii="Times New Roman" w:eastAsia="Times New Roman" w:hAnsi="Times New Roman" w:cs="Times New Roman"/>
          <w:bCs/>
          <w:lang w:eastAsia="x-none"/>
        </w:rPr>
        <w:t>.</w:t>
      </w:r>
    </w:p>
    <w:p w14:paraId="18C229C1" w14:textId="77777777" w:rsidR="004C21BD" w:rsidRDefault="004C21BD" w:rsidP="004C21BD">
      <w:pPr>
        <w:jc w:val="both"/>
        <w:rPr>
          <w:rFonts w:ascii="Times New Roman" w:eastAsia="Times New Roman" w:hAnsi="Times New Roman" w:cs="Times New Roman"/>
          <w:bCs/>
          <w:u w:val="single"/>
          <w:lang w:val="x-none" w:eastAsia="x-none"/>
        </w:rPr>
      </w:pPr>
    </w:p>
    <w:p w14:paraId="7C0E20E9" w14:textId="56824A8C" w:rsidR="00556C32" w:rsidRPr="004C21BD" w:rsidRDefault="004C21BD" w:rsidP="004C21BD">
      <w:pPr>
        <w:jc w:val="both"/>
        <w:rPr>
          <w:rFonts w:ascii="Times New Roman" w:eastAsia="Times New Roman" w:hAnsi="Times New Roman" w:cs="Times New Roman"/>
          <w:bCs/>
          <w:lang w:val="x-none" w:eastAsia="x-none"/>
        </w:rPr>
      </w:pPr>
      <w:r w:rsidRPr="004C21BD">
        <w:rPr>
          <w:rFonts w:ascii="Times New Roman" w:eastAsia="Times New Roman" w:hAnsi="Times New Roman" w:cs="Times New Roman"/>
          <w:bCs/>
          <w:lang w:eastAsia="x-none"/>
        </w:rPr>
        <w:t xml:space="preserve">10 : </w:t>
      </w:r>
      <w:r w:rsidR="00083BAE" w:rsidRPr="004C21BD">
        <w:rPr>
          <w:rFonts w:ascii="Times New Roman" w:eastAsia="Times New Roman" w:hAnsi="Times New Roman" w:cs="Times New Roman"/>
          <w:bCs/>
          <w:u w:val="single"/>
          <w:lang w:val="x-none" w:eastAsia="x-none"/>
        </w:rPr>
        <w:t>B</w:t>
      </w:r>
      <w:r w:rsidR="00953583" w:rsidRPr="004C21BD">
        <w:rPr>
          <w:rFonts w:ascii="Times New Roman" w:eastAsia="Times New Roman" w:hAnsi="Times New Roman" w:cs="Times New Roman"/>
          <w:bCs/>
          <w:u w:val="single"/>
          <w:lang w:val="x-none" w:eastAsia="x-none"/>
        </w:rPr>
        <w:t>ilan annuel</w:t>
      </w:r>
    </w:p>
    <w:p w14:paraId="579DD9EE" w14:textId="77777777" w:rsidR="00266789" w:rsidRDefault="00266789" w:rsidP="00BD556B">
      <w:pPr>
        <w:spacing w:after="120"/>
        <w:jc w:val="both"/>
        <w:rPr>
          <w:rFonts w:ascii="Times New Roman" w:eastAsia="Times New Roman" w:hAnsi="Times New Roman" w:cs="Times New Roman"/>
          <w:lang w:val="x-none" w:eastAsia="x-none"/>
        </w:rPr>
      </w:pPr>
    </w:p>
    <w:p w14:paraId="6EDC4A5A" w14:textId="4CF7C06C" w:rsidR="00953583" w:rsidRPr="00BD556B" w:rsidRDefault="00556C32" w:rsidP="00BD556B">
      <w:pPr>
        <w:spacing w:after="120"/>
        <w:jc w:val="both"/>
        <w:rPr>
          <w:rFonts w:ascii="Times New Roman" w:eastAsia="Times New Roman" w:hAnsi="Times New Roman" w:cs="Times New Roman"/>
          <w:lang w:val="x-none" w:eastAsia="x-none"/>
        </w:rPr>
      </w:pPr>
      <w:r w:rsidRPr="00556C32">
        <w:rPr>
          <w:rFonts w:ascii="Times New Roman" w:eastAsia="Times New Roman" w:hAnsi="Times New Roman" w:cs="Times New Roman"/>
          <w:lang w:val="x-none" w:eastAsia="x-none"/>
        </w:rPr>
        <w:t xml:space="preserve">Un bilan de la mise en œuvre des lignes directrices de gestion en matière de  mobilité </w:t>
      </w:r>
      <w:r w:rsidR="001444CD">
        <w:rPr>
          <w:rFonts w:ascii="Times New Roman" w:eastAsia="Times New Roman" w:hAnsi="Times New Roman" w:cs="Times New Roman"/>
          <w:lang w:eastAsia="x-none"/>
        </w:rPr>
        <w:t>sera</w:t>
      </w:r>
      <w:r w:rsidRPr="00556C32">
        <w:rPr>
          <w:rFonts w:ascii="Times New Roman" w:eastAsia="Times New Roman" w:hAnsi="Times New Roman" w:cs="Times New Roman"/>
          <w:lang w:val="x-none" w:eastAsia="x-none"/>
        </w:rPr>
        <w:t xml:space="preserve"> établi annuellement, sur la base des décisions individuelles. Il </w:t>
      </w:r>
      <w:r w:rsidR="001444CD">
        <w:rPr>
          <w:rFonts w:ascii="Times New Roman" w:eastAsia="Times New Roman" w:hAnsi="Times New Roman" w:cs="Times New Roman"/>
          <w:lang w:eastAsia="x-none"/>
        </w:rPr>
        <w:t>sera</w:t>
      </w:r>
      <w:r w:rsidR="001444CD">
        <w:rPr>
          <w:rFonts w:ascii="Times New Roman" w:eastAsia="Times New Roman" w:hAnsi="Times New Roman" w:cs="Times New Roman"/>
          <w:lang w:val="x-none" w:eastAsia="x-none"/>
        </w:rPr>
        <w:t xml:space="preserve"> présenté </w:t>
      </w:r>
      <w:r w:rsidRPr="00556C32">
        <w:rPr>
          <w:rFonts w:ascii="Times New Roman" w:eastAsia="Times New Roman" w:hAnsi="Times New Roman" w:cs="Times New Roman"/>
          <w:lang w:val="x-none" w:eastAsia="x-none"/>
        </w:rPr>
        <w:t>au comité soc</w:t>
      </w:r>
      <w:r w:rsidR="001444CD">
        <w:rPr>
          <w:rFonts w:ascii="Times New Roman" w:eastAsia="Times New Roman" w:hAnsi="Times New Roman" w:cs="Times New Roman"/>
          <w:lang w:val="x-none" w:eastAsia="x-none"/>
        </w:rPr>
        <w:t>ial d’administration compétent.</w:t>
      </w:r>
    </w:p>
    <w:sectPr w:rsidR="00953583" w:rsidRPr="00BD556B" w:rsidSect="00427CFB">
      <w:headerReference w:type="even" r:id="rId9"/>
      <w:headerReference w:type="default" r:id="rId10"/>
      <w:footerReference w:type="default" r:id="rId11"/>
      <w:head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AA6E" w14:textId="77777777" w:rsidR="00D60BFD" w:rsidRDefault="00D60BFD">
      <w:r>
        <w:separator/>
      </w:r>
    </w:p>
  </w:endnote>
  <w:endnote w:type="continuationSeparator" w:id="0">
    <w:p w14:paraId="786D606E" w14:textId="77777777" w:rsidR="00D60BFD" w:rsidRDefault="00D6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AC7A" w14:textId="10122D9B" w:rsidR="000A5D06" w:rsidRPr="000A5D06" w:rsidRDefault="00AD37C9">
    <w:pPr>
      <w:pStyle w:val="Pieddepage"/>
      <w:rPr>
        <w:sz w:val="18"/>
      </w:rPr>
    </w:pPr>
    <w:r>
      <w:rPr>
        <w:sz w:val="18"/>
      </w:rPr>
      <w:t xml:space="preserve">LDG </w:t>
    </w:r>
    <w:r w:rsidRPr="000A5D06">
      <w:rPr>
        <w:sz w:val="18"/>
      </w:rPr>
      <w:t xml:space="preserve">mobilité – </w:t>
    </w:r>
    <w:r w:rsidR="001D65A9">
      <w:rPr>
        <w:sz w:val="18"/>
      </w:rPr>
      <w:t>V4</w:t>
    </w:r>
    <w:r w:rsidRPr="000A5D06">
      <w:rPr>
        <w:sz w:val="18"/>
      </w:rPr>
      <w:t xml:space="preserve"> </w:t>
    </w:r>
    <w:r w:rsidR="001D65A9">
      <w:rPr>
        <w:sz w:val="18"/>
      </w:rPr>
      <w:t>–</w:t>
    </w:r>
    <w:r w:rsidRPr="000A5D06">
      <w:rPr>
        <w:sz w:val="18"/>
      </w:rPr>
      <w:t xml:space="preserve"> </w:t>
    </w:r>
    <w:r w:rsidR="00FA1582">
      <w:rPr>
        <w:sz w:val="18"/>
      </w:rPr>
      <w:t>04/11</w:t>
    </w:r>
    <w:r w:rsidR="001D65A9">
      <w:rPr>
        <w:sz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81F3A" w14:textId="77777777" w:rsidR="00D60BFD" w:rsidRDefault="00D60BFD">
      <w:r>
        <w:separator/>
      </w:r>
    </w:p>
  </w:footnote>
  <w:footnote w:type="continuationSeparator" w:id="0">
    <w:p w14:paraId="6BE204D9" w14:textId="77777777" w:rsidR="00D60BFD" w:rsidRDefault="00D6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8A1B" w14:textId="01BE4AE0" w:rsidR="00C812F0" w:rsidRDefault="00D60BFD">
    <w:pPr>
      <w:pStyle w:val="En-tte"/>
    </w:pPr>
    <w:r>
      <w:rPr>
        <w:noProof/>
      </w:rPr>
      <w:pict w14:anchorId="13716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1609" o:spid="_x0000_s2050" type="#_x0000_t136" style="position:absolute;margin-left:0;margin-top:0;width:547.8pt;height:91.3pt;rotation:315;z-index:-251655168;mso-position-horizontal:center;mso-position-horizontal-relative:margin;mso-position-vertical:center;mso-position-vertical-relative:margin" o:allowincell="f" fillcolor="silver" stroked="f">
          <v:fill opacity=".5"/>
          <v:textpath style="font-family:&quot;Calibri&quot;;font-size:1pt" string="PROJET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D346" w14:textId="2EAF3169" w:rsidR="00C812F0" w:rsidRDefault="00D60BFD">
    <w:pPr>
      <w:pStyle w:val="En-tte"/>
    </w:pPr>
    <w:r>
      <w:rPr>
        <w:noProof/>
      </w:rPr>
      <w:pict w14:anchorId="6E8CE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1610" o:spid="_x0000_s2051" type="#_x0000_t136" style="position:absolute;margin-left:0;margin-top:0;width:547.8pt;height:91.3pt;rotation:315;z-index:-251653120;mso-position-horizontal:center;mso-position-horizontal-relative:margin;mso-position-vertical:center;mso-position-vertical-relative:margin" o:allowincell="f" fillcolor="silver" stroked="f">
          <v:fill opacity=".5"/>
          <v:textpath style="font-family:&quot;Calibri&quot;;font-size:1pt" string="PROJET CONFIDENT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8BAC" w14:textId="430FAF04" w:rsidR="00C812F0" w:rsidRDefault="00D60BFD">
    <w:pPr>
      <w:pStyle w:val="En-tte"/>
    </w:pPr>
    <w:r>
      <w:rPr>
        <w:noProof/>
      </w:rPr>
      <w:pict w14:anchorId="532EB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1608" o:spid="_x0000_s2049" type="#_x0000_t136" style="position:absolute;margin-left:0;margin-top:0;width:547.8pt;height:91.3pt;rotation:315;z-index:-251657216;mso-position-horizontal:center;mso-position-horizontal-relative:margin;mso-position-vertical:center;mso-position-vertical-relative:margin" o:allowincell="f" fillcolor="silver" stroked="f">
          <v:fill opacity=".5"/>
          <v:textpath style="font-family:&quot;Calibri&quot;;font-size:1pt" string="PROJET CONFIDENT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4AD8"/>
    <w:multiLevelType w:val="hybridMultilevel"/>
    <w:tmpl w:val="1A80F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35B6C"/>
    <w:multiLevelType w:val="hybridMultilevel"/>
    <w:tmpl w:val="30488984"/>
    <w:lvl w:ilvl="0" w:tplc="34B2EA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60F6A"/>
    <w:multiLevelType w:val="multilevel"/>
    <w:tmpl w:val="26EA3ABE"/>
    <w:lvl w:ilvl="0">
      <w:start w:val="8"/>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 w15:restartNumberingAfterBreak="0">
    <w:nsid w:val="2DDE4B3F"/>
    <w:multiLevelType w:val="hybridMultilevel"/>
    <w:tmpl w:val="9E4E8EF6"/>
    <w:lvl w:ilvl="0" w:tplc="A32C72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D43352"/>
    <w:multiLevelType w:val="multilevel"/>
    <w:tmpl w:val="FC2235A8"/>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FE76070"/>
    <w:multiLevelType w:val="multilevel"/>
    <w:tmpl w:val="C744F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547E22"/>
    <w:multiLevelType w:val="hybridMultilevel"/>
    <w:tmpl w:val="462EA6EE"/>
    <w:lvl w:ilvl="0" w:tplc="36DE551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1A47032"/>
    <w:multiLevelType w:val="hybridMultilevel"/>
    <w:tmpl w:val="BE181B8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5EC2A40"/>
    <w:multiLevelType w:val="hybridMultilevel"/>
    <w:tmpl w:val="A9E08748"/>
    <w:lvl w:ilvl="0" w:tplc="F1CCD2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765E5"/>
    <w:multiLevelType w:val="multilevel"/>
    <w:tmpl w:val="2422855C"/>
    <w:lvl w:ilvl="0">
      <w:start w:val="5"/>
      <w:numFmt w:val="decimal"/>
      <w:lvlText w:val="%1."/>
      <w:lvlJc w:val="left"/>
      <w:pPr>
        <w:ind w:left="360" w:hanging="360"/>
      </w:pPr>
      <w:rPr>
        <w:rFonts w:ascii="Times New Roman" w:eastAsia="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FF68CE"/>
    <w:multiLevelType w:val="hybridMultilevel"/>
    <w:tmpl w:val="C57A81F0"/>
    <w:lvl w:ilvl="0" w:tplc="D4240A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7D5C8C"/>
    <w:multiLevelType w:val="hybridMultilevel"/>
    <w:tmpl w:val="ED7C5386"/>
    <w:lvl w:ilvl="0" w:tplc="682CF418">
      <w:start w:val="6"/>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7C16170"/>
    <w:multiLevelType w:val="hybridMultilevel"/>
    <w:tmpl w:val="89A4F0D0"/>
    <w:lvl w:ilvl="0" w:tplc="530AFC80">
      <w:start w:val="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2118C"/>
    <w:multiLevelType w:val="hybridMultilevel"/>
    <w:tmpl w:val="70FCF1DC"/>
    <w:lvl w:ilvl="0" w:tplc="530AFC80">
      <w:start w:val="5"/>
      <w:numFmt w:val="bullet"/>
      <w:lvlText w:val=""/>
      <w:lvlJc w:val="left"/>
      <w:pPr>
        <w:ind w:left="1428" w:hanging="360"/>
      </w:pPr>
      <w:rPr>
        <w:rFonts w:ascii="Symbol" w:eastAsiaTheme="minorHAnsi" w:hAnsi="Symbol"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43F06EE"/>
    <w:multiLevelType w:val="hybridMultilevel"/>
    <w:tmpl w:val="F9A249D4"/>
    <w:lvl w:ilvl="0" w:tplc="A0EE6D34">
      <w:start w:val="6"/>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A569B"/>
    <w:multiLevelType w:val="hybridMultilevel"/>
    <w:tmpl w:val="F6AA965E"/>
    <w:lvl w:ilvl="0" w:tplc="3F922B5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C6AB2"/>
    <w:multiLevelType w:val="multilevel"/>
    <w:tmpl w:val="0B343C86"/>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6E586BB2"/>
    <w:multiLevelType w:val="hybridMultilevel"/>
    <w:tmpl w:val="B1964174"/>
    <w:lvl w:ilvl="0" w:tplc="9FD09BF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1BD349C"/>
    <w:multiLevelType w:val="hybridMultilevel"/>
    <w:tmpl w:val="264202C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83A0866"/>
    <w:multiLevelType w:val="hybridMultilevel"/>
    <w:tmpl w:val="9E022614"/>
    <w:lvl w:ilvl="0" w:tplc="91223E4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652A32"/>
    <w:multiLevelType w:val="hybridMultilevel"/>
    <w:tmpl w:val="E63ACE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12"/>
  </w:num>
  <w:num w:numId="5">
    <w:abstractNumId w:val="13"/>
  </w:num>
  <w:num w:numId="6">
    <w:abstractNumId w:val="18"/>
  </w:num>
  <w:num w:numId="7">
    <w:abstractNumId w:val="3"/>
  </w:num>
  <w:num w:numId="8">
    <w:abstractNumId w:val="1"/>
  </w:num>
  <w:num w:numId="9">
    <w:abstractNumId w:val="10"/>
  </w:num>
  <w:num w:numId="10">
    <w:abstractNumId w:val="17"/>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4"/>
  </w:num>
  <w:num w:numId="16">
    <w:abstractNumId w:val="9"/>
  </w:num>
  <w:num w:numId="17">
    <w:abstractNumId w:val="14"/>
  </w:num>
  <w:num w:numId="18">
    <w:abstractNumId w:val="19"/>
  </w:num>
  <w:num w:numId="19">
    <w:abstractNumId w:val="11"/>
  </w:num>
  <w:num w:numId="20">
    <w:abstractNumId w:val="0"/>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C9"/>
    <w:rsid w:val="00017046"/>
    <w:rsid w:val="00030827"/>
    <w:rsid w:val="0004136A"/>
    <w:rsid w:val="00044068"/>
    <w:rsid w:val="0004569F"/>
    <w:rsid w:val="00050BD4"/>
    <w:rsid w:val="00054B10"/>
    <w:rsid w:val="000657F3"/>
    <w:rsid w:val="00071193"/>
    <w:rsid w:val="00081D6C"/>
    <w:rsid w:val="00083BAE"/>
    <w:rsid w:val="000936FB"/>
    <w:rsid w:val="000947C2"/>
    <w:rsid w:val="000A3F50"/>
    <w:rsid w:val="000C6D7D"/>
    <w:rsid w:val="000D6FE7"/>
    <w:rsid w:val="000E17BC"/>
    <w:rsid w:val="000E7444"/>
    <w:rsid w:val="000F5E42"/>
    <w:rsid w:val="0010196B"/>
    <w:rsid w:val="00125458"/>
    <w:rsid w:val="00137A8A"/>
    <w:rsid w:val="00143C8C"/>
    <w:rsid w:val="001444CD"/>
    <w:rsid w:val="00154A11"/>
    <w:rsid w:val="00157242"/>
    <w:rsid w:val="00175187"/>
    <w:rsid w:val="00184370"/>
    <w:rsid w:val="001A3846"/>
    <w:rsid w:val="001C40E4"/>
    <w:rsid w:val="001C6046"/>
    <w:rsid w:val="001C717D"/>
    <w:rsid w:val="001D65A9"/>
    <w:rsid w:val="001E3861"/>
    <w:rsid w:val="001F64C1"/>
    <w:rsid w:val="00200244"/>
    <w:rsid w:val="0021052D"/>
    <w:rsid w:val="00213B0A"/>
    <w:rsid w:val="00216B06"/>
    <w:rsid w:val="00220B1A"/>
    <w:rsid w:val="00230BB4"/>
    <w:rsid w:val="00261B3A"/>
    <w:rsid w:val="0026392A"/>
    <w:rsid w:val="002650DD"/>
    <w:rsid w:val="00266789"/>
    <w:rsid w:val="00267F5B"/>
    <w:rsid w:val="0027028D"/>
    <w:rsid w:val="00270C18"/>
    <w:rsid w:val="00284AA0"/>
    <w:rsid w:val="002942FB"/>
    <w:rsid w:val="002B0D28"/>
    <w:rsid w:val="002B4998"/>
    <w:rsid w:val="002C1137"/>
    <w:rsid w:val="002C548D"/>
    <w:rsid w:val="002C7AEE"/>
    <w:rsid w:val="00310975"/>
    <w:rsid w:val="00322F23"/>
    <w:rsid w:val="00363EA7"/>
    <w:rsid w:val="00366DD9"/>
    <w:rsid w:val="0037571F"/>
    <w:rsid w:val="003866C7"/>
    <w:rsid w:val="003908A1"/>
    <w:rsid w:val="0039407B"/>
    <w:rsid w:val="00397FED"/>
    <w:rsid w:val="003C1BBB"/>
    <w:rsid w:val="003C1C3F"/>
    <w:rsid w:val="003C2CD9"/>
    <w:rsid w:val="003F1119"/>
    <w:rsid w:val="003F4A5D"/>
    <w:rsid w:val="004061F4"/>
    <w:rsid w:val="00410718"/>
    <w:rsid w:val="00411FBE"/>
    <w:rsid w:val="00415CDA"/>
    <w:rsid w:val="004378BC"/>
    <w:rsid w:val="00460EE0"/>
    <w:rsid w:val="00473949"/>
    <w:rsid w:val="00496BFF"/>
    <w:rsid w:val="004978DD"/>
    <w:rsid w:val="004A0423"/>
    <w:rsid w:val="004C1FE6"/>
    <w:rsid w:val="004C21BD"/>
    <w:rsid w:val="004C3693"/>
    <w:rsid w:val="004E4FF5"/>
    <w:rsid w:val="0050573C"/>
    <w:rsid w:val="005070EC"/>
    <w:rsid w:val="00513E18"/>
    <w:rsid w:val="00531305"/>
    <w:rsid w:val="005316B6"/>
    <w:rsid w:val="00532115"/>
    <w:rsid w:val="00556C32"/>
    <w:rsid w:val="00562AF1"/>
    <w:rsid w:val="005638B5"/>
    <w:rsid w:val="00566C7E"/>
    <w:rsid w:val="00570F8E"/>
    <w:rsid w:val="00571CD2"/>
    <w:rsid w:val="0058221B"/>
    <w:rsid w:val="0058647E"/>
    <w:rsid w:val="005867C9"/>
    <w:rsid w:val="00597504"/>
    <w:rsid w:val="005B0D0B"/>
    <w:rsid w:val="005B1C25"/>
    <w:rsid w:val="005B4D4A"/>
    <w:rsid w:val="005E2C79"/>
    <w:rsid w:val="005E5366"/>
    <w:rsid w:val="005E7451"/>
    <w:rsid w:val="005F13F3"/>
    <w:rsid w:val="005F3E67"/>
    <w:rsid w:val="0066032F"/>
    <w:rsid w:val="00670E53"/>
    <w:rsid w:val="00686DB1"/>
    <w:rsid w:val="006B7F31"/>
    <w:rsid w:val="006E492C"/>
    <w:rsid w:val="006E7629"/>
    <w:rsid w:val="006F41F9"/>
    <w:rsid w:val="006F4FEC"/>
    <w:rsid w:val="00706096"/>
    <w:rsid w:val="007068A2"/>
    <w:rsid w:val="00712BCA"/>
    <w:rsid w:val="00742C94"/>
    <w:rsid w:val="00754579"/>
    <w:rsid w:val="00760558"/>
    <w:rsid w:val="00767451"/>
    <w:rsid w:val="00780A50"/>
    <w:rsid w:val="007A3BC2"/>
    <w:rsid w:val="007A6FBF"/>
    <w:rsid w:val="007B2EA2"/>
    <w:rsid w:val="007B364F"/>
    <w:rsid w:val="007B5F74"/>
    <w:rsid w:val="007C3A4B"/>
    <w:rsid w:val="007C67B2"/>
    <w:rsid w:val="007D157A"/>
    <w:rsid w:val="007E126D"/>
    <w:rsid w:val="007F4704"/>
    <w:rsid w:val="007F61EC"/>
    <w:rsid w:val="0080778E"/>
    <w:rsid w:val="00811AEE"/>
    <w:rsid w:val="008238FC"/>
    <w:rsid w:val="008279D2"/>
    <w:rsid w:val="00830D84"/>
    <w:rsid w:val="008519BB"/>
    <w:rsid w:val="00860CA6"/>
    <w:rsid w:val="00871BA1"/>
    <w:rsid w:val="00872D57"/>
    <w:rsid w:val="0087421B"/>
    <w:rsid w:val="0088145A"/>
    <w:rsid w:val="008824A3"/>
    <w:rsid w:val="008924B2"/>
    <w:rsid w:val="008B06EC"/>
    <w:rsid w:val="008D42DF"/>
    <w:rsid w:val="008E3C61"/>
    <w:rsid w:val="008E6EFF"/>
    <w:rsid w:val="00916DA1"/>
    <w:rsid w:val="0094008F"/>
    <w:rsid w:val="00945A51"/>
    <w:rsid w:val="00950483"/>
    <w:rsid w:val="0095130F"/>
    <w:rsid w:val="00953583"/>
    <w:rsid w:val="009579E8"/>
    <w:rsid w:val="0096173A"/>
    <w:rsid w:val="0096616B"/>
    <w:rsid w:val="00977A35"/>
    <w:rsid w:val="009B1EF0"/>
    <w:rsid w:val="009D3107"/>
    <w:rsid w:val="009F075D"/>
    <w:rsid w:val="009F26E3"/>
    <w:rsid w:val="009F6AE6"/>
    <w:rsid w:val="00A015C5"/>
    <w:rsid w:val="00A019E1"/>
    <w:rsid w:val="00A2710A"/>
    <w:rsid w:val="00A50189"/>
    <w:rsid w:val="00A62297"/>
    <w:rsid w:val="00A74512"/>
    <w:rsid w:val="00A82E46"/>
    <w:rsid w:val="00A97644"/>
    <w:rsid w:val="00AA38EB"/>
    <w:rsid w:val="00AB79A9"/>
    <w:rsid w:val="00AD3710"/>
    <w:rsid w:val="00AD37C9"/>
    <w:rsid w:val="00AE110D"/>
    <w:rsid w:val="00AF2C49"/>
    <w:rsid w:val="00B405D7"/>
    <w:rsid w:val="00B5187C"/>
    <w:rsid w:val="00B555B8"/>
    <w:rsid w:val="00B70FD5"/>
    <w:rsid w:val="00B72155"/>
    <w:rsid w:val="00B74054"/>
    <w:rsid w:val="00B76333"/>
    <w:rsid w:val="00B93CDA"/>
    <w:rsid w:val="00BB3C37"/>
    <w:rsid w:val="00BB5DC1"/>
    <w:rsid w:val="00BB6628"/>
    <w:rsid w:val="00BC0433"/>
    <w:rsid w:val="00BC50FD"/>
    <w:rsid w:val="00BD42D5"/>
    <w:rsid w:val="00BD556B"/>
    <w:rsid w:val="00BD786A"/>
    <w:rsid w:val="00C06650"/>
    <w:rsid w:val="00C24925"/>
    <w:rsid w:val="00C312C7"/>
    <w:rsid w:val="00C31671"/>
    <w:rsid w:val="00C32816"/>
    <w:rsid w:val="00C329E9"/>
    <w:rsid w:val="00C40C55"/>
    <w:rsid w:val="00C567DD"/>
    <w:rsid w:val="00C62D80"/>
    <w:rsid w:val="00C63CBC"/>
    <w:rsid w:val="00C645FF"/>
    <w:rsid w:val="00C812F0"/>
    <w:rsid w:val="00CB0DD7"/>
    <w:rsid w:val="00CB1CA9"/>
    <w:rsid w:val="00CB653C"/>
    <w:rsid w:val="00CB7EF8"/>
    <w:rsid w:val="00CC01AB"/>
    <w:rsid w:val="00CC3D1F"/>
    <w:rsid w:val="00CE6D60"/>
    <w:rsid w:val="00CF602E"/>
    <w:rsid w:val="00CF6959"/>
    <w:rsid w:val="00D03BE1"/>
    <w:rsid w:val="00D04AE4"/>
    <w:rsid w:val="00D159E5"/>
    <w:rsid w:val="00D20080"/>
    <w:rsid w:val="00D2459A"/>
    <w:rsid w:val="00D57DD7"/>
    <w:rsid w:val="00D60BFD"/>
    <w:rsid w:val="00D63412"/>
    <w:rsid w:val="00D725AB"/>
    <w:rsid w:val="00D86ACA"/>
    <w:rsid w:val="00DA5686"/>
    <w:rsid w:val="00DB434D"/>
    <w:rsid w:val="00DC11E9"/>
    <w:rsid w:val="00DE2B53"/>
    <w:rsid w:val="00DE5410"/>
    <w:rsid w:val="00E21400"/>
    <w:rsid w:val="00E22060"/>
    <w:rsid w:val="00E372E2"/>
    <w:rsid w:val="00E445C4"/>
    <w:rsid w:val="00E4678E"/>
    <w:rsid w:val="00E5610B"/>
    <w:rsid w:val="00E81F6D"/>
    <w:rsid w:val="00E9455C"/>
    <w:rsid w:val="00E9566E"/>
    <w:rsid w:val="00EA62CC"/>
    <w:rsid w:val="00ED0C93"/>
    <w:rsid w:val="00EF5BC4"/>
    <w:rsid w:val="00F0182A"/>
    <w:rsid w:val="00F32280"/>
    <w:rsid w:val="00F37E83"/>
    <w:rsid w:val="00F51E3B"/>
    <w:rsid w:val="00F561BE"/>
    <w:rsid w:val="00F751FD"/>
    <w:rsid w:val="00F936FC"/>
    <w:rsid w:val="00F94B90"/>
    <w:rsid w:val="00F97B9E"/>
    <w:rsid w:val="00FA1582"/>
    <w:rsid w:val="00FB17FE"/>
    <w:rsid w:val="00FC3135"/>
    <w:rsid w:val="00FC3AD2"/>
    <w:rsid w:val="00FD705A"/>
    <w:rsid w:val="00FF2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CE816D"/>
  <w15:chartTrackingRefBased/>
  <w15:docId w15:val="{AD547715-3BA6-4D03-8A7E-92A6E5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C9"/>
    <w:pPr>
      <w:spacing w:after="0" w:line="240" w:lineRule="auto"/>
    </w:pPr>
    <w:rPr>
      <w:sz w:val="24"/>
      <w:szCs w:val="24"/>
    </w:rPr>
  </w:style>
  <w:style w:type="paragraph" w:styleId="Titre1">
    <w:name w:val="heading 1"/>
    <w:basedOn w:val="Normal"/>
    <w:next w:val="Normal"/>
    <w:link w:val="Titre1Car"/>
    <w:uiPriority w:val="9"/>
    <w:qFormat/>
    <w:rsid w:val="007E12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56C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56C32"/>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7C9"/>
    <w:pPr>
      <w:ind w:left="720"/>
      <w:contextualSpacing/>
    </w:pPr>
  </w:style>
  <w:style w:type="paragraph" w:styleId="Pieddepage">
    <w:name w:val="footer"/>
    <w:basedOn w:val="Normal"/>
    <w:link w:val="PieddepageCar"/>
    <w:uiPriority w:val="99"/>
    <w:unhideWhenUsed/>
    <w:rsid w:val="00AD37C9"/>
    <w:pPr>
      <w:tabs>
        <w:tab w:val="center" w:pos="4536"/>
        <w:tab w:val="right" w:pos="9072"/>
      </w:tabs>
    </w:pPr>
  </w:style>
  <w:style w:type="character" w:customStyle="1" w:styleId="PieddepageCar">
    <w:name w:val="Pied de page Car"/>
    <w:basedOn w:val="Policepardfaut"/>
    <w:link w:val="Pieddepage"/>
    <w:uiPriority w:val="99"/>
    <w:rsid w:val="00AD37C9"/>
    <w:rPr>
      <w:sz w:val="24"/>
      <w:szCs w:val="24"/>
    </w:rPr>
  </w:style>
  <w:style w:type="character" w:styleId="Marquedecommentaire">
    <w:name w:val="annotation reference"/>
    <w:basedOn w:val="Policepardfaut"/>
    <w:uiPriority w:val="99"/>
    <w:semiHidden/>
    <w:unhideWhenUsed/>
    <w:rsid w:val="00AD37C9"/>
    <w:rPr>
      <w:sz w:val="16"/>
      <w:szCs w:val="16"/>
    </w:rPr>
  </w:style>
  <w:style w:type="paragraph" w:styleId="Commentaire">
    <w:name w:val="annotation text"/>
    <w:basedOn w:val="Normal"/>
    <w:link w:val="CommentaireCar"/>
    <w:uiPriority w:val="99"/>
    <w:semiHidden/>
    <w:unhideWhenUsed/>
    <w:rsid w:val="00AD37C9"/>
    <w:rPr>
      <w:sz w:val="20"/>
      <w:szCs w:val="20"/>
    </w:rPr>
  </w:style>
  <w:style w:type="character" w:customStyle="1" w:styleId="CommentaireCar">
    <w:name w:val="Commentaire Car"/>
    <w:basedOn w:val="Policepardfaut"/>
    <w:link w:val="Commentaire"/>
    <w:uiPriority w:val="99"/>
    <w:semiHidden/>
    <w:rsid w:val="00AD37C9"/>
    <w:rPr>
      <w:sz w:val="20"/>
      <w:szCs w:val="20"/>
    </w:rPr>
  </w:style>
  <w:style w:type="paragraph" w:styleId="Textedebulles">
    <w:name w:val="Balloon Text"/>
    <w:basedOn w:val="Normal"/>
    <w:link w:val="TextedebullesCar"/>
    <w:uiPriority w:val="99"/>
    <w:semiHidden/>
    <w:unhideWhenUsed/>
    <w:rsid w:val="00AD37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7C9"/>
    <w:rPr>
      <w:rFonts w:ascii="Segoe UI" w:hAnsi="Segoe UI" w:cs="Segoe UI"/>
      <w:sz w:val="18"/>
      <w:szCs w:val="18"/>
    </w:rPr>
  </w:style>
  <w:style w:type="paragraph" w:styleId="NormalWeb">
    <w:name w:val="Normal (Web)"/>
    <w:basedOn w:val="Normal"/>
    <w:uiPriority w:val="99"/>
    <w:unhideWhenUsed/>
    <w:rsid w:val="005638B5"/>
    <w:pPr>
      <w:spacing w:before="100" w:beforeAutospacing="1" w:after="142" w:line="288" w:lineRule="auto"/>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7E126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556C3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556C32"/>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0C6D7D"/>
    <w:rPr>
      <w:color w:val="0563C1" w:themeColor="hyperlink"/>
      <w:u w:val="single"/>
    </w:rPr>
  </w:style>
  <w:style w:type="character" w:customStyle="1" w:styleId="st">
    <w:name w:val="st"/>
    <w:basedOn w:val="Policepardfaut"/>
    <w:rsid w:val="00213B0A"/>
  </w:style>
  <w:style w:type="character" w:styleId="Accentuation">
    <w:name w:val="Emphasis"/>
    <w:basedOn w:val="Policepardfaut"/>
    <w:uiPriority w:val="20"/>
    <w:qFormat/>
    <w:rsid w:val="00213B0A"/>
    <w:rPr>
      <w:i/>
      <w:iCs/>
    </w:rPr>
  </w:style>
  <w:style w:type="paragraph" w:styleId="En-tte">
    <w:name w:val="header"/>
    <w:basedOn w:val="Normal"/>
    <w:link w:val="En-tteCar"/>
    <w:uiPriority w:val="99"/>
    <w:unhideWhenUsed/>
    <w:rsid w:val="007A6FBF"/>
    <w:pPr>
      <w:tabs>
        <w:tab w:val="center" w:pos="4536"/>
        <w:tab w:val="right" w:pos="9072"/>
      </w:tabs>
    </w:pPr>
  </w:style>
  <w:style w:type="character" w:customStyle="1" w:styleId="En-tteCar">
    <w:name w:val="En-tête Car"/>
    <w:basedOn w:val="Policepardfaut"/>
    <w:link w:val="En-tte"/>
    <w:uiPriority w:val="99"/>
    <w:rsid w:val="007A6FBF"/>
    <w:rPr>
      <w:sz w:val="24"/>
      <w:szCs w:val="24"/>
    </w:rPr>
  </w:style>
  <w:style w:type="paragraph" w:styleId="Objetducommentaire">
    <w:name w:val="annotation subject"/>
    <w:basedOn w:val="Commentaire"/>
    <w:next w:val="Commentaire"/>
    <w:link w:val="ObjetducommentaireCar"/>
    <w:uiPriority w:val="99"/>
    <w:semiHidden/>
    <w:unhideWhenUsed/>
    <w:rsid w:val="00A62297"/>
    <w:rPr>
      <w:b/>
      <w:bCs/>
    </w:rPr>
  </w:style>
  <w:style w:type="character" w:customStyle="1" w:styleId="ObjetducommentaireCar">
    <w:name w:val="Objet du commentaire Car"/>
    <w:basedOn w:val="CommentaireCar"/>
    <w:link w:val="Objetducommentaire"/>
    <w:uiPriority w:val="99"/>
    <w:semiHidden/>
    <w:rsid w:val="00A62297"/>
    <w:rPr>
      <w:b/>
      <w:bCs/>
      <w:sz w:val="20"/>
      <w:szCs w:val="20"/>
    </w:rPr>
  </w:style>
  <w:style w:type="paragraph" w:styleId="Rvision">
    <w:name w:val="Revision"/>
    <w:hidden/>
    <w:uiPriority w:val="99"/>
    <w:semiHidden/>
    <w:rsid w:val="00DE2B5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5022">
      <w:bodyDiv w:val="1"/>
      <w:marLeft w:val="0"/>
      <w:marRight w:val="0"/>
      <w:marTop w:val="0"/>
      <w:marBottom w:val="0"/>
      <w:divBdr>
        <w:top w:val="none" w:sz="0" w:space="0" w:color="auto"/>
        <w:left w:val="none" w:sz="0" w:space="0" w:color="auto"/>
        <w:bottom w:val="none" w:sz="0" w:space="0" w:color="auto"/>
        <w:right w:val="none" w:sz="0" w:space="0" w:color="auto"/>
      </w:divBdr>
    </w:div>
    <w:div w:id="1093281907">
      <w:bodyDiv w:val="1"/>
      <w:marLeft w:val="0"/>
      <w:marRight w:val="0"/>
      <w:marTop w:val="0"/>
      <w:marBottom w:val="0"/>
      <w:divBdr>
        <w:top w:val="none" w:sz="0" w:space="0" w:color="auto"/>
        <w:left w:val="none" w:sz="0" w:space="0" w:color="auto"/>
        <w:bottom w:val="none" w:sz="0" w:space="0" w:color="auto"/>
        <w:right w:val="none" w:sz="0" w:space="0" w:color="auto"/>
      </w:divBdr>
    </w:div>
    <w:div w:id="1158302039">
      <w:bodyDiv w:val="1"/>
      <w:marLeft w:val="0"/>
      <w:marRight w:val="0"/>
      <w:marTop w:val="0"/>
      <w:marBottom w:val="0"/>
      <w:divBdr>
        <w:top w:val="none" w:sz="0" w:space="0" w:color="auto"/>
        <w:left w:val="none" w:sz="0" w:space="0" w:color="auto"/>
        <w:bottom w:val="none" w:sz="0" w:space="0" w:color="auto"/>
        <w:right w:val="none" w:sz="0" w:space="0" w:color="auto"/>
      </w:divBdr>
      <w:divsChild>
        <w:div w:id="925727688">
          <w:marLeft w:val="0"/>
          <w:marRight w:val="0"/>
          <w:marTop w:val="0"/>
          <w:marBottom w:val="0"/>
          <w:divBdr>
            <w:top w:val="none" w:sz="0" w:space="0" w:color="auto"/>
            <w:left w:val="none" w:sz="0" w:space="0" w:color="auto"/>
            <w:bottom w:val="none" w:sz="0" w:space="0" w:color="auto"/>
            <w:right w:val="none" w:sz="0" w:space="0" w:color="auto"/>
          </w:divBdr>
        </w:div>
      </w:divsChild>
    </w:div>
    <w:div w:id="1954437192">
      <w:bodyDiv w:val="1"/>
      <w:marLeft w:val="0"/>
      <w:marRight w:val="0"/>
      <w:marTop w:val="0"/>
      <w:marBottom w:val="0"/>
      <w:divBdr>
        <w:top w:val="none" w:sz="0" w:space="0" w:color="auto"/>
        <w:left w:val="none" w:sz="0" w:space="0" w:color="auto"/>
        <w:bottom w:val="none" w:sz="0" w:space="0" w:color="auto"/>
        <w:right w:val="none" w:sz="0" w:space="0" w:color="auto"/>
      </w:divBdr>
    </w:div>
    <w:div w:id="2102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ce-emploi-public.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0C93-6CCC-4CFB-8E5B-F5A4C4DD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3283</Words>
  <Characters>18060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DECLERCK Denis</dc:creator>
  <cp:keywords/>
  <dc:description/>
  <cp:lastModifiedBy>CLAUSENER Sébastien</cp:lastModifiedBy>
  <cp:revision>2</cp:revision>
  <cp:lastPrinted>2019-10-25T09:59:00Z</cp:lastPrinted>
  <dcterms:created xsi:type="dcterms:W3CDTF">2019-11-21T07:59:00Z</dcterms:created>
  <dcterms:modified xsi:type="dcterms:W3CDTF">2019-11-21T07:59:00Z</dcterms:modified>
</cp:coreProperties>
</file>