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AB7ED" w14:textId="77777777" w:rsidR="00196758" w:rsidRPr="00EB50EB" w:rsidRDefault="00652109" w:rsidP="00EB50EB">
      <w:pPr>
        <w:spacing w:after="0"/>
        <w:jc w:val="center"/>
        <w:rPr>
          <w:rFonts w:ascii="Calibri" w:hAnsi="Calibri"/>
          <w:b/>
          <w:bCs/>
          <w:color w:val="004586"/>
          <w:sz w:val="28"/>
          <w:szCs w:val="28"/>
        </w:rPr>
      </w:pPr>
      <w:r w:rsidRPr="00EB50EB">
        <w:rPr>
          <w:b/>
          <w:bCs/>
          <w:color w:val="004586"/>
          <w:sz w:val="28"/>
          <w:szCs w:val="28"/>
        </w:rPr>
        <w:t>SECRÉTARIAT GÉNÉRAL</w:t>
      </w:r>
    </w:p>
    <w:p w14:paraId="3FC7C243" w14:textId="39A47636" w:rsidR="00A425F4" w:rsidRPr="00EB50EB" w:rsidRDefault="00616D0B" w:rsidP="00EB50EB">
      <w:pPr>
        <w:spacing w:after="0"/>
        <w:jc w:val="center"/>
        <w:rPr>
          <w:b/>
          <w:bCs/>
          <w:color w:val="004586"/>
          <w:sz w:val="28"/>
          <w:szCs w:val="28"/>
        </w:rPr>
      </w:pPr>
      <w:r w:rsidRPr="00EB50EB">
        <w:rPr>
          <w:b/>
          <w:bCs/>
          <w:color w:val="004586"/>
          <w:sz w:val="28"/>
          <w:szCs w:val="28"/>
        </w:rPr>
        <w:t xml:space="preserve">Réforme des </w:t>
      </w:r>
      <w:proofErr w:type="spellStart"/>
      <w:r w:rsidR="00A425F4" w:rsidRPr="00EB50EB">
        <w:rPr>
          <w:b/>
          <w:bCs/>
          <w:color w:val="004586"/>
          <w:sz w:val="28"/>
          <w:szCs w:val="28"/>
        </w:rPr>
        <w:t>Ensart</w:t>
      </w:r>
      <w:proofErr w:type="spellEnd"/>
    </w:p>
    <w:p w14:paraId="7557D5AC" w14:textId="642E04C3" w:rsidR="00616D0B" w:rsidRPr="00EB50EB" w:rsidRDefault="00616D0B" w:rsidP="00EB50EB">
      <w:pPr>
        <w:spacing w:after="0"/>
        <w:jc w:val="center"/>
        <w:rPr>
          <w:b/>
          <w:bCs/>
          <w:color w:val="004586"/>
          <w:sz w:val="28"/>
          <w:szCs w:val="28"/>
        </w:rPr>
      </w:pPr>
      <w:r w:rsidRPr="00EB50EB">
        <w:rPr>
          <w:b/>
          <w:bCs/>
          <w:color w:val="004586"/>
          <w:sz w:val="28"/>
          <w:szCs w:val="28"/>
        </w:rPr>
        <w:t>Synthèse de l’avis rendu par le guichet unique</w:t>
      </w:r>
    </w:p>
    <w:p w14:paraId="625C03D5" w14:textId="3CDE52E4" w:rsidR="00616D0B" w:rsidRDefault="00616D0B">
      <w:pPr>
        <w:jc w:val="center"/>
        <w:rPr>
          <w:rFonts w:ascii="Calibri" w:hAnsi="Calibri"/>
          <w:b/>
          <w:bCs/>
          <w:color w:val="004586"/>
          <w:sz w:val="32"/>
          <w:szCs w:val="32"/>
        </w:rPr>
      </w:pPr>
      <w:r>
        <w:rPr>
          <w:rFonts w:ascii="Calibri" w:hAnsi="Calibri"/>
          <w:b/>
          <w:bCs/>
          <w:color w:val="004586"/>
          <w:sz w:val="32"/>
          <w:szCs w:val="32"/>
        </w:rPr>
        <w:t>_______________________________________</w:t>
      </w:r>
    </w:p>
    <w:p w14:paraId="54798F4B" w14:textId="2F860164" w:rsidR="00616D0B" w:rsidRPr="00616D0B" w:rsidRDefault="00616D0B" w:rsidP="00616D0B">
      <w:pPr>
        <w:jc w:val="both"/>
        <w:rPr>
          <w:rFonts w:ascii="Times New Roman" w:hAnsi="Times New Roman" w:cs="Times New Roman"/>
          <w:bCs/>
        </w:rPr>
      </w:pPr>
      <w:r w:rsidRPr="00616D0B">
        <w:rPr>
          <w:rFonts w:ascii="Times New Roman" w:hAnsi="Times New Roman" w:cs="Times New Roman"/>
          <w:bCs/>
        </w:rPr>
        <w:t xml:space="preserve">La présente note fait état des </w:t>
      </w:r>
      <w:r>
        <w:rPr>
          <w:rFonts w:ascii="Times New Roman" w:hAnsi="Times New Roman" w:cs="Times New Roman"/>
          <w:bCs/>
        </w:rPr>
        <w:t>positions</w:t>
      </w:r>
      <w:r w:rsidRPr="00616D0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du</w:t>
      </w:r>
      <w:r w:rsidRPr="00616D0B">
        <w:rPr>
          <w:rFonts w:ascii="Times New Roman" w:hAnsi="Times New Roman" w:cs="Times New Roman"/>
          <w:bCs/>
        </w:rPr>
        <w:t xml:space="preserve"> guichet unique</w:t>
      </w:r>
      <w:r>
        <w:rPr>
          <w:rFonts w:ascii="Times New Roman" w:hAnsi="Times New Roman" w:cs="Times New Roman"/>
          <w:bCs/>
        </w:rPr>
        <w:t xml:space="preserve"> sur les principales mesures portées par le ministère de la culture sur la réforme du statut des professeurs des écoles nationales supérieures d’art. </w:t>
      </w:r>
    </w:p>
    <w:p w14:paraId="095E3A96" w14:textId="26C22942" w:rsidR="00420991" w:rsidRPr="006231A8" w:rsidRDefault="006231A8" w:rsidP="0062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00" w:after="100"/>
        <w:jc w:val="both"/>
        <w:rPr>
          <w:b/>
        </w:rPr>
      </w:pPr>
      <w:r w:rsidRPr="006231A8">
        <w:rPr>
          <w:b/>
        </w:rPr>
        <w:t xml:space="preserve">1. </w:t>
      </w:r>
      <w:r w:rsidR="00616D0B" w:rsidRPr="006231A8">
        <w:rPr>
          <w:b/>
        </w:rPr>
        <w:t>Rappel des principaux axes</w:t>
      </w:r>
      <w:r w:rsidR="009B2B33" w:rsidRPr="006231A8">
        <w:rPr>
          <w:b/>
        </w:rPr>
        <w:t xml:space="preserve"> de la réforme du statut des </w:t>
      </w:r>
      <w:proofErr w:type="spellStart"/>
      <w:r w:rsidR="009B2B33" w:rsidRPr="006231A8">
        <w:rPr>
          <w:b/>
        </w:rPr>
        <w:t>Ensart</w:t>
      </w:r>
      <w:proofErr w:type="spellEnd"/>
    </w:p>
    <w:p w14:paraId="180D2B5A" w14:textId="04EDEAB7" w:rsidR="00616D0B" w:rsidRDefault="00616D0B" w:rsidP="00616D0B">
      <w:pPr>
        <w:pStyle w:val="western"/>
      </w:pPr>
      <w:r>
        <w:rPr>
          <w:b/>
          <w:bCs/>
          <w:i/>
          <w:iCs/>
          <w:sz w:val="22"/>
          <w:szCs w:val="22"/>
        </w:rPr>
        <w:t xml:space="preserve">1.1. </w:t>
      </w:r>
      <w:r>
        <w:rPr>
          <w:b/>
          <w:bCs/>
          <w:i/>
          <w:iCs/>
          <w:sz w:val="22"/>
          <w:szCs w:val="22"/>
          <w:u w:val="single"/>
        </w:rPr>
        <w:t>La structure de la grille indiciaire</w:t>
      </w:r>
      <w:r w:rsidR="00EB50EB">
        <w:rPr>
          <w:b/>
          <w:bCs/>
          <w:i/>
          <w:iCs/>
          <w:sz w:val="22"/>
          <w:szCs w:val="22"/>
          <w:u w:val="single"/>
        </w:rPr>
        <w:t xml:space="preserve"> et les modalités d’avancement</w:t>
      </w:r>
      <w:r>
        <w:rPr>
          <w:b/>
          <w:bCs/>
          <w:i/>
          <w:iCs/>
          <w:sz w:val="22"/>
          <w:szCs w:val="22"/>
          <w:u w:val="single"/>
        </w:rPr>
        <w:t xml:space="preserve"> en v</w:t>
      </w:r>
      <w:r>
        <w:rPr>
          <w:b/>
          <w:bCs/>
          <w:i/>
          <w:iCs/>
          <w:sz w:val="22"/>
          <w:szCs w:val="22"/>
          <w:u w:val="single"/>
        </w:rPr>
        <w:t>igueur</w:t>
      </w:r>
    </w:p>
    <w:p w14:paraId="67F25C28" w14:textId="77777777" w:rsidR="00616D0B" w:rsidRDefault="00616D0B" w:rsidP="00EB50EB">
      <w:pPr>
        <w:pStyle w:val="western"/>
        <w:spacing w:before="0" w:beforeAutospacing="0" w:after="0"/>
      </w:pPr>
      <w:r>
        <w:rPr>
          <w:color w:val="000000"/>
          <w:sz w:val="22"/>
          <w:szCs w:val="22"/>
        </w:rPr>
        <w:t>Le corps des professeurs des écoles nationales supérieures d'art comporte actuellement :</w:t>
      </w:r>
    </w:p>
    <w:p w14:paraId="57C64E1C" w14:textId="77777777" w:rsidR="00616D0B" w:rsidRDefault="00616D0B" w:rsidP="00EB50EB">
      <w:pPr>
        <w:pStyle w:val="western"/>
        <w:spacing w:before="0" w:beforeAutospacing="0" w:after="0"/>
      </w:pPr>
      <w:r>
        <w:rPr>
          <w:color w:val="000000"/>
          <w:sz w:val="22"/>
          <w:szCs w:val="22"/>
        </w:rPr>
        <w:t>- deux classes : la 2ᵉ classe, qui comprend neuf échelons, et la 1ère classe, qui comprend cinq échelons ;</w:t>
      </w:r>
    </w:p>
    <w:p w14:paraId="6DAF715E" w14:textId="448C70BC" w:rsidR="00616D0B" w:rsidRDefault="00EB50EB" w:rsidP="00EB50EB">
      <w:pPr>
        <w:pStyle w:val="western"/>
        <w:spacing w:before="0" w:beforeAutospacing="0" w:after="0"/>
      </w:pPr>
      <w:r>
        <w:rPr>
          <w:color w:val="000000"/>
          <w:sz w:val="22"/>
          <w:szCs w:val="22"/>
        </w:rPr>
        <w:t>- et un échelon exceptionnel (HEA).</w:t>
      </w:r>
    </w:p>
    <w:p w14:paraId="57C73384" w14:textId="77777777" w:rsidR="00EB50EB" w:rsidRDefault="00EB50EB" w:rsidP="00EB50EB">
      <w:pPr>
        <w:pStyle w:val="NormalWeb"/>
        <w:spacing w:before="0" w:beforeAutospacing="0" w:after="0" w:line="240" w:lineRule="auto"/>
        <w:rPr>
          <w:color w:val="000000"/>
          <w:sz w:val="22"/>
          <w:szCs w:val="22"/>
        </w:rPr>
      </w:pPr>
    </w:p>
    <w:p w14:paraId="6D8483E3" w14:textId="13D11960" w:rsidR="00616D0B" w:rsidRDefault="00616D0B" w:rsidP="00EB50EB">
      <w:pPr>
        <w:pStyle w:val="NormalWeb"/>
        <w:spacing w:before="0" w:beforeAutospacing="0" w:after="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L’avancement d’un « grade » à un autre s’effectue actuellement en deux étapes :</w:t>
      </w:r>
    </w:p>
    <w:p w14:paraId="2249BD72" w14:textId="70048798" w:rsidR="00EB50EB" w:rsidRDefault="00EB50EB" w:rsidP="00EB50E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632CD9" w14:textId="3F84462B" w:rsidR="00EB50EB" w:rsidRDefault="00EB50EB" w:rsidP="00616D0B">
      <w:pPr>
        <w:pStyle w:val="Paragraphedeliste"/>
        <w:spacing w:after="0"/>
        <w:ind w:left="720"/>
        <w:jc w:val="both"/>
      </w:pPr>
      <w:r>
        <w:rPr>
          <w:noProof/>
        </w:rPr>
        <w:drawing>
          <wp:inline distT="0" distB="0" distL="0" distR="0" wp14:anchorId="582F724B" wp14:editId="5EE860A9">
            <wp:extent cx="6124575" cy="52673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26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A5C776" w14:textId="77777777" w:rsidR="00B13A92" w:rsidRDefault="00B13A92" w:rsidP="00EB50EB">
      <w:pPr>
        <w:pStyle w:val="western"/>
        <w:rPr>
          <w:b/>
          <w:bCs/>
          <w:i/>
          <w:iCs/>
          <w:sz w:val="22"/>
          <w:szCs w:val="22"/>
        </w:rPr>
      </w:pPr>
    </w:p>
    <w:p w14:paraId="019B8A77" w14:textId="6FA4BAF9" w:rsidR="00EB50EB" w:rsidRDefault="00EB50EB" w:rsidP="00EB50EB">
      <w:pPr>
        <w:pStyle w:val="western"/>
      </w:pPr>
      <w:r>
        <w:rPr>
          <w:b/>
          <w:bCs/>
          <w:i/>
          <w:iCs/>
          <w:sz w:val="22"/>
          <w:szCs w:val="22"/>
        </w:rPr>
        <w:t>1.</w:t>
      </w:r>
      <w:r>
        <w:rPr>
          <w:b/>
          <w:bCs/>
          <w:i/>
          <w:iCs/>
          <w:sz w:val="22"/>
          <w:szCs w:val="22"/>
        </w:rPr>
        <w:t>2</w:t>
      </w:r>
      <w:r>
        <w:rPr>
          <w:b/>
          <w:bCs/>
          <w:i/>
          <w:iCs/>
          <w:sz w:val="22"/>
          <w:szCs w:val="22"/>
        </w:rPr>
        <w:t xml:space="preserve">. </w:t>
      </w:r>
      <w:r>
        <w:rPr>
          <w:b/>
          <w:bCs/>
          <w:i/>
          <w:iCs/>
          <w:sz w:val="22"/>
          <w:szCs w:val="22"/>
          <w:u w:val="single"/>
        </w:rPr>
        <w:t>L</w:t>
      </w:r>
      <w:r>
        <w:rPr>
          <w:b/>
          <w:bCs/>
          <w:i/>
          <w:iCs/>
          <w:sz w:val="22"/>
          <w:szCs w:val="22"/>
          <w:u w:val="single"/>
        </w:rPr>
        <w:t>es principaux axes de la réforme présentée par le ministère de la culture</w:t>
      </w:r>
    </w:p>
    <w:p w14:paraId="7ECCDB96" w14:textId="1A508890" w:rsidR="00EB50EB" w:rsidRDefault="00EB50EB" w:rsidP="00EB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105DC">
        <w:rPr>
          <w:rFonts w:ascii="Times New Roman" w:eastAsia="Times New Roman" w:hAnsi="Times New Roman" w:cs="Times New Roman"/>
          <w:color w:val="000000"/>
          <w:lang w:eastAsia="fr-FR"/>
        </w:rPr>
        <w:t xml:space="preserve">- assouplissement des conditions de passage à la 1ère classe (suppression de la condition de la durée dans le 7ème échelon) et des conditions d’accès à </w:t>
      </w:r>
      <w:proofErr w:type="gramStart"/>
      <w:r w:rsidRPr="00D105DC">
        <w:rPr>
          <w:rFonts w:ascii="Times New Roman" w:eastAsia="Times New Roman" w:hAnsi="Times New Roman" w:cs="Times New Roman"/>
          <w:color w:val="000000"/>
          <w:lang w:eastAsia="fr-FR"/>
        </w:rPr>
        <w:t>la</w:t>
      </w:r>
      <w:proofErr w:type="gramEnd"/>
      <w:r w:rsidRPr="00D105DC">
        <w:rPr>
          <w:rFonts w:ascii="Times New Roman" w:eastAsia="Times New Roman" w:hAnsi="Times New Roman" w:cs="Times New Roman"/>
          <w:color w:val="000000"/>
          <w:lang w:eastAsia="fr-FR"/>
        </w:rPr>
        <w:t xml:space="preserve"> hors échelle A (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linéarisation de la HEA = </w:t>
      </w:r>
      <w:r w:rsidRPr="00D105DC">
        <w:rPr>
          <w:rFonts w:ascii="Times New Roman" w:eastAsia="Times New Roman" w:hAnsi="Times New Roman" w:cs="Times New Roman"/>
          <w:color w:val="000000"/>
          <w:lang w:eastAsia="fr-FR"/>
        </w:rPr>
        <w:t>suppression de l’échelon exceptionnel qui devient un 5ème échelon accessi</w:t>
      </w:r>
      <w:r>
        <w:rPr>
          <w:rFonts w:ascii="Times New Roman" w:eastAsia="Times New Roman" w:hAnsi="Times New Roman" w:cs="Times New Roman"/>
          <w:color w:val="000000"/>
          <w:lang w:eastAsia="fr-FR"/>
        </w:rPr>
        <w:t>ble par le jeu de l’ancienneté) ;</w:t>
      </w:r>
    </w:p>
    <w:p w14:paraId="1B7FC912" w14:textId="77777777" w:rsidR="00EB50EB" w:rsidRPr="00D105DC" w:rsidRDefault="00EB50EB" w:rsidP="00EB50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141100EE" w14:textId="0F49DFE0" w:rsidR="00EB50EB" w:rsidRDefault="00EB50EB" w:rsidP="00EB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105DC">
        <w:rPr>
          <w:rFonts w:ascii="Times New Roman" w:eastAsia="Times New Roman" w:hAnsi="Times New Roman" w:cs="Times New Roman"/>
          <w:color w:val="000000"/>
          <w:lang w:eastAsia="fr-FR"/>
        </w:rPr>
        <w:t>- introduction des mesures liées à la mise en œuvre de PPCR</w:t>
      </w:r>
      <w:r>
        <w:rPr>
          <w:rFonts w:ascii="Times New Roman" w:eastAsia="Times New Roman" w:hAnsi="Times New Roman" w:cs="Times New Roman"/>
          <w:color w:val="000000"/>
          <w:lang w:eastAsia="fr-FR"/>
        </w:rPr>
        <w:t> ;</w:t>
      </w:r>
    </w:p>
    <w:p w14:paraId="200758AB" w14:textId="77777777" w:rsidR="00EB50EB" w:rsidRPr="00D105DC" w:rsidRDefault="00EB50EB" w:rsidP="00EB50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6B5D729D" w14:textId="4B6795C0" w:rsidR="00EB50EB" w:rsidRPr="00D105DC" w:rsidRDefault="00EB50EB" w:rsidP="00EB5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fr-FR"/>
        </w:rPr>
      </w:pPr>
      <w:r w:rsidRPr="00D105DC">
        <w:rPr>
          <w:rFonts w:ascii="Times New Roman" w:eastAsia="Times New Roman" w:hAnsi="Times New Roman" w:cs="Times New Roman"/>
          <w:color w:val="000000"/>
          <w:lang w:eastAsia="fr-FR"/>
        </w:rPr>
        <w:t>- revalorisation « salariale »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 : </w:t>
      </w:r>
      <w:r w:rsidRPr="00D105DC">
        <w:rPr>
          <w:rFonts w:ascii="Times New Roman" w:eastAsia="Times New Roman" w:hAnsi="Times New Roman" w:cs="Times New Roman"/>
          <w:color w:val="000000"/>
          <w:lang w:eastAsia="fr-FR"/>
        </w:rPr>
        <w:t>revalorisation indiciaire allant au-delà de</w:t>
      </w:r>
      <w:r>
        <w:rPr>
          <w:rFonts w:ascii="Times New Roman" w:eastAsia="Times New Roman" w:hAnsi="Times New Roman" w:cs="Times New Roman"/>
          <w:color w:val="000000"/>
          <w:lang w:eastAsia="fr-FR"/>
        </w:rPr>
        <w:t>s 9 points</w:t>
      </w:r>
      <w:r w:rsidRPr="00D105DC">
        <w:rPr>
          <w:rFonts w:ascii="Times New Roman" w:eastAsia="Times New Roman" w:hAnsi="Times New Roman" w:cs="Times New Roman"/>
          <w:color w:val="000000"/>
          <w:lang w:eastAsia="fr-FR"/>
        </w:rPr>
        <w:t xml:space="preserve"> PPCR</w:t>
      </w:r>
      <w:r>
        <w:rPr>
          <w:rFonts w:ascii="Times New Roman" w:eastAsia="Times New Roman" w:hAnsi="Times New Roman" w:cs="Times New Roman"/>
          <w:color w:val="000000"/>
          <w:lang w:eastAsia="fr-FR"/>
        </w:rPr>
        <w:t xml:space="preserve">, </w:t>
      </w:r>
      <w:r w:rsidRPr="00D105DC">
        <w:rPr>
          <w:rFonts w:ascii="Times New Roman" w:eastAsia="Times New Roman" w:hAnsi="Times New Roman" w:cs="Times New Roman"/>
          <w:color w:val="000000"/>
          <w:lang w:eastAsia="fr-FR"/>
        </w:rPr>
        <w:t>création de 2 échelons dans le 1</w:t>
      </w:r>
      <w:r w:rsidRPr="00D105DC">
        <w:rPr>
          <w:rFonts w:ascii="Times New Roman" w:eastAsia="Times New Roman" w:hAnsi="Times New Roman" w:cs="Times New Roman"/>
          <w:color w:val="000000"/>
          <w:vertAlign w:val="superscript"/>
          <w:lang w:eastAsia="fr-FR"/>
        </w:rPr>
        <w:t>er</w:t>
      </w:r>
      <w:r w:rsidRPr="00D105DC">
        <w:rPr>
          <w:rFonts w:ascii="Times New Roman" w:eastAsia="Times New Roman" w:hAnsi="Times New Roman" w:cs="Times New Roman"/>
          <w:color w:val="000000"/>
          <w:lang w:eastAsia="fr-FR"/>
        </w:rPr>
        <w:t xml:space="preserve"> grade et création d’une HEB contingentée à 5 % des effectifs du corps.</w:t>
      </w:r>
    </w:p>
    <w:p w14:paraId="3AAD9B28" w14:textId="05D7A708" w:rsidR="00EB50EB" w:rsidRDefault="00EB50EB" w:rsidP="00B13A92">
      <w:pPr>
        <w:spacing w:after="0"/>
        <w:jc w:val="both"/>
      </w:pPr>
    </w:p>
    <w:p w14:paraId="3D2F87A4" w14:textId="7F640C72" w:rsidR="00B13A92" w:rsidRPr="00B13A92" w:rsidRDefault="00B13A92" w:rsidP="00B13A92">
      <w:pPr>
        <w:spacing w:after="0"/>
        <w:jc w:val="both"/>
        <w:rPr>
          <w:rFonts w:ascii="Times New Roman" w:hAnsi="Times New Roman" w:cs="Times New Roman"/>
        </w:rPr>
      </w:pPr>
      <w:r w:rsidRPr="00B13A92">
        <w:rPr>
          <w:rFonts w:ascii="Times New Roman" w:hAnsi="Times New Roman" w:cs="Times New Roman"/>
          <w:b/>
          <w:u w:val="single"/>
        </w:rPr>
        <w:t>Grille indiciaire et modalités d’avancement à l’issue de la montée en charge de la réforme en 2020</w:t>
      </w:r>
      <w:r>
        <w:rPr>
          <w:rFonts w:ascii="Times New Roman" w:hAnsi="Times New Roman" w:cs="Times New Roman"/>
        </w:rPr>
        <w:t> :</w:t>
      </w:r>
    </w:p>
    <w:p w14:paraId="2DD1F454" w14:textId="78EFA536" w:rsidR="00EB50EB" w:rsidRDefault="00B13A92" w:rsidP="00616D0B">
      <w:pPr>
        <w:pStyle w:val="Paragraphedeliste"/>
        <w:spacing w:after="0"/>
        <w:ind w:left="720"/>
        <w:jc w:val="both"/>
      </w:pPr>
      <w:r w:rsidRPr="00B13A92">
        <w:drawing>
          <wp:inline distT="0" distB="0" distL="0" distR="0" wp14:anchorId="1CA1F62A" wp14:editId="799125AA">
            <wp:extent cx="5759450" cy="6780530"/>
            <wp:effectExtent l="0" t="0" r="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78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381DD" w14:textId="7A43E005" w:rsidR="006231A8" w:rsidRPr="006231A8" w:rsidRDefault="006231A8" w:rsidP="00623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100" w:after="100"/>
        <w:jc w:val="both"/>
        <w:rPr>
          <w:b/>
        </w:rPr>
      </w:pPr>
      <w:r>
        <w:rPr>
          <w:b/>
        </w:rPr>
        <w:t>2</w:t>
      </w:r>
      <w:r w:rsidRPr="006231A8">
        <w:rPr>
          <w:b/>
        </w:rPr>
        <w:t xml:space="preserve">. </w:t>
      </w:r>
      <w:r>
        <w:rPr>
          <w:b/>
        </w:rPr>
        <w:t>La position du guichet unique</w:t>
      </w:r>
    </w:p>
    <w:p w14:paraId="4529F7C0" w14:textId="7C20EF7A" w:rsidR="006231A8" w:rsidRDefault="006231A8" w:rsidP="006231A8">
      <w:pPr>
        <w:pStyle w:val="western"/>
        <w:numPr>
          <w:ilvl w:val="1"/>
          <w:numId w:val="18"/>
        </w:numPr>
        <w:rPr>
          <w:b/>
          <w:i/>
          <w:sz w:val="22"/>
          <w:szCs w:val="22"/>
        </w:rPr>
      </w:pPr>
      <w:r w:rsidRPr="006231A8">
        <w:rPr>
          <w:b/>
          <w:i/>
          <w:sz w:val="22"/>
          <w:szCs w:val="22"/>
          <w:u w:val="single"/>
        </w:rPr>
        <w:t>S’agissant de la structure générale de la grille et des modalités d’avancement </w:t>
      </w:r>
      <w:r w:rsidRPr="006231A8">
        <w:rPr>
          <w:b/>
          <w:i/>
          <w:sz w:val="22"/>
          <w:szCs w:val="22"/>
        </w:rPr>
        <w:t>:</w:t>
      </w:r>
    </w:p>
    <w:p w14:paraId="1690051F" w14:textId="77777777" w:rsidR="006C216F" w:rsidRPr="006C216F" w:rsidRDefault="006C216F" w:rsidP="006C216F">
      <w:pPr>
        <w:pStyle w:val="western"/>
        <w:ind w:left="360"/>
        <w:rPr>
          <w:b/>
          <w:i/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231A8" w14:paraId="469EAD24" w14:textId="77777777" w:rsidTr="006C216F">
        <w:tc>
          <w:tcPr>
            <w:tcW w:w="4530" w:type="dxa"/>
            <w:shd w:val="clear" w:color="auto" w:fill="DEEAF6" w:themeFill="accent1" w:themeFillTint="33"/>
          </w:tcPr>
          <w:p w14:paraId="761249A7" w14:textId="77777777" w:rsidR="006231A8" w:rsidRDefault="006231A8" w:rsidP="00AA7A1C">
            <w:pPr>
              <w:pStyle w:val="western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Proposition du MC rejetée</w:t>
            </w:r>
          </w:p>
        </w:tc>
        <w:tc>
          <w:tcPr>
            <w:tcW w:w="4530" w:type="dxa"/>
            <w:shd w:val="clear" w:color="auto" w:fill="DEEAF6" w:themeFill="accent1" w:themeFillTint="33"/>
          </w:tcPr>
          <w:p w14:paraId="36A081C1" w14:textId="77777777" w:rsidR="006231A8" w:rsidRDefault="006231A8" w:rsidP="00AA7A1C">
            <w:pPr>
              <w:pStyle w:val="western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Proposition du MC acceptée</w:t>
            </w:r>
          </w:p>
        </w:tc>
      </w:tr>
      <w:tr w:rsidR="006231A8" w14:paraId="263BA5F2" w14:textId="77777777" w:rsidTr="006C216F">
        <w:tc>
          <w:tcPr>
            <w:tcW w:w="4530" w:type="dxa"/>
          </w:tcPr>
          <w:p w14:paraId="50652AB9" w14:textId="77777777" w:rsidR="006231A8" w:rsidRPr="00E16035" w:rsidRDefault="006231A8" w:rsidP="00AA7A1C">
            <w:pPr>
              <w:pStyle w:val="western"/>
              <w:jc w:val="both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Passage de la 2</w:t>
            </w:r>
            <w:r w:rsidRPr="00E16035">
              <w:rPr>
                <w:sz w:val="22"/>
                <w:szCs w:val="22"/>
                <w:vertAlign w:val="superscript"/>
              </w:rPr>
              <w:t>ème</w:t>
            </w:r>
            <w:r w:rsidRPr="00E16035">
              <w:rPr>
                <w:sz w:val="22"/>
                <w:szCs w:val="22"/>
              </w:rPr>
              <w:t xml:space="preserve"> classe à la 1</w:t>
            </w:r>
            <w:r w:rsidRPr="00E16035">
              <w:rPr>
                <w:sz w:val="22"/>
                <w:szCs w:val="22"/>
                <w:vertAlign w:val="superscript"/>
              </w:rPr>
              <w:t>ère</w:t>
            </w:r>
            <w:r w:rsidRPr="00E16035">
              <w:rPr>
                <w:sz w:val="22"/>
                <w:szCs w:val="22"/>
              </w:rPr>
              <w:t xml:space="preserve"> classe : suppression de la durée d’un an dans la 7</w:t>
            </w:r>
            <w:r w:rsidRPr="00E16035">
              <w:rPr>
                <w:sz w:val="22"/>
                <w:szCs w:val="22"/>
                <w:vertAlign w:val="superscript"/>
              </w:rPr>
              <w:t>ème</w:t>
            </w:r>
            <w:r w:rsidRPr="00E16035">
              <w:rPr>
                <w:sz w:val="22"/>
                <w:szCs w:val="22"/>
              </w:rPr>
              <w:t xml:space="preserve"> échelon refusée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530" w:type="dxa"/>
          </w:tcPr>
          <w:p w14:paraId="5424E395" w14:textId="77777777" w:rsidR="006231A8" w:rsidRPr="00E16035" w:rsidRDefault="006231A8" w:rsidP="00AA7A1C">
            <w:pPr>
              <w:pStyle w:val="western"/>
              <w:jc w:val="both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Linéarisation de la HEA acceptée</w:t>
            </w:r>
            <w:r>
              <w:rPr>
                <w:sz w:val="22"/>
                <w:szCs w:val="22"/>
              </w:rPr>
              <w:t>.</w:t>
            </w:r>
          </w:p>
        </w:tc>
      </w:tr>
      <w:tr w:rsidR="006231A8" w14:paraId="71814714" w14:textId="77777777" w:rsidTr="006C216F">
        <w:tc>
          <w:tcPr>
            <w:tcW w:w="4530" w:type="dxa"/>
          </w:tcPr>
          <w:p w14:paraId="5959EE15" w14:textId="2A8DBD96" w:rsidR="006231A8" w:rsidRPr="00E16035" w:rsidRDefault="006231A8" w:rsidP="00AA7A1C">
            <w:pPr>
              <w:pStyle w:val="western"/>
              <w:jc w:val="both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Refus de la création de 2 échelons supplémentaires dans la 2</w:t>
            </w:r>
            <w:r w:rsidRPr="00E16035">
              <w:rPr>
                <w:sz w:val="22"/>
                <w:szCs w:val="22"/>
                <w:vertAlign w:val="superscript"/>
              </w:rPr>
              <w:t>ème</w:t>
            </w:r>
            <w:r w:rsidRPr="00E16035">
              <w:rPr>
                <w:sz w:val="22"/>
                <w:szCs w:val="22"/>
              </w:rPr>
              <w:t xml:space="preserve"> classe (</w:t>
            </w:r>
            <w:r w:rsidR="004C21CB">
              <w:rPr>
                <w:sz w:val="22"/>
                <w:szCs w:val="22"/>
              </w:rPr>
              <w:t xml:space="preserve">car </w:t>
            </w:r>
            <w:r w:rsidRPr="00E16035">
              <w:rPr>
                <w:sz w:val="22"/>
                <w:szCs w:val="22"/>
              </w:rPr>
              <w:t>revalorisation allant au-delà de</w:t>
            </w:r>
            <w:r>
              <w:rPr>
                <w:sz w:val="22"/>
                <w:szCs w:val="22"/>
              </w:rPr>
              <w:t>s préconisations</w:t>
            </w:r>
            <w:r w:rsidRPr="00E16035">
              <w:rPr>
                <w:sz w:val="22"/>
                <w:szCs w:val="22"/>
              </w:rPr>
              <w:t xml:space="preserve"> PPCR</w:t>
            </w:r>
            <w:r w:rsidR="004C21CB">
              <w:rPr>
                <w:sz w:val="22"/>
                <w:szCs w:val="22"/>
              </w:rPr>
              <w:t>)</w:t>
            </w:r>
            <w:bookmarkStart w:id="0" w:name="_GoBack"/>
            <w:bookmarkEnd w:id="0"/>
            <w:r>
              <w:rPr>
                <w:sz w:val="22"/>
                <w:szCs w:val="22"/>
              </w:rPr>
              <w:t>.</w:t>
            </w:r>
            <w:r w:rsidRPr="00E160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0" w:type="dxa"/>
          </w:tcPr>
          <w:p w14:paraId="6A0F8C2B" w14:textId="77777777" w:rsidR="006231A8" w:rsidRPr="00E16035" w:rsidRDefault="006231A8" w:rsidP="00AA7A1C">
            <w:pPr>
              <w:pStyle w:val="western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Création d’une</w:t>
            </w:r>
            <w:r w:rsidRPr="00E16035">
              <w:rPr>
                <w:sz w:val="22"/>
                <w:szCs w:val="22"/>
              </w:rPr>
              <w:t xml:space="preserve"> HEB acceptée mais avec un accès conditionné à l’exercice préalable de fonctions de responsabilité à dimension nationale ou de fonctions de direction. </w:t>
            </w:r>
          </w:p>
        </w:tc>
      </w:tr>
      <w:tr w:rsidR="006231A8" w14:paraId="72956678" w14:textId="77777777" w:rsidTr="006C216F">
        <w:tc>
          <w:tcPr>
            <w:tcW w:w="4530" w:type="dxa"/>
          </w:tcPr>
          <w:p w14:paraId="0790B4F8" w14:textId="77777777" w:rsidR="006231A8" w:rsidRPr="00E16035" w:rsidRDefault="006231A8" w:rsidP="00AA7A1C">
            <w:pPr>
              <w:pStyle w:val="western"/>
              <w:jc w:val="both"/>
              <w:rPr>
                <w:sz w:val="22"/>
                <w:szCs w:val="22"/>
              </w:rPr>
            </w:pPr>
            <w:r w:rsidRPr="00E16035">
              <w:rPr>
                <w:sz w:val="22"/>
                <w:szCs w:val="22"/>
              </w:rPr>
              <w:t>Maintien d’un 5</w:t>
            </w:r>
            <w:r w:rsidRPr="00E16035">
              <w:rPr>
                <w:sz w:val="22"/>
                <w:szCs w:val="22"/>
                <w:vertAlign w:val="superscript"/>
              </w:rPr>
              <w:t>ème</w:t>
            </w:r>
            <w:r w:rsidRPr="00E16035">
              <w:rPr>
                <w:sz w:val="22"/>
                <w:szCs w:val="22"/>
              </w:rPr>
              <w:t xml:space="preserve"> échelon avant le passage en HEA (alors que dans la proposition MC le 5</w:t>
            </w:r>
            <w:r w:rsidRPr="00E16035">
              <w:rPr>
                <w:sz w:val="22"/>
                <w:szCs w:val="22"/>
                <w:vertAlign w:val="superscript"/>
              </w:rPr>
              <w:t>ème</w:t>
            </w:r>
            <w:r w:rsidRPr="00E16035">
              <w:rPr>
                <w:sz w:val="22"/>
                <w:szCs w:val="22"/>
              </w:rPr>
              <w:t xml:space="preserve"> échelon passait directement au niveau HEA) </w:t>
            </w:r>
          </w:p>
        </w:tc>
        <w:tc>
          <w:tcPr>
            <w:tcW w:w="4530" w:type="dxa"/>
          </w:tcPr>
          <w:p w14:paraId="557B3462" w14:textId="77777777" w:rsidR="006231A8" w:rsidRPr="00E16035" w:rsidRDefault="006231A8" w:rsidP="00AA7A1C">
            <w:pPr>
              <w:pStyle w:val="western"/>
              <w:jc w:val="both"/>
              <w:rPr>
                <w:sz w:val="22"/>
                <w:szCs w:val="22"/>
              </w:rPr>
            </w:pPr>
          </w:p>
        </w:tc>
      </w:tr>
    </w:tbl>
    <w:p w14:paraId="0CF225C5" w14:textId="77777777" w:rsidR="006C216F" w:rsidRDefault="006C216F" w:rsidP="006C216F">
      <w:pPr>
        <w:pStyle w:val="western"/>
        <w:ind w:left="360"/>
        <w:rPr>
          <w:b/>
          <w:i/>
          <w:sz w:val="22"/>
          <w:szCs w:val="22"/>
          <w:u w:val="single"/>
        </w:rPr>
      </w:pPr>
    </w:p>
    <w:p w14:paraId="4FD34B86" w14:textId="4075D1F6" w:rsidR="006231A8" w:rsidRPr="006231A8" w:rsidRDefault="006231A8" w:rsidP="006C216F">
      <w:pPr>
        <w:pStyle w:val="western"/>
        <w:numPr>
          <w:ilvl w:val="1"/>
          <w:numId w:val="18"/>
        </w:numPr>
        <w:rPr>
          <w:b/>
          <w:i/>
          <w:sz w:val="22"/>
          <w:szCs w:val="22"/>
          <w:u w:val="single"/>
        </w:rPr>
      </w:pPr>
      <w:r w:rsidRPr="006231A8">
        <w:rPr>
          <w:b/>
          <w:i/>
          <w:sz w:val="22"/>
          <w:szCs w:val="22"/>
          <w:u w:val="single"/>
        </w:rPr>
        <w:t>S’agissant de la revalorisation indiciaire</w:t>
      </w:r>
    </w:p>
    <w:p w14:paraId="7D229148" w14:textId="7922E880" w:rsidR="006231A8" w:rsidRDefault="006231A8" w:rsidP="006231A8">
      <w:pPr>
        <w:pStyle w:val="western"/>
        <w:jc w:val="both"/>
        <w:rPr>
          <w:sz w:val="22"/>
          <w:szCs w:val="22"/>
        </w:rPr>
      </w:pPr>
      <w:r w:rsidRPr="00E16035">
        <w:rPr>
          <w:sz w:val="22"/>
          <w:szCs w:val="22"/>
        </w:rPr>
        <w:t xml:space="preserve">Le GU a proposé une grille indiciaire </w:t>
      </w:r>
      <w:r>
        <w:rPr>
          <w:sz w:val="22"/>
          <w:szCs w:val="22"/>
        </w:rPr>
        <w:t>alternative (cf. annexe 1)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Dans le cadre de cette nouvelle grille, les professeurs des </w:t>
      </w:r>
      <w:proofErr w:type="spellStart"/>
      <w:r>
        <w:rPr>
          <w:sz w:val="22"/>
          <w:szCs w:val="22"/>
        </w:rPr>
        <w:t>Ensart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obtiendraient</w:t>
      </w:r>
      <w:r>
        <w:rPr>
          <w:sz w:val="22"/>
          <w:szCs w:val="22"/>
        </w:rPr>
        <w:t xml:space="preserve"> entre 2017 et 2020 </w:t>
      </w:r>
      <w:r>
        <w:rPr>
          <w:sz w:val="22"/>
          <w:szCs w:val="22"/>
        </w:rPr>
        <w:t xml:space="preserve">un gain moyen </w:t>
      </w:r>
      <w:r>
        <w:rPr>
          <w:sz w:val="22"/>
          <w:szCs w:val="22"/>
        </w:rPr>
        <w:t xml:space="preserve">(en </w:t>
      </w:r>
      <w:r>
        <w:rPr>
          <w:sz w:val="22"/>
          <w:szCs w:val="22"/>
        </w:rPr>
        <w:t>indice majoré</w:t>
      </w:r>
      <w:r>
        <w:rPr>
          <w:sz w:val="22"/>
          <w:szCs w:val="22"/>
        </w:rPr>
        <w:t>)</w:t>
      </w:r>
      <w:r>
        <w:rPr>
          <w:sz w:val="22"/>
          <w:szCs w:val="22"/>
        </w:rPr>
        <w:t xml:space="preserve"> de l’ordre de 20 points</w:t>
      </w:r>
      <w:r>
        <w:rPr>
          <w:sz w:val="22"/>
          <w:szCs w:val="22"/>
        </w:rPr>
        <w:t xml:space="preserve">. </w:t>
      </w:r>
    </w:p>
    <w:p w14:paraId="322C77CF" w14:textId="290C0524" w:rsidR="006231A8" w:rsidRDefault="006231A8" w:rsidP="006231A8">
      <w:pPr>
        <w:pStyle w:val="western"/>
        <w:rPr>
          <w:sz w:val="22"/>
          <w:szCs w:val="22"/>
        </w:rPr>
      </w:pPr>
      <w:r w:rsidRPr="006231A8">
        <w:drawing>
          <wp:inline distT="0" distB="0" distL="0" distR="0" wp14:anchorId="310F851A" wp14:editId="56EA7896">
            <wp:extent cx="5758815" cy="75057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678" cy="751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31A8" w:rsidSect="00B13A92">
      <w:headerReference w:type="default" r:id="rId11"/>
      <w:pgSz w:w="11906" w:h="16838"/>
      <w:pgMar w:top="709" w:right="1418" w:bottom="1418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950EB" w14:textId="77777777" w:rsidR="00180135" w:rsidRDefault="00180135" w:rsidP="00515F9F">
      <w:pPr>
        <w:spacing w:after="0" w:line="240" w:lineRule="auto"/>
      </w:pPr>
      <w:r>
        <w:separator/>
      </w:r>
    </w:p>
  </w:endnote>
  <w:endnote w:type="continuationSeparator" w:id="0">
    <w:p w14:paraId="0ED62381" w14:textId="77777777" w:rsidR="00180135" w:rsidRDefault="00180135" w:rsidP="0051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C25F3" w14:textId="77777777" w:rsidR="00180135" w:rsidRDefault="00180135" w:rsidP="00515F9F">
      <w:pPr>
        <w:spacing w:after="0" w:line="240" w:lineRule="auto"/>
      </w:pPr>
      <w:r>
        <w:separator/>
      </w:r>
    </w:p>
  </w:footnote>
  <w:footnote w:type="continuationSeparator" w:id="0">
    <w:p w14:paraId="5B0B1907" w14:textId="77777777" w:rsidR="00180135" w:rsidRDefault="00180135" w:rsidP="0051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DAC6" w14:textId="20EAA0F8" w:rsidR="00616D0B" w:rsidRDefault="00616D0B">
    <w:pPr>
      <w:pStyle w:val="En-tte"/>
    </w:pPr>
    <w:r>
      <w:t>SG_SRH_SDS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4BBB"/>
    <w:multiLevelType w:val="multilevel"/>
    <w:tmpl w:val="0644A4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1F6A43"/>
    <w:multiLevelType w:val="multilevel"/>
    <w:tmpl w:val="BA18BBCA"/>
    <w:lvl w:ilvl="0">
      <w:start w:val="1"/>
      <w:numFmt w:val="decimal"/>
      <w:lvlText w:val="%1)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1C41AE7"/>
    <w:multiLevelType w:val="multilevel"/>
    <w:tmpl w:val="99B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4F62D8C"/>
    <w:multiLevelType w:val="multilevel"/>
    <w:tmpl w:val="FF40D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66491C"/>
    <w:multiLevelType w:val="multilevel"/>
    <w:tmpl w:val="10B43B98"/>
    <w:lvl w:ilvl="0">
      <w:start w:val="1"/>
      <w:numFmt w:val="upperLetter"/>
      <w:lvlText w:val="%1)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B6C0A31"/>
    <w:multiLevelType w:val="multilevel"/>
    <w:tmpl w:val="376EC1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C8D5198"/>
    <w:multiLevelType w:val="multilevel"/>
    <w:tmpl w:val="08BE9C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A83A9F"/>
    <w:multiLevelType w:val="hybridMultilevel"/>
    <w:tmpl w:val="5BC059B8"/>
    <w:lvl w:ilvl="0" w:tplc="4ADA0E4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607C4"/>
    <w:multiLevelType w:val="multilevel"/>
    <w:tmpl w:val="3AD44966"/>
    <w:lvl w:ilvl="0">
      <w:start w:val="1"/>
      <w:numFmt w:val="decimal"/>
      <w:lvlText w:val="%1)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45B7396C"/>
    <w:multiLevelType w:val="hybridMultilevel"/>
    <w:tmpl w:val="2C180CDE"/>
    <w:lvl w:ilvl="0" w:tplc="4ADA0E42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D50A8"/>
    <w:multiLevelType w:val="multilevel"/>
    <w:tmpl w:val="1D00D720"/>
    <w:lvl w:ilvl="0">
      <w:start w:val="1"/>
      <w:numFmt w:val="upperLetter"/>
      <w:lvlText w:val="%1)"/>
      <w:lvlJc w:val="left"/>
      <w:pPr>
        <w:ind w:left="0" w:hanging="360"/>
      </w:pPr>
      <w:rPr>
        <w:b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5D3C7F7D"/>
    <w:multiLevelType w:val="multilevel"/>
    <w:tmpl w:val="7AF0EE90"/>
    <w:lvl w:ilvl="0">
      <w:start w:val="1"/>
      <w:numFmt w:val="decimal"/>
      <w:lvlText w:val="%1)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E6F1D0A"/>
    <w:multiLevelType w:val="hybridMultilevel"/>
    <w:tmpl w:val="937EF2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932AB"/>
    <w:multiLevelType w:val="hybridMultilevel"/>
    <w:tmpl w:val="44446E70"/>
    <w:lvl w:ilvl="0" w:tplc="32FA2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929E0"/>
    <w:multiLevelType w:val="hybridMultilevel"/>
    <w:tmpl w:val="8004B3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2424E"/>
    <w:multiLevelType w:val="multilevel"/>
    <w:tmpl w:val="C3D2D742"/>
    <w:lvl w:ilvl="0">
      <w:start w:val="1"/>
      <w:numFmt w:val="decimal"/>
      <w:lvlText w:val="%1)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6A1A3CB7"/>
    <w:multiLevelType w:val="multilevel"/>
    <w:tmpl w:val="ED86B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B3707D"/>
    <w:multiLevelType w:val="multilevel"/>
    <w:tmpl w:val="968ACB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0C3178"/>
    <w:multiLevelType w:val="hybridMultilevel"/>
    <w:tmpl w:val="39A61EC0"/>
    <w:lvl w:ilvl="0" w:tplc="0F42C9E0">
      <w:start w:val="2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0"/>
  </w:num>
  <w:num w:numId="5">
    <w:abstractNumId w:val="8"/>
  </w:num>
  <w:num w:numId="6">
    <w:abstractNumId w:val="1"/>
  </w:num>
  <w:num w:numId="7">
    <w:abstractNumId w:val="17"/>
  </w:num>
  <w:num w:numId="8">
    <w:abstractNumId w:val="6"/>
  </w:num>
  <w:num w:numId="9">
    <w:abstractNumId w:val="2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2"/>
  </w:num>
  <w:num w:numId="15">
    <w:abstractNumId w:val="9"/>
  </w:num>
  <w:num w:numId="16">
    <w:abstractNumId w:val="16"/>
  </w:num>
  <w:num w:numId="17">
    <w:abstractNumId w:val="18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58"/>
    <w:rsid w:val="000509D9"/>
    <w:rsid w:val="00180135"/>
    <w:rsid w:val="00196758"/>
    <w:rsid w:val="001E2313"/>
    <w:rsid w:val="00223CF1"/>
    <w:rsid w:val="00277FD5"/>
    <w:rsid w:val="0029227F"/>
    <w:rsid w:val="002A2B21"/>
    <w:rsid w:val="002E6D96"/>
    <w:rsid w:val="00420991"/>
    <w:rsid w:val="0047470E"/>
    <w:rsid w:val="00485DF1"/>
    <w:rsid w:val="004C21CB"/>
    <w:rsid w:val="00515F9F"/>
    <w:rsid w:val="0053265D"/>
    <w:rsid w:val="00616D0B"/>
    <w:rsid w:val="006231A8"/>
    <w:rsid w:val="00652109"/>
    <w:rsid w:val="006C216F"/>
    <w:rsid w:val="007A002F"/>
    <w:rsid w:val="007F28BD"/>
    <w:rsid w:val="00974D50"/>
    <w:rsid w:val="00976147"/>
    <w:rsid w:val="00980D54"/>
    <w:rsid w:val="009B2B33"/>
    <w:rsid w:val="00A425F4"/>
    <w:rsid w:val="00A96DFC"/>
    <w:rsid w:val="00AB0455"/>
    <w:rsid w:val="00AB3970"/>
    <w:rsid w:val="00B13A92"/>
    <w:rsid w:val="00B238AC"/>
    <w:rsid w:val="00BA7437"/>
    <w:rsid w:val="00D105DC"/>
    <w:rsid w:val="00DE1B86"/>
    <w:rsid w:val="00E16035"/>
    <w:rsid w:val="00EB50EB"/>
    <w:rsid w:val="00F86471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76D3AC"/>
  <w15:docId w15:val="{1248E49D-2E6C-4CAA-949E-04BCF2F2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8669A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04007A"/>
    <w:rPr>
      <w:b/>
      <w:bCs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651D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866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0Texte">
    <w:name w:val="0_Texte"/>
    <w:basedOn w:val="Normal"/>
    <w:qFormat/>
    <w:rsid w:val="0078669A"/>
    <w:pPr>
      <w:widowControl w:val="0"/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sz w:val="21"/>
      <w:szCs w:val="24"/>
      <w:lang w:eastAsia="zh-CN" w:bidi="hi-IN"/>
    </w:rPr>
  </w:style>
  <w:style w:type="paragraph" w:customStyle="1" w:styleId="Textbody">
    <w:name w:val="Text body"/>
    <w:basedOn w:val="Normal"/>
    <w:qFormat/>
    <w:rsid w:val="00C11B5A"/>
    <w:pPr>
      <w:widowControl w:val="0"/>
      <w:suppressAutoHyphens/>
      <w:spacing w:after="120" w:line="240" w:lineRule="auto"/>
      <w:textAlignment w:val="baseline"/>
    </w:pPr>
    <w:rPr>
      <w:rFonts w:ascii="Calibri" w:eastAsia="Calibri" w:hAnsi="Calibri" w:cs="Calibri"/>
      <w:sz w:val="21"/>
      <w:szCs w:val="24"/>
      <w:lang w:eastAsia="zh-CN" w:bidi="hi-IN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6D9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6D96"/>
    <w:rPr>
      <w:b/>
      <w:bCs/>
      <w:sz w:val="20"/>
      <w:szCs w:val="20"/>
    </w:rPr>
  </w:style>
  <w:style w:type="paragraph" w:customStyle="1" w:styleId="western">
    <w:name w:val="western"/>
    <w:basedOn w:val="Normal"/>
    <w:rsid w:val="00A425F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515F9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5F9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5F9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5F9F"/>
    <w:rPr>
      <w:vertAlign w:val="superscript"/>
    </w:rPr>
  </w:style>
  <w:style w:type="table" w:styleId="Grilledutableau">
    <w:name w:val="Table Grid"/>
    <w:basedOn w:val="TableauNormal"/>
    <w:uiPriority w:val="39"/>
    <w:rsid w:val="009B2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D0B"/>
  </w:style>
  <w:style w:type="paragraph" w:styleId="Pieddepage">
    <w:name w:val="footer"/>
    <w:basedOn w:val="Normal"/>
    <w:link w:val="PieddepageCar"/>
    <w:uiPriority w:val="99"/>
    <w:unhideWhenUsed/>
    <w:rsid w:val="0061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75AA-B86D-4725-B337-C1041A79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mortier</dc:creator>
  <cp:lastModifiedBy>stephanie.ricatti</cp:lastModifiedBy>
  <cp:revision>3</cp:revision>
  <cp:lastPrinted>2018-11-14T13:15:00Z</cp:lastPrinted>
  <dcterms:created xsi:type="dcterms:W3CDTF">2018-12-14T14:46:00Z</dcterms:created>
  <dcterms:modified xsi:type="dcterms:W3CDTF">2018-12-14T14:46:00Z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