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2E8" w:rsidRDefault="00FB72E8" w:rsidP="00AF62AD">
      <w:pPr>
        <w:ind w:left="-567" w:right="-709" w:hanging="142"/>
        <w:rPr>
          <w:rFonts w:cs="Times New Roman"/>
          <w:b/>
          <w:sz w:val="24"/>
        </w:rPr>
      </w:pPr>
      <w:r>
        <w:rPr>
          <w:rFonts w:cs="Times New Roman"/>
          <w:b/>
          <w:sz w:val="24"/>
        </w:rPr>
        <w:t xml:space="preserve">LE PONT SUPERIEUR  </w:t>
      </w:r>
    </w:p>
    <w:p w:rsidR="00707E6D" w:rsidRPr="00C45864" w:rsidRDefault="00707E6D" w:rsidP="00AF62AD">
      <w:pPr>
        <w:ind w:left="-567" w:right="-709" w:hanging="142"/>
        <w:rPr>
          <w:rFonts w:cs="Times New Roman"/>
          <w:sz w:val="24"/>
        </w:rPr>
      </w:pPr>
      <w:r w:rsidRPr="00C45864">
        <w:rPr>
          <w:rFonts w:cs="Times New Roman"/>
          <w:b/>
          <w:sz w:val="24"/>
        </w:rPr>
        <w:t>Annex</w:t>
      </w:r>
      <w:r w:rsidR="00B71083" w:rsidRPr="00C45864">
        <w:rPr>
          <w:rFonts w:cs="Times New Roman"/>
          <w:b/>
          <w:sz w:val="24"/>
        </w:rPr>
        <w:t>e n°</w:t>
      </w:r>
      <w:r w:rsidR="00FD1659" w:rsidRPr="00C45864">
        <w:rPr>
          <w:rFonts w:cs="Times New Roman"/>
          <w:b/>
          <w:sz w:val="24"/>
        </w:rPr>
        <w:t xml:space="preserve">3 </w:t>
      </w:r>
      <w:r w:rsidR="00FD1659" w:rsidRPr="00C45864">
        <w:rPr>
          <w:b/>
          <w:sz w:val="24"/>
        </w:rPr>
        <w:t>– dossier d’accréditation, 2</w:t>
      </w:r>
      <w:r w:rsidR="00FD1659" w:rsidRPr="00C45864">
        <w:rPr>
          <w:b/>
          <w:sz w:val="24"/>
          <w:vertAlign w:val="superscript"/>
        </w:rPr>
        <w:t>e</w:t>
      </w:r>
      <w:r w:rsidR="00FD1659" w:rsidRPr="00C45864">
        <w:rPr>
          <w:b/>
          <w:sz w:val="24"/>
        </w:rPr>
        <w:t xml:space="preserve"> </w:t>
      </w:r>
      <w:proofErr w:type="gramStart"/>
      <w:r w:rsidR="00FD1659" w:rsidRPr="00C45864">
        <w:rPr>
          <w:b/>
          <w:sz w:val="24"/>
        </w:rPr>
        <w:t>partie</w:t>
      </w:r>
      <w:r w:rsidR="00420946" w:rsidRPr="00C45864">
        <w:rPr>
          <w:rFonts w:cs="Times New Roman"/>
          <w:sz w:val="24"/>
        </w:rPr>
        <w:t>:</w:t>
      </w:r>
      <w:proofErr w:type="gramEnd"/>
      <w:r w:rsidR="00FD1659" w:rsidRPr="00C45864">
        <w:rPr>
          <w:rFonts w:cs="Times New Roman"/>
          <w:sz w:val="24"/>
        </w:rPr>
        <w:t xml:space="preserve"> </w:t>
      </w:r>
      <w:r w:rsidR="00B71083" w:rsidRPr="00C45864">
        <w:rPr>
          <w:rFonts w:cs="Times New Roman"/>
          <w:sz w:val="24"/>
        </w:rPr>
        <w:t xml:space="preserve"> </w:t>
      </w:r>
      <w:r w:rsidR="005B5235" w:rsidRPr="00C45864">
        <w:rPr>
          <w:rFonts w:cs="Times New Roman"/>
          <w:sz w:val="24"/>
        </w:rPr>
        <w:t>BILAN – PERSPECTIVE</w:t>
      </w:r>
      <w:r w:rsidR="00F25904" w:rsidRPr="00C45864">
        <w:rPr>
          <w:rFonts w:cs="Times New Roman"/>
          <w:sz w:val="24"/>
        </w:rPr>
        <w:t xml:space="preserve"> – tableau</w:t>
      </w:r>
      <w:r w:rsidR="005B5235" w:rsidRPr="00C45864">
        <w:rPr>
          <w:rFonts w:cs="Times New Roman"/>
          <w:sz w:val="24"/>
        </w:rPr>
        <w:t xml:space="preserve"> </w:t>
      </w:r>
      <w:r w:rsidR="009D6F7F" w:rsidRPr="00C45864">
        <w:rPr>
          <w:rFonts w:cs="Times New Roman"/>
          <w:sz w:val="24"/>
        </w:rPr>
        <w:t>synthétique</w:t>
      </w:r>
    </w:p>
    <w:p w:rsidR="009252FF" w:rsidRPr="00FB72E8" w:rsidRDefault="00707E6D" w:rsidP="004765BB">
      <w:pPr>
        <w:ind w:left="-709" w:right="-709"/>
        <w:rPr>
          <w:rFonts w:cs="Times New Roman"/>
          <w:i/>
          <w:color w:val="FF0000"/>
          <w:sz w:val="16"/>
          <w:szCs w:val="16"/>
        </w:rPr>
      </w:pPr>
      <w:r w:rsidRPr="00FB72E8">
        <w:rPr>
          <w:rFonts w:cs="Times New Roman"/>
          <w:sz w:val="16"/>
          <w:szCs w:val="16"/>
        </w:rPr>
        <w:t>P</w:t>
      </w:r>
      <w:r w:rsidR="00DB4D75" w:rsidRPr="00FB72E8">
        <w:rPr>
          <w:rFonts w:cs="Times New Roman"/>
          <w:sz w:val="16"/>
          <w:szCs w:val="16"/>
        </w:rPr>
        <w:t xml:space="preserve">our chacun des items du tableau, </w:t>
      </w:r>
      <w:r w:rsidRPr="00FB72E8">
        <w:rPr>
          <w:rFonts w:cs="Times New Roman"/>
          <w:sz w:val="16"/>
          <w:szCs w:val="16"/>
        </w:rPr>
        <w:t xml:space="preserve">l’établissement positionne la maturité de ses </w:t>
      </w:r>
      <w:r w:rsidR="00D61ECA" w:rsidRPr="00FB72E8">
        <w:rPr>
          <w:rFonts w:cs="Times New Roman"/>
          <w:sz w:val="16"/>
          <w:szCs w:val="16"/>
        </w:rPr>
        <w:t>politiques</w:t>
      </w:r>
      <w:r w:rsidR="004505FE" w:rsidRPr="00FB72E8">
        <w:rPr>
          <w:rFonts w:cs="Times New Roman"/>
          <w:sz w:val="16"/>
          <w:szCs w:val="16"/>
        </w:rPr>
        <w:t xml:space="preserve"> ou dispositifs</w:t>
      </w:r>
      <w:r w:rsidR="00D61ECA" w:rsidRPr="00FB72E8">
        <w:rPr>
          <w:rFonts w:cs="Times New Roman"/>
          <w:sz w:val="16"/>
          <w:szCs w:val="16"/>
        </w:rPr>
        <w:t xml:space="preserve"> sur</w:t>
      </w:r>
      <w:r w:rsidRPr="00FB72E8">
        <w:rPr>
          <w:rFonts w:cs="Times New Roman"/>
          <w:sz w:val="16"/>
          <w:szCs w:val="16"/>
        </w:rPr>
        <w:t xml:space="preserve"> une échelle de 1 à 5 (du moins satisfaisant au plus satisfaisant)</w:t>
      </w:r>
      <w:r w:rsidR="00B52769" w:rsidRPr="00FB72E8">
        <w:rPr>
          <w:rFonts w:cs="Times New Roman"/>
          <w:sz w:val="16"/>
          <w:szCs w:val="16"/>
        </w:rPr>
        <w:t xml:space="preserve">. Il y ajoute un commentaire </w:t>
      </w:r>
      <w:r w:rsidR="00B52769" w:rsidRPr="00FB72E8">
        <w:rPr>
          <w:rFonts w:cs="Times New Roman"/>
          <w:color w:val="000000"/>
          <w:sz w:val="16"/>
          <w:szCs w:val="16"/>
        </w:rPr>
        <w:t>ainsi que les actions, modalités de pilotage et soutenabilité envisagé</w:t>
      </w:r>
      <w:r w:rsidR="002053D7" w:rsidRPr="00FB72E8">
        <w:rPr>
          <w:rFonts w:cs="Times New Roman"/>
          <w:color w:val="000000"/>
          <w:sz w:val="16"/>
          <w:szCs w:val="16"/>
        </w:rPr>
        <w:t>e</w:t>
      </w:r>
      <w:r w:rsidR="00B52769" w:rsidRPr="00FB72E8">
        <w:rPr>
          <w:rFonts w:cs="Times New Roman"/>
          <w:color w:val="000000"/>
          <w:sz w:val="16"/>
          <w:szCs w:val="16"/>
        </w:rPr>
        <w:t>s durant la période d’accréditation</w:t>
      </w:r>
      <w:r w:rsidR="00C76F3B" w:rsidRPr="00FB72E8">
        <w:rPr>
          <w:rFonts w:cs="Times New Roman"/>
          <w:color w:val="000000"/>
          <w:sz w:val="16"/>
          <w:szCs w:val="16"/>
        </w:rPr>
        <w:t>.</w:t>
      </w:r>
      <w:r w:rsidR="00523C78" w:rsidRPr="00FB72E8">
        <w:rPr>
          <w:rFonts w:cs="Times New Roman"/>
          <w:color w:val="000000"/>
          <w:sz w:val="16"/>
          <w:szCs w:val="16"/>
        </w:rPr>
        <w:t xml:space="preserve"> Le cas échéant, indiquer « </w:t>
      </w:r>
      <w:r w:rsidR="00523C78" w:rsidRPr="00FB72E8">
        <w:rPr>
          <w:rFonts w:cs="Times New Roman"/>
          <w:i/>
          <w:color w:val="000000"/>
          <w:sz w:val="16"/>
          <w:szCs w:val="16"/>
        </w:rPr>
        <w:t>sans objet »</w:t>
      </w:r>
      <w:r w:rsidR="00523C78" w:rsidRPr="00FB72E8">
        <w:rPr>
          <w:rFonts w:cs="Times New Roman"/>
          <w:color w:val="000000"/>
          <w:sz w:val="16"/>
          <w:szCs w:val="16"/>
        </w:rPr>
        <w:t xml:space="preserve">.  </w:t>
      </w:r>
    </w:p>
    <w:p w:rsidR="00707E6D" w:rsidRPr="00C45864" w:rsidRDefault="00707E6D" w:rsidP="00707E6D">
      <w:pPr>
        <w:rPr>
          <w:rFonts w:cs="Times New Roman"/>
          <w:b/>
          <w:sz w:val="24"/>
        </w:rPr>
      </w:pPr>
    </w:p>
    <w:tbl>
      <w:tblPr>
        <w:tblStyle w:val="Grilledutableau1"/>
        <w:tblW w:w="10627" w:type="dxa"/>
        <w:jc w:val="center"/>
        <w:tblLayout w:type="fixed"/>
        <w:tblLook w:val="04A0" w:firstRow="1" w:lastRow="0" w:firstColumn="1" w:lastColumn="0" w:noHBand="0" w:noVBand="1"/>
      </w:tblPr>
      <w:tblGrid>
        <w:gridCol w:w="4815"/>
        <w:gridCol w:w="309"/>
        <w:gridCol w:w="284"/>
        <w:gridCol w:w="283"/>
        <w:gridCol w:w="284"/>
        <w:gridCol w:w="283"/>
        <w:gridCol w:w="4369"/>
      </w:tblGrid>
      <w:tr w:rsidR="002B5D12" w:rsidRPr="00C45864" w:rsidTr="00660D0F">
        <w:trPr>
          <w:trHeight w:val="600"/>
          <w:jc w:val="center"/>
        </w:trPr>
        <w:tc>
          <w:tcPr>
            <w:tcW w:w="4815" w:type="dxa"/>
            <w:vAlign w:val="center"/>
          </w:tcPr>
          <w:p w:rsidR="002B5D12" w:rsidRPr="00C45864" w:rsidRDefault="00660D0F" w:rsidP="006F5756">
            <w:pPr>
              <w:spacing w:before="0"/>
              <w:jc w:val="center"/>
              <w:rPr>
                <w:rFonts w:asciiTheme="minorHAnsi" w:hAnsiTheme="minorHAnsi" w:cs="Times New Roman"/>
                <w:b/>
                <w:sz w:val="24"/>
              </w:rPr>
            </w:pPr>
            <w:r w:rsidRPr="00C45864">
              <w:rPr>
                <w:rFonts w:asciiTheme="minorHAnsi" w:hAnsiTheme="minorHAnsi" w:cs="Times New Roman"/>
                <w:b/>
                <w:sz w:val="24"/>
              </w:rPr>
              <w:t>P</w:t>
            </w:r>
            <w:r w:rsidR="00574ADA" w:rsidRPr="00C45864">
              <w:rPr>
                <w:rFonts w:asciiTheme="minorHAnsi" w:hAnsiTheme="minorHAnsi" w:cs="Times New Roman"/>
                <w:b/>
                <w:sz w:val="24"/>
              </w:rPr>
              <w:t>OLITIQUES ET DISPOSITIFS</w:t>
            </w:r>
          </w:p>
        </w:tc>
        <w:tc>
          <w:tcPr>
            <w:tcW w:w="1443" w:type="dxa"/>
            <w:gridSpan w:val="5"/>
            <w:vAlign w:val="center"/>
          </w:tcPr>
          <w:p w:rsidR="002B5D12" w:rsidRPr="00C45864" w:rsidRDefault="002B5D12" w:rsidP="006F5756">
            <w:pPr>
              <w:spacing w:before="0"/>
              <w:jc w:val="center"/>
              <w:rPr>
                <w:rFonts w:asciiTheme="minorHAnsi" w:hAnsiTheme="minorHAnsi" w:cs="Times New Roman"/>
                <w:b/>
                <w:sz w:val="24"/>
              </w:rPr>
            </w:pPr>
            <w:r w:rsidRPr="00C45864">
              <w:rPr>
                <w:rFonts w:asciiTheme="minorHAnsi" w:hAnsiTheme="minorHAnsi" w:cs="Times New Roman"/>
                <w:b/>
                <w:sz w:val="24"/>
              </w:rPr>
              <w:t>BILAN</w:t>
            </w:r>
          </w:p>
        </w:tc>
        <w:tc>
          <w:tcPr>
            <w:tcW w:w="4369" w:type="dxa"/>
          </w:tcPr>
          <w:p w:rsidR="006F5756" w:rsidRPr="00C45864" w:rsidRDefault="006F5756" w:rsidP="00660D0F">
            <w:pPr>
              <w:spacing w:before="0"/>
              <w:jc w:val="left"/>
              <w:rPr>
                <w:rFonts w:asciiTheme="minorHAnsi" w:hAnsiTheme="minorHAnsi" w:cs="Times New Roman"/>
                <w:b/>
                <w:sz w:val="24"/>
              </w:rPr>
            </w:pPr>
          </w:p>
          <w:p w:rsidR="002B5D12" w:rsidRPr="00C45864" w:rsidRDefault="008D2331" w:rsidP="006F5756">
            <w:pPr>
              <w:spacing w:before="0"/>
              <w:jc w:val="center"/>
              <w:rPr>
                <w:rFonts w:asciiTheme="minorHAnsi" w:hAnsiTheme="minorHAnsi" w:cs="Times New Roman"/>
                <w:b/>
                <w:sz w:val="24"/>
              </w:rPr>
            </w:pPr>
            <w:r w:rsidRPr="00C45864">
              <w:rPr>
                <w:rFonts w:asciiTheme="minorHAnsi" w:hAnsiTheme="minorHAnsi" w:cs="Times New Roman"/>
                <w:b/>
                <w:sz w:val="24"/>
              </w:rPr>
              <w:t>COMMENTAIRES - ACTIONS</w:t>
            </w:r>
          </w:p>
          <w:p w:rsidR="00735472" w:rsidRPr="00C45864" w:rsidRDefault="00735472" w:rsidP="00660D0F">
            <w:pPr>
              <w:spacing w:before="0"/>
              <w:jc w:val="left"/>
              <w:rPr>
                <w:rFonts w:asciiTheme="minorHAnsi" w:hAnsiTheme="minorHAnsi" w:cs="Times New Roman"/>
                <w:color w:val="000000"/>
                <w:sz w:val="24"/>
              </w:rPr>
            </w:pPr>
          </w:p>
        </w:tc>
      </w:tr>
      <w:tr w:rsidR="000143BE" w:rsidRPr="00C45864" w:rsidTr="004009C0">
        <w:trPr>
          <w:trHeight w:val="510"/>
          <w:jc w:val="center"/>
        </w:trPr>
        <w:tc>
          <w:tcPr>
            <w:tcW w:w="4815" w:type="dxa"/>
            <w:vAlign w:val="center"/>
          </w:tcPr>
          <w:p w:rsidR="0091794F" w:rsidRPr="00C45864" w:rsidRDefault="00574ADA" w:rsidP="00574ADA">
            <w:pPr>
              <w:jc w:val="center"/>
              <w:rPr>
                <w:rFonts w:asciiTheme="minorHAnsi" w:hAnsiTheme="minorHAnsi" w:cs="Times New Roman"/>
                <w:b/>
                <w:sz w:val="24"/>
              </w:rPr>
            </w:pPr>
            <w:r w:rsidRPr="00C45864">
              <w:rPr>
                <w:rFonts w:asciiTheme="minorHAnsi" w:hAnsiTheme="minorHAnsi" w:cs="Times New Roman"/>
                <w:b/>
                <w:sz w:val="24"/>
              </w:rPr>
              <w:t>Echelle de maturité</w:t>
            </w:r>
            <w:r w:rsidR="001E51DE" w:rsidRPr="00C45864">
              <w:rPr>
                <w:rFonts w:asciiTheme="minorHAnsi" w:hAnsiTheme="minorHAnsi" w:cs="Times New Roman"/>
                <w:b/>
                <w:sz w:val="24"/>
              </w:rPr>
              <w:t xml:space="preserve"> </w:t>
            </w:r>
            <w:r w:rsidRPr="00C45864">
              <w:rPr>
                <w:rFonts w:asciiTheme="minorHAnsi" w:hAnsiTheme="minorHAnsi" w:cs="Times New Roman"/>
                <w:b/>
                <w:sz w:val="24"/>
              </w:rPr>
              <w:t xml:space="preserve"> </w:t>
            </w:r>
          </w:p>
        </w:tc>
        <w:tc>
          <w:tcPr>
            <w:tcW w:w="309"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1</w:t>
            </w:r>
          </w:p>
        </w:tc>
        <w:tc>
          <w:tcPr>
            <w:tcW w:w="284"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2</w:t>
            </w:r>
          </w:p>
        </w:tc>
        <w:tc>
          <w:tcPr>
            <w:tcW w:w="283"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3</w:t>
            </w:r>
          </w:p>
        </w:tc>
        <w:tc>
          <w:tcPr>
            <w:tcW w:w="284"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4</w:t>
            </w:r>
          </w:p>
        </w:tc>
        <w:tc>
          <w:tcPr>
            <w:tcW w:w="283" w:type="dxa"/>
            <w:vAlign w:val="center"/>
          </w:tcPr>
          <w:p w:rsidR="000143BE" w:rsidRPr="00C45864" w:rsidRDefault="000143BE" w:rsidP="00604BB8">
            <w:pPr>
              <w:jc w:val="center"/>
              <w:rPr>
                <w:rFonts w:asciiTheme="minorHAnsi" w:hAnsiTheme="minorHAnsi" w:cs="Times New Roman"/>
                <w:b/>
                <w:sz w:val="24"/>
              </w:rPr>
            </w:pPr>
            <w:r w:rsidRPr="00C45864">
              <w:rPr>
                <w:rFonts w:asciiTheme="minorHAnsi" w:hAnsiTheme="minorHAnsi" w:cs="Times New Roman"/>
                <w:b/>
                <w:sz w:val="24"/>
              </w:rPr>
              <w:t>5</w:t>
            </w:r>
          </w:p>
        </w:tc>
        <w:tc>
          <w:tcPr>
            <w:tcW w:w="4369" w:type="dxa"/>
            <w:shd w:val="clear" w:color="auto" w:fill="auto"/>
          </w:tcPr>
          <w:p w:rsidR="000143BE" w:rsidRPr="00C45864" w:rsidRDefault="008D2331" w:rsidP="004C023A">
            <w:pPr>
              <w:rPr>
                <w:rFonts w:asciiTheme="minorHAnsi" w:hAnsiTheme="minorHAnsi" w:cs="Times New Roman"/>
                <w:b/>
                <w:sz w:val="24"/>
              </w:rPr>
            </w:pPr>
            <w:r w:rsidRPr="00C45864">
              <w:rPr>
                <w:rFonts w:asciiTheme="minorHAnsi" w:hAnsiTheme="minorHAnsi" w:cs="Times New Roman"/>
                <w:b/>
                <w:sz w:val="24"/>
              </w:rPr>
              <w:t>Commentaires sur le bilan</w:t>
            </w:r>
            <w:r w:rsidR="00B25CBA" w:rsidRPr="00C45864">
              <w:rPr>
                <w:rFonts w:asciiTheme="minorHAnsi" w:hAnsiTheme="minorHAnsi" w:cs="Times New Roman"/>
                <w:b/>
                <w:sz w:val="24"/>
              </w:rPr>
              <w:t>, ainsi que</w:t>
            </w:r>
            <w:r w:rsidR="00751016" w:rsidRPr="00C45864">
              <w:rPr>
                <w:rFonts w:asciiTheme="minorHAnsi" w:hAnsiTheme="minorHAnsi" w:cs="Times New Roman"/>
                <w:b/>
                <w:sz w:val="24"/>
              </w:rPr>
              <w:t xml:space="preserve">, le cas échéant, </w:t>
            </w:r>
            <w:r w:rsidRPr="00C45864">
              <w:rPr>
                <w:rFonts w:asciiTheme="minorHAnsi" w:hAnsiTheme="minorHAnsi" w:cs="Times New Roman"/>
                <w:b/>
                <w:sz w:val="24"/>
              </w:rPr>
              <w:t xml:space="preserve">actions, </w:t>
            </w:r>
            <w:r w:rsidR="00CC0DD1" w:rsidRPr="00C45864">
              <w:rPr>
                <w:rFonts w:asciiTheme="minorHAnsi" w:hAnsiTheme="minorHAnsi" w:cs="Times New Roman"/>
                <w:b/>
                <w:sz w:val="24"/>
              </w:rPr>
              <w:t xml:space="preserve">modalités </w:t>
            </w:r>
            <w:r w:rsidRPr="00C45864">
              <w:rPr>
                <w:rFonts w:asciiTheme="minorHAnsi" w:hAnsiTheme="minorHAnsi" w:cs="Times New Roman"/>
                <w:b/>
                <w:sz w:val="24"/>
              </w:rPr>
              <w:t>d</w:t>
            </w:r>
            <w:r w:rsidR="00CC0DD1" w:rsidRPr="00C45864">
              <w:rPr>
                <w:rFonts w:asciiTheme="minorHAnsi" w:hAnsiTheme="minorHAnsi" w:cs="Times New Roman"/>
                <w:b/>
                <w:sz w:val="24"/>
              </w:rPr>
              <w:t>e pilotage</w:t>
            </w:r>
            <w:r w:rsidR="006B2FB3" w:rsidRPr="00C45864">
              <w:rPr>
                <w:rFonts w:asciiTheme="minorHAnsi" w:hAnsiTheme="minorHAnsi" w:cs="Times New Roman"/>
                <w:b/>
                <w:sz w:val="24"/>
              </w:rPr>
              <w:t xml:space="preserve"> et soutenabilité</w:t>
            </w:r>
            <w:r w:rsidR="00CC0DD1" w:rsidRPr="00C45864">
              <w:rPr>
                <w:rFonts w:asciiTheme="minorHAnsi" w:hAnsiTheme="minorHAnsi" w:cs="Times New Roman"/>
                <w:b/>
                <w:sz w:val="24"/>
              </w:rPr>
              <w:t xml:space="preserve"> </w:t>
            </w:r>
            <w:r w:rsidR="006B2FB3" w:rsidRPr="00C45864">
              <w:rPr>
                <w:rFonts w:asciiTheme="minorHAnsi" w:hAnsiTheme="minorHAnsi" w:cs="Times New Roman"/>
                <w:b/>
                <w:sz w:val="24"/>
              </w:rPr>
              <w:t>envisagé</w:t>
            </w:r>
            <w:r w:rsidR="00D44C16" w:rsidRPr="00C45864">
              <w:rPr>
                <w:rFonts w:asciiTheme="minorHAnsi" w:hAnsiTheme="minorHAnsi" w:cs="Times New Roman"/>
                <w:b/>
                <w:sz w:val="24"/>
              </w:rPr>
              <w:t>e</w:t>
            </w:r>
            <w:r w:rsidR="000143BE" w:rsidRPr="00C45864">
              <w:rPr>
                <w:rFonts w:asciiTheme="minorHAnsi" w:hAnsiTheme="minorHAnsi" w:cs="Times New Roman"/>
                <w:b/>
                <w:sz w:val="24"/>
              </w:rPr>
              <w:t>s durant la période d’accréditation</w:t>
            </w:r>
            <w:r w:rsidR="00BE2156" w:rsidRPr="00C45864">
              <w:rPr>
                <w:rFonts w:asciiTheme="minorHAnsi" w:hAnsiTheme="minorHAnsi" w:cs="Times New Roman"/>
                <w:color w:val="000000"/>
                <w:sz w:val="24"/>
              </w:rPr>
              <w:t xml:space="preserve"> </w:t>
            </w:r>
            <w:r w:rsidR="009624AC" w:rsidRPr="00C45864">
              <w:rPr>
                <w:rFonts w:asciiTheme="minorHAnsi" w:hAnsiTheme="minorHAnsi" w:cs="Times New Roman"/>
                <w:color w:val="000000"/>
                <w:sz w:val="24"/>
              </w:rPr>
              <w:t xml:space="preserve"> </w:t>
            </w:r>
          </w:p>
        </w:tc>
      </w:tr>
      <w:tr w:rsidR="000143BE" w:rsidRPr="00C45864" w:rsidTr="004009C0">
        <w:trPr>
          <w:trHeight w:val="340"/>
          <w:jc w:val="center"/>
        </w:trPr>
        <w:tc>
          <w:tcPr>
            <w:tcW w:w="4815" w:type="dxa"/>
          </w:tcPr>
          <w:p w:rsidR="00DA471A" w:rsidRPr="00C45864" w:rsidRDefault="00DA471A" w:rsidP="00DA471A">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Domaine 1 : Formation et pédagogie</w:t>
            </w:r>
            <w:r w:rsidR="00CE7307" w:rsidRPr="00C45864">
              <w:rPr>
                <w:rFonts w:asciiTheme="minorHAnsi" w:eastAsia="WenQuanYi Micro Hei" w:hAnsiTheme="minorHAnsi"/>
                <w:bCs/>
                <w:color w:val="548DD4" w:themeColor="text2" w:themeTint="99"/>
                <w:kern w:val="1"/>
                <w:lang w:eastAsia="zh-CN" w:bidi="hi-IN"/>
              </w:rPr>
              <w:t xml:space="preserve"> </w:t>
            </w:r>
          </w:p>
          <w:p w:rsidR="00DA471A" w:rsidRPr="00C45864" w:rsidRDefault="00DA471A" w:rsidP="00DA471A">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294B72" w:rsidRPr="00C45864">
              <w:rPr>
                <w:rFonts w:asciiTheme="minorHAnsi" w:hAnsiTheme="minorHAnsi" w:cs="Times New Roman"/>
                <w:bCs/>
                <w:color w:val="000000"/>
                <w:sz w:val="24"/>
              </w:rPr>
              <w:t>cohérence interne de l’offre d’enseignement</w:t>
            </w:r>
            <w:r w:rsidR="006D1C14" w:rsidRPr="00C45864">
              <w:rPr>
                <w:rFonts w:asciiTheme="minorHAnsi" w:hAnsiTheme="minorHAnsi" w:cs="Times New Roman"/>
                <w:bCs/>
                <w:color w:val="000000"/>
                <w:sz w:val="24"/>
              </w:rPr>
              <w:t> ;</w:t>
            </w:r>
          </w:p>
          <w:p w:rsidR="00DA471A" w:rsidRPr="00C45864" w:rsidRDefault="00294B72" w:rsidP="00294B72">
            <w:pPr>
              <w:spacing w:before="100" w:beforeAutospacing="1" w:after="142" w:line="288" w:lineRule="auto"/>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DA471A" w:rsidRPr="00C45864">
              <w:rPr>
                <w:rFonts w:asciiTheme="minorHAnsi" w:hAnsiTheme="minorHAnsi" w:cs="Times New Roman"/>
                <w:bCs/>
                <w:color w:val="000000"/>
                <w:sz w:val="24"/>
              </w:rPr>
              <w:t>innovation pédagogique</w:t>
            </w:r>
            <w:r w:rsidR="006D1C14" w:rsidRPr="00C45864">
              <w:rPr>
                <w:rFonts w:asciiTheme="minorHAnsi" w:hAnsiTheme="minorHAnsi" w:cs="Times New Roman"/>
                <w:bCs/>
                <w:color w:val="000000"/>
                <w:sz w:val="24"/>
              </w:rPr>
              <w:t> ;</w:t>
            </w:r>
          </w:p>
          <w:p w:rsidR="00536FA0" w:rsidRPr="00C45864" w:rsidRDefault="00DA471A" w:rsidP="00536FA0">
            <w:pPr>
              <w:spacing w:before="100" w:beforeAutospacing="1" w:after="142" w:line="288" w:lineRule="auto"/>
              <w:jc w:val="left"/>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274620" w:rsidRPr="00C45864">
              <w:rPr>
                <w:rFonts w:asciiTheme="minorHAnsi" w:hAnsiTheme="minorHAnsi" w:cs="Times New Roman"/>
                <w:bCs/>
                <w:color w:val="000000"/>
                <w:sz w:val="24"/>
              </w:rPr>
              <w:t xml:space="preserve">prise en compte </w:t>
            </w:r>
            <w:r w:rsidRPr="00C45864">
              <w:rPr>
                <w:rFonts w:asciiTheme="minorHAnsi" w:hAnsiTheme="minorHAnsi" w:cs="Times New Roman"/>
                <w:bCs/>
                <w:color w:val="000000"/>
                <w:sz w:val="24"/>
              </w:rPr>
              <w:t xml:space="preserve">de la diversification </w:t>
            </w:r>
            <w:r w:rsidR="009834EF" w:rsidRPr="00C45864">
              <w:rPr>
                <w:rFonts w:asciiTheme="minorHAnsi" w:hAnsiTheme="minorHAnsi" w:cs="Times New Roman"/>
                <w:bCs/>
                <w:color w:val="000000"/>
                <w:sz w:val="24"/>
              </w:rPr>
              <w:t xml:space="preserve">et de l’évolution </w:t>
            </w:r>
            <w:r w:rsidRPr="00C45864">
              <w:rPr>
                <w:rFonts w:asciiTheme="minorHAnsi" w:hAnsiTheme="minorHAnsi" w:cs="Times New Roman"/>
                <w:bCs/>
                <w:color w:val="000000"/>
                <w:sz w:val="24"/>
              </w:rPr>
              <w:t>des pratiques</w:t>
            </w:r>
            <w:r w:rsidR="009834EF" w:rsidRPr="00C45864">
              <w:rPr>
                <w:rFonts w:asciiTheme="minorHAnsi" w:hAnsiTheme="minorHAnsi" w:cs="Times New Roman"/>
                <w:bCs/>
                <w:color w:val="000000"/>
                <w:sz w:val="24"/>
              </w:rPr>
              <w:t xml:space="preserve"> professionnelles ;</w:t>
            </w:r>
          </w:p>
          <w:p w:rsidR="006D1C14" w:rsidRPr="00C45864" w:rsidRDefault="00536FA0" w:rsidP="00FF3E29">
            <w:pPr>
              <w:spacing w:before="100" w:beforeAutospacing="1" w:after="142" w:line="288" w:lineRule="auto"/>
              <w:jc w:val="left"/>
              <w:rPr>
                <w:rFonts w:asciiTheme="minorHAnsi" w:hAnsiTheme="minorHAnsi" w:cs="Times New Roman"/>
                <w:bCs/>
                <w:color w:val="000000"/>
                <w:sz w:val="24"/>
              </w:rPr>
            </w:pPr>
            <w:r w:rsidRPr="00C45864">
              <w:rPr>
                <w:rFonts w:asciiTheme="minorHAnsi" w:hAnsiTheme="minorHAnsi" w:cs="Times New Roman"/>
                <w:bCs/>
                <w:color w:val="000000"/>
                <w:sz w:val="24"/>
              </w:rPr>
              <w:t xml:space="preserve">–  prise en compte </w:t>
            </w:r>
            <w:r w:rsidR="00FF3E29" w:rsidRPr="00C45864">
              <w:rPr>
                <w:rFonts w:asciiTheme="minorHAnsi" w:hAnsiTheme="minorHAnsi" w:cs="Times New Roman"/>
                <w:bCs/>
                <w:color w:val="000000"/>
                <w:sz w:val="24"/>
              </w:rPr>
              <w:t xml:space="preserve">de la diversification et de l’évolution </w:t>
            </w:r>
            <w:r w:rsidR="00DA471A" w:rsidRPr="00C45864">
              <w:rPr>
                <w:rFonts w:asciiTheme="minorHAnsi" w:hAnsiTheme="minorHAnsi" w:cs="Times New Roman"/>
                <w:bCs/>
                <w:color w:val="000000"/>
                <w:sz w:val="24"/>
              </w:rPr>
              <w:t>des compétences professionnelles ;</w:t>
            </w:r>
          </w:p>
          <w:p w:rsidR="007E675A" w:rsidRPr="00C45864" w:rsidRDefault="00DA471A" w:rsidP="004350B7">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eastAsia="WenQuanYi Micro Hei" w:hAnsiTheme="minorHAnsi"/>
                <w:color w:val="000000"/>
                <w:kern w:val="1"/>
                <w:szCs w:val="24"/>
                <w:lang w:eastAsia="zh-CN" w:bidi="hi-IN"/>
              </w:rPr>
              <w:t>interaction</w:t>
            </w:r>
            <w:proofErr w:type="gramEnd"/>
            <w:r w:rsidRPr="00C45864">
              <w:rPr>
                <w:rFonts w:asciiTheme="minorHAnsi" w:eastAsia="WenQuanYi Micro Hei" w:hAnsiTheme="minorHAnsi"/>
                <w:color w:val="000000"/>
                <w:kern w:val="1"/>
                <w:szCs w:val="24"/>
                <w:lang w:eastAsia="zh-CN" w:bidi="hi-IN"/>
              </w:rPr>
              <w:t xml:space="preserve"> entre aspects théoriques et pratiques</w:t>
            </w:r>
            <w:r w:rsidR="006642FA" w:rsidRPr="00C45864">
              <w:rPr>
                <w:rFonts w:asciiTheme="minorHAnsi" w:eastAsia="WenQuanYi Micro Hei" w:hAnsiTheme="minorHAnsi"/>
                <w:color w:val="000000"/>
                <w:kern w:val="1"/>
                <w:szCs w:val="24"/>
                <w:lang w:eastAsia="zh-CN" w:bidi="hi-IN"/>
              </w:rPr>
              <w:t> ;</w:t>
            </w:r>
          </w:p>
          <w:p w:rsidR="00D3768C" w:rsidRPr="00C45864" w:rsidRDefault="00D3768C" w:rsidP="00D3768C">
            <w:pPr>
              <w:pStyle w:val="Paragraphedeliste"/>
              <w:numPr>
                <w:ilvl w:val="0"/>
                <w:numId w:val="0"/>
              </w:numPr>
              <w:ind w:left="176"/>
              <w:rPr>
                <w:rFonts w:asciiTheme="minorHAnsi" w:eastAsia="WenQuanYi Micro Hei" w:hAnsiTheme="minorHAnsi"/>
                <w:color w:val="000000"/>
                <w:kern w:val="1"/>
                <w:szCs w:val="24"/>
                <w:lang w:eastAsia="zh-CN" w:bidi="hi-IN"/>
              </w:rPr>
            </w:pPr>
          </w:p>
          <w:p w:rsidR="00F31AED" w:rsidRPr="00C45864" w:rsidRDefault="00F31AED" w:rsidP="00D3768C">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l</w:t>
            </w:r>
            <w:r w:rsidR="00DA471A" w:rsidRPr="00C45864">
              <w:rPr>
                <w:rFonts w:asciiTheme="minorHAnsi" w:eastAsia="WenQuanYi Micro Hei" w:hAnsiTheme="minorHAnsi"/>
                <w:color w:val="000000"/>
                <w:kern w:val="1"/>
                <w:szCs w:val="24"/>
                <w:lang w:eastAsia="zh-CN" w:bidi="hi-IN"/>
              </w:rPr>
              <w:t>e</w:t>
            </w:r>
            <w:proofErr w:type="gramEnd"/>
            <w:r w:rsidR="00DA471A" w:rsidRPr="00C45864">
              <w:rPr>
                <w:rFonts w:asciiTheme="minorHAnsi" w:eastAsia="WenQuanYi Micro Hei" w:hAnsiTheme="minorHAnsi"/>
                <w:color w:val="000000"/>
                <w:kern w:val="1"/>
                <w:szCs w:val="24"/>
                <w:lang w:eastAsia="zh-CN" w:bidi="hi-IN"/>
              </w:rPr>
              <w:t xml:space="preserve"> cas échéant, interaction entre les enseignements proposés par l’établissement qui relèvent de différents domaines ou disciplines artistiques ;</w:t>
            </w:r>
          </w:p>
          <w:p w:rsidR="00D3768C" w:rsidRPr="00C45864" w:rsidRDefault="00D3768C" w:rsidP="00D3768C">
            <w:pPr>
              <w:pStyle w:val="Paragraphedeliste"/>
              <w:numPr>
                <w:ilvl w:val="0"/>
                <w:numId w:val="0"/>
              </w:numPr>
              <w:ind w:left="176"/>
              <w:rPr>
                <w:rFonts w:asciiTheme="minorHAnsi" w:eastAsia="WenQuanYi Micro Hei" w:hAnsiTheme="minorHAnsi"/>
                <w:color w:val="000000"/>
                <w:kern w:val="1"/>
                <w:szCs w:val="24"/>
                <w:lang w:eastAsia="zh-CN" w:bidi="hi-IN"/>
              </w:rPr>
            </w:pPr>
          </w:p>
          <w:p w:rsidR="00F31AED" w:rsidRPr="00C45864" w:rsidRDefault="00F31AE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pédagogie</w:t>
            </w:r>
            <w:proofErr w:type="gramEnd"/>
            <w:r w:rsidRPr="00C45864">
              <w:rPr>
                <w:rFonts w:asciiTheme="minorHAnsi" w:eastAsia="WenQuanYi Micro Hei" w:hAnsiTheme="minorHAnsi"/>
                <w:color w:val="000000"/>
                <w:kern w:val="1"/>
                <w:szCs w:val="24"/>
                <w:lang w:eastAsia="zh-CN" w:bidi="hi-IN"/>
              </w:rPr>
              <w:t xml:space="preserve"> de projet ; </w:t>
            </w:r>
          </w:p>
          <w:p w:rsidR="001C2FB4" w:rsidRPr="00C45864" w:rsidRDefault="001C2FB4" w:rsidP="001C2FB4">
            <w:pPr>
              <w:pStyle w:val="Paragraphedeliste"/>
              <w:numPr>
                <w:ilvl w:val="0"/>
                <w:numId w:val="0"/>
              </w:numPr>
              <w:ind w:left="176"/>
              <w:rPr>
                <w:rFonts w:asciiTheme="minorHAnsi" w:eastAsia="WenQuanYi Micro Hei" w:hAnsiTheme="minorHAnsi"/>
                <w:color w:val="000000"/>
                <w:kern w:val="1"/>
                <w:szCs w:val="24"/>
                <w:lang w:eastAsia="zh-CN" w:bidi="hi-IN"/>
              </w:rPr>
            </w:pPr>
          </w:p>
          <w:p w:rsidR="00DA471A" w:rsidRPr="00C45864" w:rsidRDefault="00F31AE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autonomie</w:t>
            </w:r>
            <w:proofErr w:type="gramEnd"/>
            <w:r w:rsidRPr="00C45864">
              <w:rPr>
                <w:rFonts w:asciiTheme="minorHAnsi" w:eastAsia="WenQuanYi Micro Hei" w:hAnsiTheme="minorHAnsi"/>
                <w:color w:val="000000"/>
                <w:kern w:val="1"/>
                <w:szCs w:val="24"/>
                <w:lang w:eastAsia="zh-CN" w:bidi="hi-IN"/>
              </w:rPr>
              <w:t xml:space="preserve"> de l'étudiant ;</w:t>
            </w:r>
          </w:p>
          <w:p w:rsidR="001C2FB4" w:rsidRPr="00C45864" w:rsidRDefault="001C2FB4" w:rsidP="001C2FB4">
            <w:pPr>
              <w:pStyle w:val="Paragraphedeliste"/>
              <w:numPr>
                <w:ilvl w:val="0"/>
                <w:numId w:val="0"/>
              </w:numPr>
              <w:ind w:left="176"/>
              <w:rPr>
                <w:rFonts w:asciiTheme="minorHAnsi" w:eastAsia="WenQuanYi Micro Hei" w:hAnsiTheme="minorHAnsi"/>
                <w:color w:val="000000"/>
                <w:kern w:val="1"/>
                <w:szCs w:val="24"/>
                <w:lang w:eastAsia="zh-CN" w:bidi="hi-IN"/>
              </w:rPr>
            </w:pPr>
          </w:p>
          <w:p w:rsidR="00B02A5F" w:rsidRPr="00C45864" w:rsidRDefault="00EB2F7F"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préparation</w:t>
            </w:r>
            <w:proofErr w:type="gramEnd"/>
            <w:r w:rsidRPr="00C45864">
              <w:rPr>
                <w:rFonts w:asciiTheme="minorHAnsi" w:eastAsia="WenQuanYi Micro Hei" w:hAnsiTheme="minorHAnsi"/>
                <w:color w:val="000000"/>
                <w:kern w:val="1"/>
                <w:szCs w:val="24"/>
                <w:lang w:eastAsia="zh-CN" w:bidi="hi-IN"/>
              </w:rPr>
              <w:t xml:space="preserve"> à l’insertion professionnelle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0143BE" w:rsidRPr="00C45864" w:rsidRDefault="00271D83"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872FBA" w:rsidRPr="00C45864">
              <w:rPr>
                <w:rFonts w:asciiTheme="minorHAnsi" w:eastAsia="WenQuanYi Micro Hei" w:hAnsiTheme="minorHAnsi"/>
                <w:color w:val="000000"/>
                <w:kern w:val="1"/>
                <w:szCs w:val="24"/>
                <w:lang w:eastAsia="zh-CN" w:bidi="hi-IN"/>
              </w:rPr>
              <w:t>attractivité</w:t>
            </w:r>
            <w:proofErr w:type="gramEnd"/>
            <w:r w:rsidR="00872FBA" w:rsidRPr="00C45864">
              <w:rPr>
                <w:rFonts w:asciiTheme="minorHAnsi" w:eastAsia="WenQuanYi Micro Hei" w:hAnsiTheme="minorHAnsi"/>
                <w:color w:val="000000"/>
                <w:kern w:val="1"/>
                <w:szCs w:val="24"/>
                <w:lang w:eastAsia="zh-CN" w:bidi="hi-IN"/>
              </w:rPr>
              <w:t xml:space="preserve"> de l’offre d’enseignement</w:t>
            </w:r>
            <w:r w:rsidR="00113E57" w:rsidRPr="00C45864">
              <w:rPr>
                <w:rFonts w:asciiTheme="minorHAnsi" w:eastAsia="WenQuanYi Micro Hei" w:hAnsiTheme="minorHAnsi"/>
                <w:color w:val="000000"/>
                <w:kern w:val="1"/>
                <w:szCs w:val="24"/>
                <w:lang w:eastAsia="zh-CN" w:bidi="hi-IN"/>
              </w:rPr>
              <w:t>s</w:t>
            </w:r>
            <w:r w:rsidR="00872FBA" w:rsidRPr="00C45864">
              <w:rPr>
                <w:rFonts w:asciiTheme="minorHAnsi" w:eastAsia="WenQuanYi Micro Hei" w:hAnsiTheme="minorHAnsi"/>
                <w:color w:val="000000"/>
                <w:kern w:val="1"/>
                <w:szCs w:val="24"/>
                <w:lang w:eastAsia="zh-CN" w:bidi="hi-IN"/>
              </w:rPr>
              <w:t> ;</w:t>
            </w:r>
          </w:p>
          <w:p w:rsidR="00A863E1" w:rsidRPr="00C45864" w:rsidRDefault="00A863E1" w:rsidP="00A865A9">
            <w:pPr>
              <w:rPr>
                <w:rFonts w:asciiTheme="minorHAnsi" w:hAnsiTheme="minorHAnsi" w:cs="Times New Roman"/>
                <w:bCs/>
                <w:color w:val="000000"/>
                <w:sz w:val="24"/>
              </w:rPr>
            </w:pPr>
          </w:p>
          <w:p w:rsidR="00B06914" w:rsidRPr="00C45864" w:rsidRDefault="00B06914" w:rsidP="00A865A9">
            <w:pPr>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284" w:type="dxa"/>
          </w:tcPr>
          <w:p w:rsidR="000143BE" w:rsidRPr="00C45864" w:rsidRDefault="000143BE" w:rsidP="00604BB8">
            <w:pPr>
              <w:rPr>
                <w:rFonts w:asciiTheme="minorHAnsi" w:hAnsiTheme="minorHAnsi" w:cs="Times New Roman"/>
                <w:sz w:val="24"/>
              </w:rPr>
            </w:pPr>
          </w:p>
        </w:tc>
        <w:tc>
          <w:tcPr>
            <w:tcW w:w="283" w:type="dxa"/>
          </w:tcPr>
          <w:p w:rsidR="000143BE" w:rsidRDefault="000143BE"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Pr="00C45864" w:rsidRDefault="00B14F16" w:rsidP="00604BB8">
            <w:pPr>
              <w:rPr>
                <w:rFonts w:asciiTheme="minorHAnsi" w:hAnsiTheme="minorHAnsi" w:cs="Times New Roman"/>
                <w:sz w:val="24"/>
              </w:rPr>
            </w:pPr>
          </w:p>
        </w:tc>
        <w:tc>
          <w:tcPr>
            <w:tcW w:w="284" w:type="dxa"/>
          </w:tcPr>
          <w:p w:rsidR="000143BE" w:rsidRDefault="000143BE"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Pr="00C45864" w:rsidRDefault="00B14F16" w:rsidP="00604BB8">
            <w:pPr>
              <w:rPr>
                <w:rFonts w:asciiTheme="minorHAnsi" w:hAnsiTheme="minorHAnsi" w:cs="Times New Roman"/>
                <w:sz w:val="24"/>
              </w:rPr>
            </w:pPr>
          </w:p>
        </w:tc>
        <w:tc>
          <w:tcPr>
            <w:tcW w:w="283" w:type="dxa"/>
          </w:tcPr>
          <w:p w:rsidR="00B14F16" w:rsidRDefault="00B14F16" w:rsidP="00604BB8">
            <w:pPr>
              <w:rPr>
                <w:rFonts w:asciiTheme="minorHAnsi" w:hAnsiTheme="minorHAnsi" w:cs="Times New Roman"/>
                <w:sz w:val="24"/>
              </w:rPr>
            </w:pPr>
          </w:p>
          <w:p w:rsidR="002C6831" w:rsidRDefault="002C6831"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2C6831" w:rsidRDefault="002C6831" w:rsidP="00604BB8">
            <w:pPr>
              <w:rPr>
                <w:rFonts w:asciiTheme="minorHAnsi" w:hAnsiTheme="minorHAnsi" w:cs="Times New Roman"/>
                <w:sz w:val="24"/>
              </w:rPr>
            </w:pPr>
          </w:p>
          <w:p w:rsidR="002C6831" w:rsidRDefault="002C6831" w:rsidP="00604BB8">
            <w:pPr>
              <w:rPr>
                <w:rFonts w:asciiTheme="minorHAnsi" w:hAnsiTheme="minorHAnsi" w:cs="Times New Roman"/>
                <w:sz w:val="24"/>
              </w:rPr>
            </w:pPr>
            <w:r>
              <w:rPr>
                <w:rFonts w:asciiTheme="minorHAnsi" w:hAnsiTheme="minorHAnsi" w:cs="Times New Roman"/>
                <w:sz w:val="24"/>
              </w:rPr>
              <w:t>X</w:t>
            </w:r>
          </w:p>
          <w:p w:rsidR="002C6831" w:rsidRPr="00C45864" w:rsidRDefault="002C6831" w:rsidP="00604BB8">
            <w:pPr>
              <w:rPr>
                <w:rFonts w:asciiTheme="minorHAnsi" w:hAnsiTheme="minorHAnsi" w:cs="Times New Roman"/>
                <w:sz w:val="24"/>
              </w:rPr>
            </w:pPr>
          </w:p>
        </w:tc>
        <w:tc>
          <w:tcPr>
            <w:tcW w:w="4369" w:type="dxa"/>
          </w:tcPr>
          <w:p w:rsidR="000143BE" w:rsidRPr="00845AFE" w:rsidRDefault="004504D7" w:rsidP="00604BB8">
            <w:pPr>
              <w:rPr>
                <w:rFonts w:asciiTheme="minorHAnsi" w:hAnsiTheme="minorHAnsi" w:cs="Times New Roman"/>
                <w:sz w:val="24"/>
              </w:rPr>
            </w:pPr>
            <w:r w:rsidRPr="00845AFE">
              <w:rPr>
                <w:rFonts w:asciiTheme="minorHAnsi" w:hAnsiTheme="minorHAnsi" w:cs="Times New Roman"/>
                <w:sz w:val="24"/>
              </w:rPr>
              <w:t xml:space="preserve">La cohérence interne de </w:t>
            </w:r>
            <w:r w:rsidR="002C6831" w:rsidRPr="00845AFE">
              <w:rPr>
                <w:rFonts w:asciiTheme="minorHAnsi" w:hAnsiTheme="minorHAnsi" w:cs="Times New Roman"/>
                <w:sz w:val="24"/>
              </w:rPr>
              <w:t xml:space="preserve">l’offre d’enseignement de </w:t>
            </w:r>
            <w:r w:rsidRPr="00845AFE">
              <w:rPr>
                <w:rFonts w:asciiTheme="minorHAnsi" w:hAnsiTheme="minorHAnsi" w:cs="Times New Roman"/>
                <w:sz w:val="24"/>
              </w:rPr>
              <w:t xml:space="preserve">l’établissement </w:t>
            </w:r>
            <w:r w:rsidR="002C6831" w:rsidRPr="00845AFE">
              <w:rPr>
                <w:rFonts w:asciiTheme="minorHAnsi" w:hAnsiTheme="minorHAnsi" w:cs="Times New Roman"/>
                <w:sz w:val="24"/>
              </w:rPr>
              <w:t>et sa diversité des esthétiques sont des atouts pour le Pont Supérieur qui participent de son attractivité.</w:t>
            </w:r>
          </w:p>
          <w:p w:rsidR="002C6831" w:rsidRDefault="00845AFE" w:rsidP="00604BB8">
            <w:pPr>
              <w:rPr>
                <w:rFonts w:asciiTheme="minorHAnsi" w:hAnsiTheme="minorHAnsi"/>
                <w:sz w:val="24"/>
              </w:rPr>
            </w:pPr>
            <w:r w:rsidRPr="00845AFE">
              <w:rPr>
                <w:rFonts w:asciiTheme="minorHAnsi" w:hAnsiTheme="minorHAnsi" w:cs="Times New Roman"/>
                <w:sz w:val="24"/>
              </w:rPr>
              <w:t>L’enjeu de son développement</w:t>
            </w:r>
            <w:r w:rsidR="002C6831" w:rsidRPr="00845AFE">
              <w:rPr>
                <w:rFonts w:asciiTheme="minorHAnsi" w:hAnsiTheme="minorHAnsi" w:cs="Times New Roman"/>
                <w:sz w:val="24"/>
              </w:rPr>
              <w:t xml:space="preserve"> </w:t>
            </w:r>
            <w:r w:rsidRPr="00845AFE">
              <w:rPr>
                <w:rFonts w:asciiTheme="minorHAnsi" w:hAnsiTheme="minorHAnsi" w:cs="Times New Roman"/>
                <w:sz w:val="24"/>
              </w:rPr>
              <w:t xml:space="preserve">se situe pour l’essentiel </w:t>
            </w:r>
            <w:r w:rsidRPr="00845AFE">
              <w:rPr>
                <w:rFonts w:asciiTheme="minorHAnsi" w:hAnsiTheme="minorHAnsi"/>
                <w:sz w:val="24"/>
              </w:rPr>
              <w:t>autour des</w:t>
            </w:r>
            <w:r w:rsidR="002C6831" w:rsidRPr="00845AFE">
              <w:rPr>
                <w:rFonts w:asciiTheme="minorHAnsi" w:hAnsiTheme="minorHAnsi"/>
                <w:sz w:val="24"/>
              </w:rPr>
              <w:t xml:space="preserve"> temps de transversalité, de collaborations pédagogiques et artistiques existants musique/danse</w:t>
            </w:r>
            <w:r>
              <w:rPr>
                <w:rFonts w:asciiTheme="minorHAnsi" w:hAnsiTheme="minorHAnsi"/>
                <w:sz w:val="24"/>
              </w:rPr>
              <w:t xml:space="preserve"> ; il s’agit de </w:t>
            </w:r>
            <w:r w:rsidRPr="00845AFE">
              <w:rPr>
                <w:rFonts w:asciiTheme="minorHAnsi" w:hAnsiTheme="minorHAnsi"/>
                <w:sz w:val="24"/>
              </w:rPr>
              <w:t>performer la question de la double implantation</w:t>
            </w:r>
            <w:r>
              <w:rPr>
                <w:rFonts w:asciiTheme="minorHAnsi" w:hAnsiTheme="minorHAnsi"/>
                <w:sz w:val="24"/>
              </w:rPr>
              <w:t xml:space="preserve"> du point de vue pédagogique</w:t>
            </w:r>
            <w:r w:rsidRPr="00845AFE">
              <w:rPr>
                <w:rFonts w:asciiTheme="minorHAnsi" w:hAnsiTheme="minorHAnsi"/>
                <w:sz w:val="24"/>
              </w:rPr>
              <w:t xml:space="preserve"> notamment en trouvant des prolongements </w:t>
            </w:r>
            <w:r w:rsidRPr="00845AFE">
              <w:rPr>
                <w:rFonts w:asciiTheme="minorHAnsi" w:hAnsiTheme="minorHAnsi"/>
                <w:sz w:val="24"/>
              </w:rPr>
              <w:t xml:space="preserve">aux temps de pratique partagée </w:t>
            </w:r>
            <w:r w:rsidRPr="00845AFE">
              <w:rPr>
                <w:rFonts w:asciiTheme="minorHAnsi" w:hAnsiTheme="minorHAnsi"/>
                <w:sz w:val="24"/>
              </w:rPr>
              <w:t>en amont et en aval par</w:t>
            </w:r>
            <w:r w:rsidR="002C6831" w:rsidRPr="00845AFE">
              <w:rPr>
                <w:rFonts w:asciiTheme="minorHAnsi" w:hAnsiTheme="minorHAnsi"/>
                <w:sz w:val="24"/>
              </w:rPr>
              <w:t xml:space="preserve"> </w:t>
            </w:r>
            <w:r w:rsidRPr="00845AFE">
              <w:rPr>
                <w:rFonts w:asciiTheme="minorHAnsi" w:hAnsiTheme="minorHAnsi"/>
                <w:sz w:val="24"/>
              </w:rPr>
              <w:t xml:space="preserve">des phases </w:t>
            </w:r>
            <w:r w:rsidR="002C6831" w:rsidRPr="00845AFE">
              <w:rPr>
                <w:rFonts w:asciiTheme="minorHAnsi" w:hAnsiTheme="minorHAnsi"/>
                <w:sz w:val="24"/>
              </w:rPr>
              <w:t>de réflexion et de recherche pour les étudiants concernés.</w:t>
            </w:r>
          </w:p>
          <w:p w:rsidR="00845AFE" w:rsidRDefault="00845AFE" w:rsidP="00604BB8">
            <w:pPr>
              <w:rPr>
                <w:rFonts w:asciiTheme="minorHAnsi" w:hAnsiTheme="minorHAnsi" w:cs="Times New Roman"/>
                <w:sz w:val="24"/>
              </w:rPr>
            </w:pPr>
            <w:r>
              <w:rPr>
                <w:rFonts w:asciiTheme="minorHAnsi" w:hAnsiTheme="minorHAnsi" w:cs="Times New Roman"/>
                <w:sz w:val="24"/>
              </w:rPr>
              <w:t xml:space="preserve">A l’échelle du Diplôme d’Etat, cela pourra se traduire par la mise en place de cours communs pour les musiciens et les danseurs, </w:t>
            </w:r>
            <w:r w:rsidR="00C35977">
              <w:rPr>
                <w:rFonts w:asciiTheme="minorHAnsi" w:hAnsiTheme="minorHAnsi" w:cs="Times New Roman"/>
                <w:sz w:val="24"/>
              </w:rPr>
              <w:t>aujourd’hui dans l’attente eu égard le contexte de réévaluation du DE Danse.</w:t>
            </w:r>
          </w:p>
          <w:p w:rsidR="00C35977" w:rsidRDefault="00C35977" w:rsidP="00604BB8">
            <w:pPr>
              <w:rPr>
                <w:rFonts w:asciiTheme="minorHAnsi" w:hAnsiTheme="minorHAnsi" w:cs="Times New Roman"/>
                <w:sz w:val="24"/>
              </w:rPr>
            </w:pPr>
            <w:r>
              <w:rPr>
                <w:rFonts w:asciiTheme="minorHAnsi" w:hAnsiTheme="minorHAnsi" w:cs="Times New Roman"/>
                <w:sz w:val="24"/>
              </w:rPr>
              <w:t xml:space="preserve">Par ailleurs, dès la rentrée 2019, des éléments d’une première </w:t>
            </w:r>
            <w:proofErr w:type="gramStart"/>
            <w:r>
              <w:rPr>
                <w:rFonts w:asciiTheme="minorHAnsi" w:hAnsiTheme="minorHAnsi" w:cs="Times New Roman"/>
                <w:sz w:val="24"/>
              </w:rPr>
              <w:t>collaboration  sont</w:t>
            </w:r>
            <w:proofErr w:type="gramEnd"/>
            <w:r>
              <w:rPr>
                <w:rFonts w:asciiTheme="minorHAnsi" w:hAnsiTheme="minorHAnsi" w:cs="Times New Roman"/>
                <w:sz w:val="24"/>
              </w:rPr>
              <w:t xml:space="preserve"> mis en place avec le CFMI avec les étudiants du DE Musique.</w:t>
            </w:r>
          </w:p>
          <w:p w:rsidR="00C35977" w:rsidRDefault="00C35977" w:rsidP="00604BB8">
            <w:pPr>
              <w:rPr>
                <w:rFonts w:asciiTheme="minorHAnsi" w:hAnsiTheme="minorHAnsi" w:cs="Times New Roman"/>
                <w:sz w:val="24"/>
              </w:rPr>
            </w:pPr>
          </w:p>
          <w:p w:rsidR="00C35977" w:rsidRPr="00C45864" w:rsidRDefault="00C35977" w:rsidP="00604BB8">
            <w:pPr>
              <w:rPr>
                <w:rFonts w:asciiTheme="minorHAnsi" w:hAnsiTheme="minorHAnsi" w:cs="Times New Roman"/>
                <w:sz w:val="24"/>
              </w:rPr>
            </w:pPr>
            <w:r>
              <w:rPr>
                <w:rFonts w:asciiTheme="minorHAnsi" w:hAnsiTheme="minorHAnsi" w:cs="Times New Roman"/>
                <w:sz w:val="24"/>
              </w:rPr>
              <w:t xml:space="preserve">Le repérage et la lisibilité budgétaire des crédits dédiés à l’accompagnement à l’insertion professionnelle permettront une meilleure prise en compte des nombreuses actions déjà </w:t>
            </w:r>
            <w:r w:rsidR="00A65BC3">
              <w:rPr>
                <w:rFonts w:asciiTheme="minorHAnsi" w:hAnsiTheme="minorHAnsi" w:cs="Times New Roman"/>
                <w:sz w:val="24"/>
              </w:rPr>
              <w:t>mises en œuvre.</w:t>
            </w:r>
          </w:p>
        </w:tc>
      </w:tr>
      <w:tr w:rsidR="000143BE" w:rsidRPr="00C45864" w:rsidTr="004009C0">
        <w:trPr>
          <w:trHeight w:val="340"/>
          <w:jc w:val="center"/>
        </w:trPr>
        <w:tc>
          <w:tcPr>
            <w:tcW w:w="4815" w:type="dxa"/>
          </w:tcPr>
          <w:p w:rsidR="006864AD" w:rsidRPr="00C45864" w:rsidRDefault="002D74EB" w:rsidP="006864AD">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lastRenderedPageBreak/>
              <w:t xml:space="preserve">Domaine 2 : </w:t>
            </w:r>
            <w:r w:rsidR="006864AD" w:rsidRPr="00C45864">
              <w:rPr>
                <w:rFonts w:asciiTheme="minorHAnsi" w:eastAsia="WenQuanYi Micro Hei" w:hAnsiTheme="minorHAnsi"/>
                <w:bCs/>
                <w:color w:val="548DD4" w:themeColor="text2" w:themeTint="99"/>
                <w:kern w:val="1"/>
                <w:lang w:eastAsia="zh-CN" w:bidi="hi-IN"/>
              </w:rPr>
              <w:t xml:space="preserve">Recherche </w:t>
            </w:r>
          </w:p>
          <w:p w:rsidR="00E83C48" w:rsidRPr="00C45864" w:rsidRDefault="006864AD" w:rsidP="006864AD">
            <w:pPr>
              <w:spacing w:before="100" w:beforeAutospacing="1"/>
              <w:rPr>
                <w:rFonts w:asciiTheme="minorHAnsi" w:hAnsiTheme="minorHAnsi" w:cs="Times New Roman"/>
                <w:bCs/>
                <w:color w:val="000000"/>
                <w:sz w:val="24"/>
              </w:rPr>
            </w:pPr>
            <w:r w:rsidRPr="004F6C50">
              <w:rPr>
                <w:rFonts w:asciiTheme="minorHAnsi" w:hAnsiTheme="minorHAnsi" w:cs="Times New Roman"/>
                <w:bCs/>
                <w:sz w:val="24"/>
              </w:rPr>
              <w:t xml:space="preserve">– </w:t>
            </w:r>
            <w:r w:rsidR="00317487" w:rsidRPr="004F6C50">
              <w:rPr>
                <w:rFonts w:asciiTheme="minorHAnsi" w:hAnsiTheme="minorHAnsi" w:cs="Times New Roman"/>
                <w:bCs/>
                <w:sz w:val="24"/>
              </w:rPr>
              <w:t xml:space="preserve">état </w:t>
            </w:r>
            <w:r w:rsidRPr="00C45864">
              <w:rPr>
                <w:rFonts w:asciiTheme="minorHAnsi" w:hAnsiTheme="minorHAnsi" w:cs="Times New Roman"/>
                <w:bCs/>
                <w:color w:val="000000"/>
                <w:sz w:val="24"/>
              </w:rPr>
              <w:t>des ac</w:t>
            </w:r>
            <w:r w:rsidR="006D1B00" w:rsidRPr="00C45864">
              <w:rPr>
                <w:rFonts w:asciiTheme="minorHAnsi" w:hAnsiTheme="minorHAnsi" w:cs="Times New Roman"/>
                <w:bCs/>
                <w:color w:val="000000"/>
                <w:sz w:val="24"/>
              </w:rPr>
              <w:t xml:space="preserve">tivités de recherche artistique </w:t>
            </w:r>
            <w:r w:rsidR="003A2C20" w:rsidRPr="00C45864">
              <w:rPr>
                <w:rFonts w:asciiTheme="minorHAnsi" w:hAnsiTheme="minorHAnsi" w:cs="Times New Roman"/>
                <w:bCs/>
                <w:color w:val="000000"/>
                <w:sz w:val="24"/>
              </w:rPr>
              <w:t>;</w:t>
            </w:r>
          </w:p>
          <w:p w:rsidR="006864AD" w:rsidRPr="00C45864" w:rsidRDefault="00E76106" w:rsidP="004350B7">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eastAsia="WenQuanYi Micro Hei" w:hAnsiTheme="minorHAnsi"/>
                <w:color w:val="000000"/>
                <w:kern w:val="1"/>
                <w:szCs w:val="24"/>
                <w:lang w:eastAsia="zh-CN" w:bidi="hi-IN"/>
              </w:rPr>
              <w:t>organisation</w:t>
            </w:r>
            <w:proofErr w:type="gramEnd"/>
            <w:r w:rsidRPr="00C45864">
              <w:rPr>
                <w:rFonts w:asciiTheme="minorHAnsi" w:eastAsia="WenQuanYi Micro Hei" w:hAnsiTheme="minorHAnsi"/>
                <w:color w:val="000000"/>
                <w:kern w:val="1"/>
                <w:szCs w:val="24"/>
                <w:lang w:eastAsia="zh-CN" w:bidi="hi-IN"/>
              </w:rPr>
              <w:t xml:space="preserve"> et </w:t>
            </w:r>
            <w:r w:rsidR="003A2C20" w:rsidRPr="00C45864">
              <w:rPr>
                <w:rFonts w:asciiTheme="minorHAnsi" w:eastAsia="WenQuanYi Micro Hei" w:hAnsiTheme="minorHAnsi"/>
                <w:color w:val="000000"/>
                <w:kern w:val="1"/>
                <w:szCs w:val="24"/>
                <w:lang w:eastAsia="zh-CN" w:bidi="hi-IN"/>
              </w:rPr>
              <w:t>g</w:t>
            </w:r>
            <w:r w:rsidR="006864AD" w:rsidRPr="00C45864">
              <w:rPr>
                <w:rFonts w:asciiTheme="minorHAnsi" w:eastAsia="WenQuanYi Micro Hei" w:hAnsiTheme="minorHAnsi"/>
                <w:color w:val="000000"/>
                <w:kern w:val="1"/>
                <w:szCs w:val="24"/>
                <w:lang w:eastAsia="zh-CN" w:bidi="hi-IN"/>
              </w:rPr>
              <w:t>ouvernance de la recherche</w:t>
            </w:r>
            <w:r w:rsidR="003A2C20" w:rsidRPr="00C45864">
              <w:rPr>
                <w:rFonts w:asciiTheme="minorHAnsi" w:eastAsia="WenQuanYi Micro Hei" w:hAnsiTheme="minorHAnsi"/>
                <w:color w:val="000000"/>
                <w:kern w:val="1"/>
                <w:szCs w:val="24"/>
                <w:lang w:eastAsia="zh-CN" w:bidi="hi-IN"/>
              </w:rPr>
              <w:t> ;</w:t>
            </w:r>
          </w:p>
          <w:p w:rsidR="006864AD" w:rsidRPr="00C45864" w:rsidRDefault="006864AD" w:rsidP="006864AD">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w:t>
            </w:r>
            <w:r w:rsidR="003A2C20" w:rsidRPr="00C45864">
              <w:rPr>
                <w:rFonts w:asciiTheme="minorHAnsi" w:hAnsiTheme="minorHAnsi" w:cs="Times New Roman"/>
                <w:bCs/>
                <w:color w:val="000000"/>
                <w:sz w:val="24"/>
              </w:rPr>
              <w:t xml:space="preserve"> adossement de la formation à la recherche ;</w:t>
            </w:r>
          </w:p>
          <w:p w:rsidR="006864AD" w:rsidRPr="00C45864" w:rsidRDefault="00F74F44"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6864AD" w:rsidRPr="00C45864">
              <w:rPr>
                <w:rFonts w:asciiTheme="minorHAnsi" w:eastAsia="WenQuanYi Micro Hei" w:hAnsiTheme="minorHAnsi"/>
                <w:color w:val="000000"/>
                <w:kern w:val="1"/>
                <w:szCs w:val="24"/>
                <w:lang w:eastAsia="zh-CN" w:bidi="hi-IN"/>
              </w:rPr>
              <w:t>partenariats</w:t>
            </w:r>
            <w:proofErr w:type="gramEnd"/>
            <w:r w:rsidR="006864AD" w:rsidRPr="00C45864">
              <w:rPr>
                <w:rFonts w:asciiTheme="minorHAnsi" w:eastAsia="WenQuanYi Micro Hei" w:hAnsiTheme="minorHAnsi"/>
                <w:color w:val="000000"/>
                <w:kern w:val="1"/>
                <w:szCs w:val="24"/>
                <w:lang w:eastAsia="zh-CN" w:bidi="hi-IN"/>
              </w:rPr>
              <w:t xml:space="preserve"> en matière de recherche</w:t>
            </w:r>
            <w:r w:rsidR="00877F09"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6864AD" w:rsidRPr="00C45864" w:rsidRDefault="00F11BAE"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w:t>
            </w:r>
            <w:r w:rsidR="00F74F44" w:rsidRPr="00C45864">
              <w:rPr>
                <w:rFonts w:asciiTheme="minorHAnsi" w:eastAsia="WenQuanYi Micro Hei" w:hAnsiTheme="minorHAnsi"/>
                <w:color w:val="000000"/>
                <w:kern w:val="1"/>
                <w:szCs w:val="24"/>
                <w:lang w:eastAsia="zh-CN" w:bidi="hi-IN"/>
              </w:rPr>
              <w:t>déquation</w:t>
            </w:r>
            <w:proofErr w:type="gramEnd"/>
            <w:r w:rsidR="00F74F44" w:rsidRPr="00C45864">
              <w:rPr>
                <w:rFonts w:asciiTheme="minorHAnsi" w:eastAsia="WenQuanYi Micro Hei" w:hAnsiTheme="minorHAnsi"/>
                <w:color w:val="000000"/>
                <w:kern w:val="1"/>
                <w:szCs w:val="24"/>
                <w:lang w:eastAsia="zh-CN" w:bidi="hi-IN"/>
              </w:rPr>
              <w:t xml:space="preserve"> </w:t>
            </w:r>
            <w:r w:rsidR="006864AD" w:rsidRPr="00C45864">
              <w:rPr>
                <w:rFonts w:asciiTheme="minorHAnsi" w:eastAsia="WenQuanYi Micro Hei" w:hAnsiTheme="minorHAnsi"/>
                <w:color w:val="000000"/>
                <w:kern w:val="1"/>
                <w:szCs w:val="24"/>
                <w:lang w:eastAsia="zh-CN" w:bidi="hi-IN"/>
              </w:rPr>
              <w:t>de</w:t>
            </w:r>
            <w:r w:rsidR="00F74F44" w:rsidRPr="00C45864">
              <w:rPr>
                <w:rFonts w:asciiTheme="minorHAnsi" w:eastAsia="WenQuanYi Micro Hei" w:hAnsiTheme="minorHAnsi"/>
                <w:color w:val="000000"/>
                <w:kern w:val="1"/>
                <w:szCs w:val="24"/>
                <w:lang w:eastAsia="zh-CN" w:bidi="hi-IN"/>
              </w:rPr>
              <w:t>s</w:t>
            </w:r>
            <w:r w:rsidR="006864AD" w:rsidRPr="00C45864">
              <w:rPr>
                <w:rFonts w:asciiTheme="minorHAnsi" w:eastAsia="WenQuanYi Micro Hei" w:hAnsiTheme="minorHAnsi"/>
                <w:color w:val="000000"/>
                <w:kern w:val="1"/>
                <w:szCs w:val="24"/>
                <w:lang w:eastAsia="zh-CN" w:bidi="hi-IN"/>
              </w:rPr>
              <w:t xml:space="preserve"> financements </w:t>
            </w:r>
            <w:r w:rsidR="00F74F44" w:rsidRPr="00C45864">
              <w:rPr>
                <w:rFonts w:asciiTheme="minorHAnsi" w:eastAsia="WenQuanYi Micro Hei" w:hAnsiTheme="minorHAnsi"/>
                <w:color w:val="000000"/>
                <w:kern w:val="1"/>
                <w:szCs w:val="24"/>
                <w:lang w:eastAsia="zh-CN" w:bidi="hi-IN"/>
              </w:rPr>
              <w:t xml:space="preserve">aux besoins </w:t>
            </w:r>
            <w:r w:rsidR="006864AD" w:rsidRPr="00C45864">
              <w:rPr>
                <w:rFonts w:asciiTheme="minorHAnsi" w:eastAsia="WenQuanYi Micro Hei" w:hAnsiTheme="minorHAnsi"/>
                <w:color w:val="000000"/>
                <w:kern w:val="1"/>
                <w:szCs w:val="24"/>
                <w:lang w:eastAsia="zh-CN" w:bidi="hi-IN"/>
              </w:rPr>
              <w:t>de la recherche</w:t>
            </w:r>
            <w:r w:rsidR="00877F09"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0B6F20" w:rsidRPr="00C45864" w:rsidRDefault="000B6F20"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valorisation</w:t>
            </w:r>
            <w:proofErr w:type="gramEnd"/>
            <w:r w:rsidRPr="00C45864">
              <w:rPr>
                <w:rFonts w:asciiTheme="minorHAnsi" w:eastAsia="WenQuanYi Micro Hei" w:hAnsiTheme="minorHAnsi"/>
                <w:color w:val="000000"/>
                <w:kern w:val="1"/>
                <w:szCs w:val="24"/>
                <w:lang w:eastAsia="zh-CN" w:bidi="hi-IN"/>
              </w:rPr>
              <w:t xml:space="preserve"> de la recherche</w:t>
            </w:r>
            <w:r w:rsidR="004350B7" w:rsidRPr="00C45864">
              <w:rPr>
                <w:rFonts w:asciiTheme="minorHAnsi" w:eastAsia="WenQuanYi Micro Hei" w:hAnsiTheme="minorHAnsi"/>
                <w:color w:val="000000"/>
                <w:kern w:val="1"/>
                <w:szCs w:val="24"/>
                <w:lang w:eastAsia="zh-CN" w:bidi="hi-IN"/>
              </w:rPr>
              <w:t> ;</w:t>
            </w:r>
          </w:p>
          <w:p w:rsidR="000143BE" w:rsidRPr="00C45864" w:rsidRDefault="000143BE" w:rsidP="00604BB8">
            <w:pPr>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284" w:type="dxa"/>
          </w:tcPr>
          <w:p w:rsidR="000143BE" w:rsidRPr="00C45864" w:rsidRDefault="000143BE" w:rsidP="00604BB8">
            <w:pPr>
              <w:rPr>
                <w:rFonts w:asciiTheme="minorHAnsi" w:hAnsiTheme="minorHAnsi" w:cs="Times New Roman"/>
                <w:sz w:val="24"/>
              </w:rPr>
            </w:pPr>
          </w:p>
        </w:tc>
        <w:tc>
          <w:tcPr>
            <w:tcW w:w="283" w:type="dxa"/>
          </w:tcPr>
          <w:p w:rsidR="000143BE" w:rsidRDefault="000143BE"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Pr="00C45864" w:rsidRDefault="00B14F16" w:rsidP="00604BB8">
            <w:pPr>
              <w:rPr>
                <w:rFonts w:asciiTheme="minorHAnsi" w:hAnsiTheme="minorHAnsi" w:cs="Times New Roman"/>
                <w:sz w:val="24"/>
              </w:rPr>
            </w:pPr>
          </w:p>
        </w:tc>
        <w:tc>
          <w:tcPr>
            <w:tcW w:w="284" w:type="dxa"/>
          </w:tcPr>
          <w:p w:rsidR="000143BE" w:rsidRDefault="000143BE"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Default="00B14F16" w:rsidP="00604BB8">
            <w:pPr>
              <w:rPr>
                <w:rFonts w:asciiTheme="minorHAnsi" w:hAnsiTheme="minorHAnsi" w:cs="Times New Roman"/>
                <w:sz w:val="24"/>
              </w:rPr>
            </w:pPr>
          </w:p>
          <w:p w:rsidR="00B14F16" w:rsidRDefault="00B14F16" w:rsidP="00604BB8">
            <w:pPr>
              <w:rPr>
                <w:rFonts w:asciiTheme="minorHAnsi" w:hAnsiTheme="minorHAnsi" w:cs="Times New Roman"/>
                <w:sz w:val="24"/>
              </w:rPr>
            </w:pPr>
            <w:r>
              <w:rPr>
                <w:rFonts w:asciiTheme="minorHAnsi" w:hAnsiTheme="minorHAnsi" w:cs="Times New Roman"/>
                <w:sz w:val="24"/>
              </w:rPr>
              <w:t>X</w:t>
            </w:r>
          </w:p>
          <w:p w:rsidR="00B14F16" w:rsidRPr="00C45864" w:rsidRDefault="00B14F16" w:rsidP="00604BB8">
            <w:pPr>
              <w:rPr>
                <w:rFonts w:asciiTheme="minorHAnsi" w:hAnsiTheme="minorHAnsi" w:cs="Times New Roman"/>
                <w:sz w:val="24"/>
              </w:rPr>
            </w:pPr>
          </w:p>
        </w:tc>
        <w:tc>
          <w:tcPr>
            <w:tcW w:w="283" w:type="dxa"/>
          </w:tcPr>
          <w:p w:rsidR="000143BE" w:rsidRPr="00C45864" w:rsidRDefault="000143BE" w:rsidP="00604BB8">
            <w:pPr>
              <w:rPr>
                <w:rFonts w:asciiTheme="minorHAnsi" w:hAnsiTheme="minorHAnsi" w:cs="Times New Roman"/>
                <w:sz w:val="24"/>
              </w:rPr>
            </w:pPr>
          </w:p>
        </w:tc>
        <w:tc>
          <w:tcPr>
            <w:tcW w:w="4369" w:type="dxa"/>
          </w:tcPr>
          <w:p w:rsidR="00DE7515" w:rsidRPr="00910D73" w:rsidRDefault="00DE7515" w:rsidP="00DE7515">
            <w:pPr>
              <w:rPr>
                <w:rFonts w:asciiTheme="minorHAnsi" w:hAnsiTheme="minorHAnsi"/>
                <w:sz w:val="24"/>
              </w:rPr>
            </w:pPr>
            <w:proofErr w:type="gramStart"/>
            <w:r w:rsidRPr="00910D73">
              <w:rPr>
                <w:rFonts w:asciiTheme="minorHAnsi" w:hAnsiTheme="minorHAnsi"/>
                <w:sz w:val="24"/>
              </w:rPr>
              <w:t>Suite aux</w:t>
            </w:r>
            <w:proofErr w:type="gramEnd"/>
            <w:r w:rsidRPr="00910D73">
              <w:rPr>
                <w:rFonts w:asciiTheme="minorHAnsi" w:hAnsiTheme="minorHAnsi"/>
                <w:sz w:val="24"/>
              </w:rPr>
              <w:t xml:space="preserve"> axes de réflexion et aux modalités de travail du groupe de recherche ARFAE (Atelier de recherche pour la formation des artistes et des enseignants) qui a réuni par convention triennale le Pont Supérieur, l’ENSATT, le Laboratoire « Éducation, cultures et politiques » de l’université de Lyon 2, le « CREN » de l’université de Nantes, le Pont Supérieur souhaite poursuivre, enrichir et développer cette politique de recherche.</w:t>
            </w:r>
          </w:p>
          <w:p w:rsidR="00910D73" w:rsidRPr="00910D73" w:rsidRDefault="00910D73" w:rsidP="00910D73">
            <w:pPr>
              <w:rPr>
                <w:sz w:val="24"/>
              </w:rPr>
            </w:pPr>
            <w:r w:rsidRPr="00910D73">
              <w:rPr>
                <w:sz w:val="24"/>
              </w:rPr>
              <w:t xml:space="preserve">Le choix « éditorial » fait par le Pont Supérieur dans le cadre d’ARFAE intègre pleinement la dimension pédagogique. Des relations établies avec l’ESPE de Rennes augurent de la possibilité de lien avec un laboratoire dans le domaine des sciences de l’éducation. </w:t>
            </w:r>
          </w:p>
          <w:p w:rsidR="00910D73" w:rsidRPr="00910D73" w:rsidRDefault="00910D73" w:rsidP="00910D73">
            <w:pPr>
              <w:rPr>
                <w:sz w:val="24"/>
              </w:rPr>
            </w:pPr>
            <w:r w:rsidRPr="00910D73">
              <w:rPr>
                <w:sz w:val="24"/>
              </w:rPr>
              <w:t xml:space="preserve">L’accompagnement financier se traduit en particulier </w:t>
            </w:r>
            <w:r w:rsidRPr="00910D73">
              <w:rPr>
                <w:rFonts w:asciiTheme="minorHAnsi" w:hAnsiTheme="minorHAnsi"/>
                <w:sz w:val="24"/>
              </w:rPr>
              <w:t xml:space="preserve">via une convention triennale </w:t>
            </w:r>
            <w:r w:rsidRPr="00910D73">
              <w:rPr>
                <w:rFonts w:asciiTheme="minorHAnsi" w:hAnsiTheme="minorHAnsi"/>
                <w:sz w:val="24"/>
              </w:rPr>
              <w:t xml:space="preserve">avec Nantes </w:t>
            </w:r>
            <w:proofErr w:type="spellStart"/>
            <w:r w:rsidRPr="00910D73">
              <w:rPr>
                <w:rFonts w:asciiTheme="minorHAnsi" w:hAnsiTheme="minorHAnsi"/>
                <w:sz w:val="24"/>
              </w:rPr>
              <w:t>Metropole</w:t>
            </w:r>
            <w:proofErr w:type="spellEnd"/>
            <w:r w:rsidRPr="00910D73">
              <w:rPr>
                <w:rFonts w:asciiTheme="minorHAnsi" w:hAnsiTheme="minorHAnsi"/>
                <w:sz w:val="24"/>
              </w:rPr>
              <w:t xml:space="preserve"> </w:t>
            </w:r>
            <w:r w:rsidRPr="00910D73">
              <w:rPr>
                <w:rFonts w:asciiTheme="minorHAnsi" w:hAnsiTheme="minorHAnsi"/>
                <w:sz w:val="24"/>
              </w:rPr>
              <w:t>dans le cadre de sa mission « enseignement supérieur / recherche »</w:t>
            </w:r>
          </w:p>
          <w:p w:rsidR="000143BE" w:rsidRPr="00C45864" w:rsidRDefault="000143BE" w:rsidP="00604BB8">
            <w:pPr>
              <w:rPr>
                <w:rFonts w:asciiTheme="minorHAnsi" w:hAnsiTheme="minorHAnsi" w:cs="Times New Roman"/>
                <w:sz w:val="24"/>
              </w:rPr>
            </w:pPr>
          </w:p>
        </w:tc>
      </w:tr>
      <w:tr w:rsidR="00DA471A" w:rsidRPr="00C45864" w:rsidTr="004009C0">
        <w:trPr>
          <w:trHeight w:val="340"/>
          <w:jc w:val="center"/>
        </w:trPr>
        <w:tc>
          <w:tcPr>
            <w:tcW w:w="4815" w:type="dxa"/>
          </w:tcPr>
          <w:p w:rsidR="00DA471A" w:rsidRPr="00C45864" w:rsidRDefault="00DA471A" w:rsidP="00DA471A">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 xml:space="preserve">Domaine 3 : Pilotage </w:t>
            </w:r>
            <w:r w:rsidR="00E97354" w:rsidRPr="00C45864">
              <w:rPr>
                <w:rFonts w:asciiTheme="minorHAnsi" w:eastAsia="WenQuanYi Micro Hei" w:hAnsiTheme="minorHAnsi"/>
                <w:bCs/>
                <w:color w:val="548DD4" w:themeColor="text2" w:themeTint="99"/>
                <w:kern w:val="1"/>
                <w:lang w:eastAsia="zh-CN" w:bidi="hi-IN"/>
              </w:rPr>
              <w:t>et gouvernance de l’établissement</w:t>
            </w:r>
          </w:p>
          <w:p w:rsidR="00021767" w:rsidRPr="00C45864" w:rsidRDefault="00021767"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fonctionnement</w:t>
            </w:r>
            <w:proofErr w:type="gramEnd"/>
            <w:r w:rsidRPr="00C45864">
              <w:rPr>
                <w:rFonts w:asciiTheme="minorHAnsi" w:eastAsia="WenQuanYi Micro Hei" w:hAnsiTheme="minorHAnsi"/>
                <w:color w:val="000000"/>
                <w:kern w:val="1"/>
                <w:szCs w:val="24"/>
                <w:lang w:eastAsia="zh-CN" w:bidi="hi-IN"/>
              </w:rPr>
              <w:t xml:space="preserve"> des instances de gouvernance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DA471A" w:rsidRPr="00C45864" w:rsidRDefault="00021767"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DA471A" w:rsidRPr="00C45864">
              <w:rPr>
                <w:rFonts w:asciiTheme="minorHAnsi" w:eastAsia="WenQuanYi Micro Hei" w:hAnsiTheme="minorHAnsi"/>
                <w:color w:val="000000"/>
                <w:kern w:val="1"/>
                <w:szCs w:val="24"/>
                <w:lang w:eastAsia="zh-CN" w:bidi="hi-IN"/>
              </w:rPr>
              <w:t>démarche</w:t>
            </w:r>
            <w:proofErr w:type="gramEnd"/>
            <w:r w:rsidR="00DA471A" w:rsidRPr="00C45864">
              <w:rPr>
                <w:rFonts w:asciiTheme="minorHAnsi" w:eastAsia="WenQuanYi Micro Hei" w:hAnsiTheme="minorHAnsi"/>
                <w:color w:val="000000"/>
                <w:kern w:val="1"/>
                <w:szCs w:val="24"/>
                <w:lang w:eastAsia="zh-CN" w:bidi="hi-IN"/>
              </w:rPr>
              <w:t xml:space="preserve"> qualité (délivrance du </w:t>
            </w:r>
            <w:r w:rsidR="005E00E9" w:rsidRPr="00C45864">
              <w:rPr>
                <w:rFonts w:asciiTheme="minorHAnsi" w:eastAsia="WenQuanYi Micro Hei" w:hAnsiTheme="minorHAnsi"/>
                <w:color w:val="000000"/>
                <w:kern w:val="1"/>
                <w:szCs w:val="24"/>
                <w:lang w:eastAsia="zh-CN" w:bidi="hi-IN"/>
              </w:rPr>
              <w:t>supplément au diplôme</w:t>
            </w:r>
            <w:r w:rsidR="00DA471A" w:rsidRPr="00C45864">
              <w:rPr>
                <w:rFonts w:asciiTheme="minorHAnsi" w:eastAsia="WenQuanYi Micro Hei" w:hAnsiTheme="minorHAnsi"/>
                <w:color w:val="000000"/>
                <w:kern w:val="1"/>
                <w:szCs w:val="24"/>
                <w:lang w:eastAsia="zh-CN" w:bidi="hi-IN"/>
              </w:rPr>
              <w:t>, mise en place de conseils de perfectionnement, évaluation des enseignements et des formations et prise en compte des résultats</w:t>
            </w:r>
            <w:r w:rsidR="009B2C25" w:rsidRPr="00C45864">
              <w:rPr>
                <w:rFonts w:asciiTheme="minorHAnsi" w:eastAsia="WenQuanYi Micro Hei" w:hAnsiTheme="minorHAnsi"/>
                <w:color w:val="000000"/>
                <w:kern w:val="1"/>
                <w:szCs w:val="24"/>
                <w:lang w:eastAsia="zh-CN" w:bidi="hi-IN"/>
              </w:rPr>
              <w:t xml:space="preserve">, </w:t>
            </w:r>
            <w:r w:rsidR="00332A9F" w:rsidRPr="00C45864">
              <w:rPr>
                <w:rFonts w:asciiTheme="minorHAnsi" w:eastAsia="WenQuanYi Micro Hei" w:hAnsiTheme="minorHAnsi"/>
                <w:color w:val="000000"/>
                <w:kern w:val="1"/>
                <w:szCs w:val="24"/>
                <w:lang w:eastAsia="zh-CN" w:bidi="hi-IN"/>
              </w:rPr>
              <w:t>dispositif</w:t>
            </w:r>
            <w:r w:rsidR="008B2B99" w:rsidRPr="00C45864">
              <w:rPr>
                <w:rFonts w:asciiTheme="minorHAnsi" w:eastAsia="WenQuanYi Micro Hei" w:hAnsiTheme="minorHAnsi"/>
                <w:color w:val="000000"/>
                <w:kern w:val="1"/>
                <w:szCs w:val="24"/>
                <w:lang w:eastAsia="zh-CN" w:bidi="hi-IN"/>
              </w:rPr>
              <w:t xml:space="preserve"> d’auto- évaluation, </w:t>
            </w:r>
            <w:r w:rsidR="009B2C25" w:rsidRPr="00C45864">
              <w:rPr>
                <w:rFonts w:asciiTheme="minorHAnsi" w:eastAsia="WenQuanYi Micro Hei" w:hAnsiTheme="minorHAnsi"/>
                <w:color w:val="000000"/>
                <w:kern w:val="1"/>
                <w:szCs w:val="24"/>
                <w:lang w:eastAsia="zh-CN" w:bidi="hi-IN"/>
              </w:rPr>
              <w:t>etc.</w:t>
            </w:r>
            <w:r w:rsidR="00DA471A" w:rsidRPr="00C45864">
              <w:rPr>
                <w:rFonts w:asciiTheme="minorHAnsi" w:eastAsia="WenQuanYi Micro Hei" w:hAnsiTheme="minorHAnsi"/>
                <w:color w:val="000000"/>
                <w:kern w:val="1"/>
                <w:szCs w:val="24"/>
                <w:lang w:eastAsia="zh-CN" w:bidi="hi-IN"/>
              </w:rPr>
              <w:t>)</w:t>
            </w:r>
            <w:r w:rsidR="009312CE"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53410D" w:rsidRPr="00C45864" w:rsidRDefault="0053410D" w:rsidP="004350B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état</w:t>
            </w:r>
            <w:proofErr w:type="gramEnd"/>
            <w:r w:rsidRPr="00C45864">
              <w:rPr>
                <w:rFonts w:asciiTheme="minorHAnsi" w:eastAsia="WenQuanYi Micro Hei" w:hAnsiTheme="minorHAnsi"/>
                <w:color w:val="000000"/>
                <w:kern w:val="1"/>
                <w:szCs w:val="24"/>
                <w:lang w:eastAsia="zh-CN" w:bidi="hi-IN"/>
              </w:rPr>
              <w:t xml:space="preserve"> du dialogue social</w:t>
            </w:r>
            <w:r w:rsidR="0076068A" w:rsidRPr="00C45864">
              <w:rPr>
                <w:rFonts w:asciiTheme="minorHAnsi" w:eastAsia="WenQuanYi Micro Hei" w:hAnsiTheme="minorHAnsi"/>
                <w:color w:val="000000"/>
                <w:kern w:val="1"/>
                <w:szCs w:val="24"/>
                <w:lang w:eastAsia="zh-CN" w:bidi="hi-IN"/>
              </w:rPr>
              <w:t>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Pr="00C45864" w:rsidRDefault="007F667B"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égalité</w:t>
            </w:r>
            <w:proofErr w:type="gramEnd"/>
            <w:r w:rsidRPr="00C45864">
              <w:rPr>
                <w:rFonts w:asciiTheme="minorHAnsi" w:eastAsia="WenQuanYi Micro Hei" w:hAnsiTheme="minorHAnsi"/>
                <w:color w:val="000000"/>
                <w:kern w:val="1"/>
                <w:szCs w:val="24"/>
                <w:lang w:eastAsia="zh-CN" w:bidi="hi-IN"/>
              </w:rPr>
              <w:t>, diversité et parité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Pr="00C45864" w:rsidRDefault="0076068A" w:rsidP="007D1674">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23102D" w:rsidRPr="00C45864">
              <w:rPr>
                <w:rFonts w:asciiTheme="minorHAnsi" w:eastAsia="WenQuanYi Micro Hei" w:hAnsiTheme="minorHAnsi"/>
                <w:color w:val="000000"/>
                <w:kern w:val="1"/>
                <w:szCs w:val="24"/>
                <w:lang w:eastAsia="zh-CN" w:bidi="hi-IN"/>
              </w:rPr>
              <w:t>caractère</w:t>
            </w:r>
            <w:proofErr w:type="gramEnd"/>
            <w:r w:rsidR="0023102D" w:rsidRPr="00C45864">
              <w:rPr>
                <w:rFonts w:asciiTheme="minorHAnsi" w:eastAsia="WenQuanYi Micro Hei" w:hAnsiTheme="minorHAnsi"/>
                <w:color w:val="000000"/>
                <w:kern w:val="1"/>
                <w:szCs w:val="24"/>
                <w:lang w:eastAsia="zh-CN" w:bidi="hi-IN"/>
              </w:rPr>
              <w:t xml:space="preserve"> </w:t>
            </w:r>
            <w:r w:rsidR="0053410D" w:rsidRPr="00C45864">
              <w:rPr>
                <w:rFonts w:asciiTheme="minorHAnsi" w:eastAsia="WenQuanYi Micro Hei" w:hAnsiTheme="minorHAnsi"/>
                <w:color w:val="000000"/>
                <w:kern w:val="1"/>
                <w:szCs w:val="24"/>
                <w:lang w:eastAsia="zh-CN" w:bidi="hi-IN"/>
              </w:rPr>
              <w:t xml:space="preserve">opérationnel </w:t>
            </w:r>
            <w:r w:rsidR="007B1A3F" w:rsidRPr="00C45864">
              <w:rPr>
                <w:rFonts w:asciiTheme="minorHAnsi" w:eastAsia="WenQuanYi Micro Hei" w:hAnsiTheme="minorHAnsi"/>
                <w:color w:val="000000"/>
                <w:kern w:val="1"/>
                <w:szCs w:val="24"/>
                <w:lang w:eastAsia="zh-CN" w:bidi="hi-IN"/>
              </w:rPr>
              <w:t>de l’équip</w:t>
            </w:r>
            <w:r w:rsidR="0053410D" w:rsidRPr="00C45864">
              <w:rPr>
                <w:rFonts w:asciiTheme="minorHAnsi" w:eastAsia="WenQuanYi Micro Hei" w:hAnsiTheme="minorHAnsi"/>
                <w:color w:val="000000"/>
                <w:kern w:val="1"/>
                <w:szCs w:val="24"/>
                <w:lang w:eastAsia="zh-CN" w:bidi="hi-IN"/>
              </w:rPr>
              <w:t>e pédagogique ;</w:t>
            </w:r>
          </w:p>
          <w:p w:rsidR="007D1674" w:rsidRPr="00C45864" w:rsidRDefault="007D1674" w:rsidP="007D1674">
            <w:pPr>
              <w:pStyle w:val="Paragraphedeliste"/>
              <w:numPr>
                <w:ilvl w:val="0"/>
                <w:numId w:val="0"/>
              </w:numPr>
              <w:ind w:left="176"/>
              <w:rPr>
                <w:rFonts w:asciiTheme="minorHAnsi" w:eastAsia="WenQuanYi Micro Hei" w:hAnsiTheme="minorHAnsi"/>
                <w:color w:val="000000"/>
                <w:kern w:val="1"/>
                <w:szCs w:val="24"/>
                <w:lang w:eastAsia="zh-CN" w:bidi="hi-IN"/>
              </w:rPr>
            </w:pPr>
          </w:p>
          <w:p w:rsidR="0076068A" w:rsidRPr="00C45864" w:rsidRDefault="007D1674" w:rsidP="00AD2207">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0076068A" w:rsidRPr="00C45864">
              <w:rPr>
                <w:rFonts w:asciiTheme="minorHAnsi" w:eastAsia="WenQuanYi Micro Hei" w:hAnsiTheme="minorHAnsi"/>
                <w:color w:val="000000"/>
                <w:kern w:val="1"/>
                <w:szCs w:val="24"/>
                <w:lang w:eastAsia="zh-CN" w:bidi="hi-IN"/>
              </w:rPr>
              <w:t>c</w:t>
            </w:r>
            <w:r w:rsidR="007B1A3F" w:rsidRPr="00C45864">
              <w:rPr>
                <w:rFonts w:asciiTheme="minorHAnsi" w:eastAsia="WenQuanYi Micro Hei" w:hAnsiTheme="minorHAnsi"/>
                <w:color w:val="000000"/>
                <w:kern w:val="1"/>
                <w:szCs w:val="24"/>
                <w:lang w:eastAsia="zh-CN" w:bidi="hi-IN"/>
              </w:rPr>
              <w:t>aractère</w:t>
            </w:r>
            <w:proofErr w:type="gramEnd"/>
            <w:r w:rsidR="007B1A3F" w:rsidRPr="00C45864">
              <w:rPr>
                <w:rFonts w:asciiTheme="minorHAnsi" w:eastAsia="WenQuanYi Micro Hei" w:hAnsiTheme="minorHAnsi"/>
                <w:color w:val="000000"/>
                <w:kern w:val="1"/>
                <w:szCs w:val="24"/>
                <w:lang w:eastAsia="zh-CN" w:bidi="hi-IN"/>
              </w:rPr>
              <w:t xml:space="preserve"> opérationnel </w:t>
            </w:r>
            <w:r w:rsidR="009312CE" w:rsidRPr="00C45864">
              <w:rPr>
                <w:rFonts w:asciiTheme="minorHAnsi" w:eastAsia="WenQuanYi Micro Hei" w:hAnsiTheme="minorHAnsi"/>
                <w:color w:val="000000"/>
                <w:kern w:val="1"/>
                <w:szCs w:val="24"/>
                <w:lang w:eastAsia="zh-CN" w:bidi="hi-IN"/>
              </w:rPr>
              <w:t>de</w:t>
            </w:r>
            <w:r w:rsidR="00DA471A" w:rsidRPr="00C45864">
              <w:rPr>
                <w:rFonts w:asciiTheme="minorHAnsi" w:eastAsia="WenQuanYi Micro Hei" w:hAnsiTheme="minorHAnsi"/>
                <w:color w:val="000000"/>
                <w:kern w:val="1"/>
                <w:szCs w:val="24"/>
                <w:lang w:eastAsia="zh-CN" w:bidi="hi-IN"/>
              </w:rPr>
              <w:t xml:space="preserve"> l’équipe </w:t>
            </w:r>
            <w:r w:rsidR="007B1A3F" w:rsidRPr="00C45864">
              <w:rPr>
                <w:rFonts w:asciiTheme="minorHAnsi" w:eastAsia="WenQuanYi Micro Hei" w:hAnsiTheme="minorHAnsi"/>
                <w:color w:val="000000"/>
                <w:kern w:val="1"/>
                <w:szCs w:val="24"/>
                <w:lang w:eastAsia="zh-CN" w:bidi="hi-IN"/>
              </w:rPr>
              <w:t>administrative</w:t>
            </w:r>
            <w:r w:rsidR="009312CE" w:rsidRPr="00C45864">
              <w:rPr>
                <w:rFonts w:asciiTheme="minorHAnsi" w:eastAsia="WenQuanYi Micro Hei" w:hAnsiTheme="minorHAnsi"/>
                <w:color w:val="000000"/>
                <w:kern w:val="1"/>
                <w:szCs w:val="24"/>
                <w:lang w:eastAsia="zh-CN" w:bidi="hi-IN"/>
              </w:rPr>
              <w:t> ;</w:t>
            </w:r>
          </w:p>
          <w:p w:rsidR="00AD2207" w:rsidRPr="00C45864" w:rsidRDefault="00AD2207" w:rsidP="00AD2207">
            <w:pPr>
              <w:pStyle w:val="Paragraphedeliste"/>
              <w:numPr>
                <w:ilvl w:val="0"/>
                <w:numId w:val="0"/>
              </w:numPr>
              <w:ind w:left="176"/>
              <w:rPr>
                <w:rFonts w:asciiTheme="minorHAnsi" w:eastAsia="WenQuanYi Micro Hei" w:hAnsiTheme="minorHAnsi"/>
                <w:color w:val="000000"/>
                <w:kern w:val="1"/>
                <w:szCs w:val="24"/>
                <w:lang w:eastAsia="zh-CN" w:bidi="hi-IN"/>
              </w:rPr>
            </w:pPr>
          </w:p>
          <w:p w:rsidR="00B06914" w:rsidRPr="00455B74" w:rsidRDefault="0076068A" w:rsidP="00A863E1">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c</w:t>
            </w:r>
            <w:r w:rsidR="007B1A3F" w:rsidRPr="00C45864">
              <w:rPr>
                <w:rFonts w:asciiTheme="minorHAnsi" w:eastAsia="WenQuanYi Micro Hei" w:hAnsiTheme="minorHAnsi"/>
                <w:color w:val="000000"/>
                <w:kern w:val="1"/>
                <w:szCs w:val="24"/>
                <w:lang w:eastAsia="zh-CN" w:bidi="hi-IN"/>
              </w:rPr>
              <w:t>aractère</w:t>
            </w:r>
            <w:proofErr w:type="gramEnd"/>
            <w:r w:rsidR="007B1A3F" w:rsidRPr="00C45864">
              <w:rPr>
                <w:rFonts w:asciiTheme="minorHAnsi" w:eastAsia="WenQuanYi Micro Hei" w:hAnsiTheme="minorHAnsi"/>
                <w:color w:val="000000"/>
                <w:kern w:val="1"/>
                <w:szCs w:val="24"/>
                <w:lang w:eastAsia="zh-CN" w:bidi="hi-IN"/>
              </w:rPr>
              <w:t xml:space="preserve"> opérationnel des locaux et équipements ;</w:t>
            </w:r>
            <w:bookmarkStart w:id="0" w:name="_GoBack"/>
            <w:bookmarkEnd w:id="0"/>
          </w:p>
        </w:tc>
        <w:tc>
          <w:tcPr>
            <w:tcW w:w="309" w:type="dxa"/>
          </w:tcPr>
          <w:p w:rsidR="00DA471A" w:rsidRPr="00C45864" w:rsidRDefault="00DA471A" w:rsidP="00604BB8">
            <w:pPr>
              <w:rPr>
                <w:rFonts w:asciiTheme="minorHAnsi" w:hAnsiTheme="minorHAnsi" w:cs="Times New Roman"/>
                <w:sz w:val="24"/>
              </w:rPr>
            </w:pPr>
          </w:p>
        </w:tc>
        <w:tc>
          <w:tcPr>
            <w:tcW w:w="284" w:type="dxa"/>
          </w:tcPr>
          <w:p w:rsidR="00DA471A" w:rsidRPr="00C45864" w:rsidRDefault="00DA471A" w:rsidP="00604BB8">
            <w:pPr>
              <w:rPr>
                <w:rFonts w:asciiTheme="minorHAnsi" w:hAnsiTheme="minorHAnsi" w:cs="Times New Roman"/>
                <w:sz w:val="24"/>
              </w:rPr>
            </w:pPr>
          </w:p>
        </w:tc>
        <w:tc>
          <w:tcPr>
            <w:tcW w:w="283" w:type="dxa"/>
          </w:tcPr>
          <w:p w:rsidR="00DA471A" w:rsidRDefault="00DA471A"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Pr="00C45864" w:rsidRDefault="00F30E72" w:rsidP="00604BB8">
            <w:pPr>
              <w:rPr>
                <w:rFonts w:asciiTheme="minorHAnsi" w:hAnsiTheme="minorHAnsi" w:cs="Times New Roman"/>
                <w:sz w:val="24"/>
              </w:rPr>
            </w:pPr>
          </w:p>
        </w:tc>
        <w:tc>
          <w:tcPr>
            <w:tcW w:w="284" w:type="dxa"/>
          </w:tcPr>
          <w:p w:rsidR="00DA471A" w:rsidRDefault="00DA471A" w:rsidP="00604BB8">
            <w:pPr>
              <w:rPr>
                <w:rFonts w:asciiTheme="minorHAnsi" w:hAnsiTheme="minorHAnsi" w:cs="Times New Roman"/>
                <w:sz w:val="24"/>
              </w:rPr>
            </w:pPr>
          </w:p>
          <w:p w:rsidR="00541734" w:rsidRDefault="00541734" w:rsidP="00604BB8">
            <w:pPr>
              <w:rPr>
                <w:rFonts w:asciiTheme="minorHAnsi" w:hAnsiTheme="minorHAnsi" w:cs="Times New Roman"/>
                <w:sz w:val="24"/>
              </w:rPr>
            </w:pPr>
          </w:p>
          <w:p w:rsidR="00541734"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Pr="00C45864" w:rsidRDefault="00F30E72" w:rsidP="00604BB8">
            <w:pPr>
              <w:rPr>
                <w:rFonts w:asciiTheme="minorHAnsi" w:hAnsiTheme="minorHAnsi" w:cs="Times New Roman"/>
                <w:sz w:val="24"/>
              </w:rPr>
            </w:pPr>
          </w:p>
        </w:tc>
        <w:tc>
          <w:tcPr>
            <w:tcW w:w="283" w:type="dxa"/>
          </w:tcPr>
          <w:p w:rsidR="00DA471A" w:rsidRDefault="00DA471A"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Pr="00C45864" w:rsidRDefault="00F30E72" w:rsidP="00604BB8">
            <w:pPr>
              <w:rPr>
                <w:rFonts w:asciiTheme="minorHAnsi" w:hAnsiTheme="minorHAnsi" w:cs="Times New Roman"/>
                <w:sz w:val="24"/>
              </w:rPr>
            </w:pPr>
          </w:p>
        </w:tc>
        <w:tc>
          <w:tcPr>
            <w:tcW w:w="4369" w:type="dxa"/>
          </w:tcPr>
          <w:p w:rsidR="00A65BC3" w:rsidRPr="00A65BC3" w:rsidRDefault="00A65BC3" w:rsidP="00A65BC3">
            <w:pPr>
              <w:rPr>
                <w:sz w:val="24"/>
              </w:rPr>
            </w:pPr>
            <w:r w:rsidRPr="00A65BC3">
              <w:rPr>
                <w:sz w:val="24"/>
              </w:rPr>
              <w:t>Depuis l’arrivée de la nouvelle Directrice générale, un</w:t>
            </w:r>
            <w:r w:rsidRPr="00A65BC3">
              <w:rPr>
                <w:sz w:val="24"/>
              </w:rPr>
              <w:t xml:space="preserve"> important travail de structuration et de renforcement de l’équipe administrative du Pont Supérieur. Celle-ci manque d’outils et de textes cadre pour fonctionner sereinement.</w:t>
            </w:r>
          </w:p>
          <w:p w:rsidR="00A65BC3" w:rsidRPr="00A65BC3" w:rsidRDefault="00A65BC3" w:rsidP="00A65BC3">
            <w:pPr>
              <w:rPr>
                <w:sz w:val="24"/>
              </w:rPr>
            </w:pPr>
            <w:r w:rsidRPr="00A65BC3">
              <w:rPr>
                <w:sz w:val="24"/>
              </w:rPr>
              <w:t xml:space="preserve">Il convient de noter que l’équipe des </w:t>
            </w:r>
            <w:r w:rsidRPr="00A65BC3">
              <w:rPr>
                <w:sz w:val="24"/>
              </w:rPr>
              <w:t xml:space="preserve">personnels </w:t>
            </w:r>
            <w:r w:rsidRPr="00A65BC3">
              <w:rPr>
                <w:sz w:val="24"/>
              </w:rPr>
              <w:t xml:space="preserve">permanents voit évoluer sensiblement sa composition et son organisation </w:t>
            </w:r>
            <w:r w:rsidRPr="00A65BC3">
              <w:rPr>
                <w:sz w:val="24"/>
              </w:rPr>
              <w:t xml:space="preserve">depuis plusieurs mois ; c’est dans ce contexte mouvant que </w:t>
            </w:r>
            <w:r w:rsidRPr="00A65BC3">
              <w:rPr>
                <w:sz w:val="24"/>
              </w:rPr>
              <w:t xml:space="preserve">l’ensemble de ce travail de structuration se met en place </w:t>
            </w:r>
            <w:r w:rsidRPr="00A65BC3">
              <w:rPr>
                <w:sz w:val="24"/>
              </w:rPr>
              <w:t>avec détermination et patience</w:t>
            </w:r>
            <w:r w:rsidR="00EA51DC">
              <w:rPr>
                <w:sz w:val="24"/>
              </w:rPr>
              <w:t>.</w:t>
            </w:r>
          </w:p>
          <w:p w:rsidR="00DA471A" w:rsidRPr="00FB72E8" w:rsidRDefault="00A65BC3" w:rsidP="00A65BC3">
            <w:pPr>
              <w:rPr>
                <w:sz w:val="24"/>
              </w:rPr>
            </w:pPr>
            <w:r w:rsidRPr="00A65BC3">
              <w:rPr>
                <w:sz w:val="24"/>
              </w:rPr>
              <w:t xml:space="preserve">Un premier repérage de pistes de modification des statuts est en cours dans un </w:t>
            </w:r>
            <w:proofErr w:type="spellStart"/>
            <w:r w:rsidRPr="00A65BC3">
              <w:rPr>
                <w:sz w:val="24"/>
              </w:rPr>
              <w:t>souçi</w:t>
            </w:r>
            <w:proofErr w:type="spellEnd"/>
            <w:r w:rsidRPr="00A65BC3">
              <w:rPr>
                <w:sz w:val="24"/>
              </w:rPr>
              <w:t xml:space="preserve"> de mise en cohérence avec les évolutions déjà constatées et celles à venir (calendrier des élections des représentants des étudiants, conseil de perfectionnement, </w:t>
            </w:r>
            <w:r w:rsidR="00215C55">
              <w:rPr>
                <w:sz w:val="24"/>
              </w:rPr>
              <w:t xml:space="preserve">conseil scientifique et de la recherche, </w:t>
            </w:r>
            <w:r w:rsidRPr="00A65BC3">
              <w:rPr>
                <w:sz w:val="24"/>
              </w:rPr>
              <w:t xml:space="preserve">mise en place du Master avec l’UBO, règlement intérieur du CA…) ; </w:t>
            </w:r>
          </w:p>
          <w:p w:rsidR="00EA51DC" w:rsidRPr="00C45864" w:rsidRDefault="00EA51DC" w:rsidP="00A65BC3">
            <w:pPr>
              <w:rPr>
                <w:rFonts w:asciiTheme="minorHAnsi" w:hAnsiTheme="minorHAnsi" w:cs="Times New Roman"/>
                <w:sz w:val="24"/>
              </w:rPr>
            </w:pPr>
            <w:r>
              <w:rPr>
                <w:rFonts w:asciiTheme="minorHAnsi" w:hAnsiTheme="minorHAnsi" w:cs="Times New Roman"/>
                <w:sz w:val="24"/>
              </w:rPr>
              <w:t>La perspective de nouveaux locaux (2021) pour le site de Rennes apportera de nombreuses solutions aux difficultés observées jusqu’à présent.</w:t>
            </w:r>
          </w:p>
        </w:tc>
      </w:tr>
      <w:tr w:rsidR="00BF7586" w:rsidRPr="00C45864" w:rsidTr="004009C0">
        <w:trPr>
          <w:trHeight w:val="340"/>
          <w:jc w:val="center"/>
        </w:trPr>
        <w:tc>
          <w:tcPr>
            <w:tcW w:w="4815" w:type="dxa"/>
          </w:tcPr>
          <w:p w:rsidR="00A36FB3" w:rsidRPr="00C45864" w:rsidRDefault="00A36FB3" w:rsidP="00A36FB3">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Domaine 4 : Relation à l’étudiant</w:t>
            </w:r>
          </w:p>
          <w:p w:rsidR="0043654E" w:rsidRPr="00C45864" w:rsidRDefault="00EB568B" w:rsidP="00EB568B">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diversité de la population accédant à la formation ;</w:t>
            </w:r>
          </w:p>
          <w:p w:rsidR="00EB568B" w:rsidRPr="00C45864" w:rsidRDefault="00EB568B" w:rsidP="00EB568B">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proofErr w:type="gramStart"/>
            <w:r w:rsidRPr="00C45864">
              <w:rPr>
                <w:rFonts w:asciiTheme="minorHAnsi" w:eastAsia="WenQuanYi Micro Hei" w:hAnsiTheme="minorHAnsi"/>
                <w:color w:val="000000"/>
                <w:kern w:val="1"/>
                <w:szCs w:val="24"/>
                <w:lang w:eastAsia="zh-CN" w:bidi="hi-IN"/>
              </w:rPr>
              <w:t>accompagnement</w:t>
            </w:r>
            <w:proofErr w:type="gramEnd"/>
            <w:r w:rsidRPr="00C45864">
              <w:rPr>
                <w:rFonts w:asciiTheme="minorHAnsi" w:eastAsia="WenQuanYi Micro Hei" w:hAnsiTheme="minorHAnsi"/>
                <w:color w:val="000000"/>
                <w:kern w:val="1"/>
                <w:szCs w:val="24"/>
                <w:lang w:eastAsia="zh-CN" w:bidi="hi-IN"/>
              </w:rPr>
              <w:t xml:space="preserve"> et suivi interne des étudiants (suivi de cohorte) ;</w:t>
            </w:r>
          </w:p>
          <w:p w:rsidR="008F0D3A" w:rsidRPr="00C45864" w:rsidRDefault="008F0D3A"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8F0D3A" w:rsidRPr="00C45864" w:rsidRDefault="008F0D3A" w:rsidP="008F0D3A">
            <w:pPr>
              <w:pStyle w:val="Paragraphedeliste"/>
              <w:rPr>
                <w:rFonts w:asciiTheme="minorHAnsi" w:eastAsia="WenQuanYi Micro Hei" w:hAnsiTheme="minorHAnsi"/>
                <w:color w:val="000000"/>
                <w:kern w:val="1"/>
                <w:szCs w:val="24"/>
                <w:lang w:eastAsia="zh-CN" w:bidi="hi-IN"/>
              </w:rPr>
            </w:pPr>
            <w:proofErr w:type="gramStart"/>
            <w:r w:rsidRPr="00C45864">
              <w:rPr>
                <w:rFonts w:asciiTheme="minorHAnsi" w:hAnsiTheme="minorHAnsi"/>
                <w:color w:val="000000"/>
              </w:rPr>
              <w:t>condition</w:t>
            </w:r>
            <w:proofErr w:type="gramEnd"/>
            <w:r w:rsidRPr="00C45864">
              <w:rPr>
                <w:rFonts w:asciiTheme="minorHAnsi" w:hAnsiTheme="minorHAnsi"/>
                <w:color w:val="000000"/>
              </w:rPr>
              <w:t xml:space="preserve"> de vie des étudiants ;</w:t>
            </w:r>
          </w:p>
          <w:p w:rsidR="00EB568B" w:rsidRPr="00C45864" w:rsidRDefault="00EB568B"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8B1B99" w:rsidRPr="00A865A9" w:rsidRDefault="00457C42" w:rsidP="004350B7">
            <w:pPr>
              <w:pStyle w:val="Paragraphedeliste"/>
              <w:rPr>
                <w:rFonts w:asciiTheme="minorHAnsi" w:eastAsia="WenQuanYi Micro Hei" w:hAnsiTheme="minorHAnsi"/>
                <w:kern w:val="1"/>
                <w:szCs w:val="24"/>
                <w:lang w:eastAsia="zh-CN" w:bidi="hi-IN"/>
              </w:rPr>
            </w:pPr>
            <w:r w:rsidRPr="00C45864">
              <w:rPr>
                <w:rFonts w:asciiTheme="minorHAnsi" w:eastAsia="WenQuanYi Micro Hei" w:hAnsiTheme="minorHAnsi"/>
                <w:color w:val="000000"/>
                <w:kern w:val="1"/>
                <w:szCs w:val="24"/>
                <w:lang w:eastAsia="zh-CN" w:bidi="hi-IN"/>
              </w:rPr>
              <w:t xml:space="preserve"> </w:t>
            </w:r>
            <w:r w:rsidR="00426F67" w:rsidRPr="00C45864">
              <w:rPr>
                <w:rFonts w:asciiTheme="minorHAnsi" w:eastAsia="WenQuanYi Micro Hei" w:hAnsiTheme="minorHAnsi"/>
                <w:color w:val="000000"/>
                <w:kern w:val="1"/>
                <w:szCs w:val="24"/>
                <w:lang w:eastAsia="zh-CN" w:bidi="hi-IN"/>
              </w:rPr>
              <w:t xml:space="preserve">politique de </w:t>
            </w:r>
            <w:r w:rsidR="00426F67" w:rsidRPr="00A865A9">
              <w:rPr>
                <w:rFonts w:asciiTheme="minorHAnsi" w:eastAsia="WenQuanYi Micro Hei" w:hAnsiTheme="minorHAnsi"/>
                <w:kern w:val="1"/>
                <w:szCs w:val="24"/>
                <w:lang w:eastAsia="zh-CN" w:bidi="hi-IN"/>
              </w:rPr>
              <w:t>stage </w:t>
            </w:r>
            <w:r w:rsidR="00317487" w:rsidRPr="00A865A9">
              <w:rPr>
                <w:rFonts w:asciiTheme="minorHAnsi" w:eastAsia="Times New Roman" w:hAnsiTheme="minorHAnsi"/>
                <w:bCs w:val="0"/>
                <w:lang w:eastAsia="fr-FR"/>
              </w:rPr>
              <w:t>et de mise en situation professionnelle </w:t>
            </w:r>
            <w:r w:rsidR="00426F67" w:rsidRPr="00A865A9">
              <w:rPr>
                <w:rFonts w:asciiTheme="minorHAnsi" w:eastAsia="WenQuanYi Micro Hei" w:hAnsiTheme="minorHAnsi"/>
                <w:kern w:val="1"/>
                <w:szCs w:val="24"/>
                <w:lang w:eastAsia="zh-CN" w:bidi="hi-IN"/>
              </w:rPr>
              <w:t>;</w:t>
            </w:r>
          </w:p>
          <w:p w:rsidR="008F0D3A" w:rsidRPr="00C45864" w:rsidRDefault="008F0D3A" w:rsidP="008F0D3A">
            <w:pPr>
              <w:pStyle w:val="Paragraphedeliste"/>
              <w:numPr>
                <w:ilvl w:val="0"/>
                <w:numId w:val="0"/>
              </w:numPr>
              <w:ind w:left="176"/>
              <w:rPr>
                <w:rFonts w:asciiTheme="minorHAnsi" w:eastAsia="WenQuanYi Micro Hei" w:hAnsiTheme="minorHAnsi"/>
                <w:color w:val="000000"/>
                <w:kern w:val="1"/>
                <w:szCs w:val="24"/>
                <w:lang w:eastAsia="zh-CN" w:bidi="hi-IN"/>
              </w:rPr>
            </w:pPr>
          </w:p>
          <w:p w:rsidR="00BF7586" w:rsidRPr="00C45864" w:rsidRDefault="00420181" w:rsidP="008F0D3A">
            <w:pPr>
              <w:pStyle w:val="Paragraphedeliste"/>
              <w:rPr>
                <w:rFonts w:asciiTheme="minorHAnsi" w:eastAsia="WenQuanYi Micro Hei" w:hAnsiTheme="minorHAnsi"/>
                <w:color w:val="000000"/>
                <w:kern w:val="1"/>
                <w:szCs w:val="24"/>
                <w:lang w:eastAsia="zh-CN" w:bidi="hi-IN"/>
              </w:rPr>
            </w:pPr>
            <w:r w:rsidRPr="00C45864">
              <w:rPr>
                <w:rFonts w:asciiTheme="minorHAnsi" w:eastAsia="WenQuanYi Micro Hei" w:hAnsiTheme="minorHAnsi"/>
                <w:color w:val="000000"/>
                <w:kern w:val="1"/>
                <w:szCs w:val="24"/>
                <w:lang w:eastAsia="zh-CN" w:bidi="hi-IN"/>
              </w:rPr>
              <w:t xml:space="preserve"> </w:t>
            </w:r>
            <w:r w:rsidR="00426F67" w:rsidRPr="00C45864">
              <w:rPr>
                <w:rFonts w:asciiTheme="minorHAnsi" w:eastAsia="WenQuanYi Micro Hei" w:hAnsiTheme="minorHAnsi"/>
                <w:color w:val="000000"/>
                <w:kern w:val="1"/>
                <w:szCs w:val="24"/>
                <w:lang w:eastAsia="zh-CN" w:bidi="hi-IN"/>
              </w:rPr>
              <w:t>suivi de l’insertion professionnelle ;</w:t>
            </w:r>
          </w:p>
        </w:tc>
        <w:tc>
          <w:tcPr>
            <w:tcW w:w="309" w:type="dxa"/>
          </w:tcPr>
          <w:p w:rsidR="00BF7586" w:rsidRPr="00C45864" w:rsidRDefault="00BF7586" w:rsidP="00604BB8">
            <w:pPr>
              <w:rPr>
                <w:rFonts w:asciiTheme="minorHAnsi" w:hAnsiTheme="minorHAnsi" w:cs="Times New Roman"/>
                <w:sz w:val="24"/>
              </w:rPr>
            </w:pPr>
          </w:p>
        </w:tc>
        <w:tc>
          <w:tcPr>
            <w:tcW w:w="284" w:type="dxa"/>
          </w:tcPr>
          <w:p w:rsidR="00BF7586" w:rsidRPr="00C45864" w:rsidRDefault="00BF7586" w:rsidP="00604BB8">
            <w:pPr>
              <w:rPr>
                <w:rFonts w:asciiTheme="minorHAnsi" w:hAnsiTheme="minorHAnsi" w:cs="Times New Roman"/>
                <w:sz w:val="24"/>
              </w:rPr>
            </w:pPr>
          </w:p>
        </w:tc>
        <w:tc>
          <w:tcPr>
            <w:tcW w:w="283" w:type="dxa"/>
          </w:tcPr>
          <w:p w:rsidR="00BF7586" w:rsidRDefault="00BF7586"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Pr="00C45864" w:rsidRDefault="00F30E72" w:rsidP="00604BB8">
            <w:pPr>
              <w:rPr>
                <w:rFonts w:asciiTheme="minorHAnsi" w:hAnsiTheme="minorHAnsi" w:cs="Times New Roman"/>
                <w:sz w:val="24"/>
              </w:rPr>
            </w:pPr>
          </w:p>
        </w:tc>
        <w:tc>
          <w:tcPr>
            <w:tcW w:w="284" w:type="dxa"/>
          </w:tcPr>
          <w:p w:rsidR="00BF7586" w:rsidRDefault="00BF7586"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roofErr w:type="gramStart"/>
            <w:r>
              <w:rPr>
                <w:rFonts w:asciiTheme="minorHAnsi" w:hAnsiTheme="minorHAnsi" w:cs="Times New Roman"/>
                <w:sz w:val="24"/>
              </w:rPr>
              <w:t>x</w:t>
            </w:r>
            <w:proofErr w:type="gramEnd"/>
          </w:p>
          <w:p w:rsidR="00F30E72" w:rsidRPr="00C45864" w:rsidRDefault="00F30E72" w:rsidP="00604BB8">
            <w:pPr>
              <w:rPr>
                <w:rFonts w:asciiTheme="minorHAnsi" w:hAnsiTheme="minorHAnsi" w:cs="Times New Roman"/>
                <w:sz w:val="24"/>
              </w:rPr>
            </w:pPr>
          </w:p>
        </w:tc>
        <w:tc>
          <w:tcPr>
            <w:tcW w:w="283" w:type="dxa"/>
          </w:tcPr>
          <w:p w:rsidR="00BF7586" w:rsidRDefault="00BF7586"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Pr="00C45864" w:rsidRDefault="00F30E72" w:rsidP="00604BB8">
            <w:pPr>
              <w:rPr>
                <w:rFonts w:asciiTheme="minorHAnsi" w:hAnsiTheme="minorHAnsi" w:cs="Times New Roman"/>
                <w:sz w:val="24"/>
              </w:rPr>
            </w:pPr>
          </w:p>
        </w:tc>
        <w:tc>
          <w:tcPr>
            <w:tcW w:w="4369" w:type="dxa"/>
          </w:tcPr>
          <w:p w:rsidR="004A2687" w:rsidRDefault="006C7FEF" w:rsidP="00604BB8">
            <w:pPr>
              <w:rPr>
                <w:rFonts w:asciiTheme="minorHAnsi" w:hAnsiTheme="minorHAnsi" w:cs="Times New Roman"/>
                <w:sz w:val="24"/>
              </w:rPr>
            </w:pPr>
            <w:r>
              <w:rPr>
                <w:rFonts w:asciiTheme="minorHAnsi" w:hAnsiTheme="minorHAnsi" w:cs="Times New Roman"/>
                <w:sz w:val="24"/>
              </w:rPr>
              <w:t xml:space="preserve">Le sujet de la diversité est un sujet complexe qui convoque de nombreux partenaires ; il interroge en premier lieu la relation partenariale avec le réseau des conservatoires classés puisque les pôles d’enseignement supérieur </w:t>
            </w:r>
            <w:r w:rsidR="004A2687">
              <w:rPr>
                <w:rFonts w:asciiTheme="minorHAnsi" w:hAnsiTheme="minorHAnsi" w:cs="Times New Roman"/>
                <w:sz w:val="24"/>
              </w:rPr>
              <w:t>s’inscrivent souvent dans continuité</w:t>
            </w:r>
            <w:r>
              <w:rPr>
                <w:rFonts w:asciiTheme="minorHAnsi" w:hAnsiTheme="minorHAnsi" w:cs="Times New Roman"/>
                <w:sz w:val="24"/>
              </w:rPr>
              <w:t xml:space="preserve"> d’un parcours souvent initié à cette </w:t>
            </w:r>
            <w:proofErr w:type="spellStart"/>
            <w:r>
              <w:rPr>
                <w:rFonts w:asciiTheme="minorHAnsi" w:hAnsiTheme="minorHAnsi" w:cs="Times New Roman"/>
                <w:sz w:val="24"/>
              </w:rPr>
              <w:t>échelle là</w:t>
            </w:r>
            <w:proofErr w:type="spellEnd"/>
            <w:r>
              <w:rPr>
                <w:rFonts w:asciiTheme="minorHAnsi" w:hAnsiTheme="minorHAnsi" w:cs="Times New Roman"/>
                <w:sz w:val="24"/>
              </w:rPr>
              <w:t xml:space="preserve">. L’implantation du Pont Supérieur dans le futur bâtiment partagé du CRR de Rennes </w:t>
            </w:r>
            <w:r w:rsidR="004A2687">
              <w:rPr>
                <w:rFonts w:asciiTheme="minorHAnsi" w:hAnsiTheme="minorHAnsi" w:cs="Times New Roman"/>
                <w:sz w:val="24"/>
              </w:rPr>
              <w:t>dans un quartier éligible au label « cités éducatives » pourra être</w:t>
            </w:r>
            <w:r>
              <w:rPr>
                <w:rFonts w:asciiTheme="minorHAnsi" w:hAnsiTheme="minorHAnsi" w:cs="Times New Roman"/>
                <w:sz w:val="24"/>
              </w:rPr>
              <w:t xml:space="preserve"> un des leviers </w:t>
            </w:r>
            <w:r w:rsidR="004A2687">
              <w:rPr>
                <w:rFonts w:asciiTheme="minorHAnsi" w:hAnsiTheme="minorHAnsi" w:cs="Times New Roman"/>
                <w:sz w:val="24"/>
              </w:rPr>
              <w:t>d’actions.</w:t>
            </w:r>
          </w:p>
          <w:p w:rsidR="00BF7586" w:rsidRDefault="004A2687" w:rsidP="00604BB8">
            <w:pPr>
              <w:rPr>
                <w:rFonts w:asciiTheme="minorHAnsi" w:hAnsiTheme="minorHAnsi" w:cs="Times New Roman"/>
                <w:sz w:val="24"/>
              </w:rPr>
            </w:pPr>
            <w:r>
              <w:rPr>
                <w:rFonts w:asciiTheme="minorHAnsi" w:hAnsiTheme="minorHAnsi" w:cs="Times New Roman"/>
                <w:sz w:val="24"/>
              </w:rPr>
              <w:t xml:space="preserve">Dans le cadre de la mise en place de la CVEC, la programmation des actions en vue d’améliorer la vie des étudiant.es sera l’objet d’un dialogue avec </w:t>
            </w:r>
            <w:r>
              <w:rPr>
                <w:rFonts w:asciiTheme="minorHAnsi" w:hAnsiTheme="minorHAnsi" w:cs="Times New Roman"/>
                <w:sz w:val="24"/>
              </w:rPr>
              <w:t xml:space="preserve">les délégués de promotions des étudiants </w:t>
            </w:r>
            <w:r>
              <w:rPr>
                <w:rFonts w:asciiTheme="minorHAnsi" w:hAnsiTheme="minorHAnsi" w:cs="Times New Roman"/>
                <w:sz w:val="24"/>
              </w:rPr>
              <w:t xml:space="preserve">ainsi que les CROUS de Nantes et </w:t>
            </w:r>
            <w:proofErr w:type="gramStart"/>
            <w:r>
              <w:rPr>
                <w:rFonts w:asciiTheme="minorHAnsi" w:hAnsiTheme="minorHAnsi" w:cs="Times New Roman"/>
                <w:sz w:val="24"/>
              </w:rPr>
              <w:t>de  Rennes</w:t>
            </w:r>
            <w:proofErr w:type="gramEnd"/>
            <w:r>
              <w:rPr>
                <w:rFonts w:asciiTheme="minorHAnsi" w:hAnsiTheme="minorHAnsi" w:cs="Times New Roman"/>
                <w:sz w:val="24"/>
              </w:rPr>
              <w:t xml:space="preserve"> (en </w:t>
            </w:r>
            <w:proofErr w:type="spellStart"/>
            <w:r w:rsidR="00FB72E8">
              <w:rPr>
                <w:rFonts w:asciiTheme="minorHAnsi" w:hAnsiTheme="minorHAnsi" w:cs="Times New Roman"/>
                <w:sz w:val="24"/>
              </w:rPr>
              <w:t>oeuvre</w:t>
            </w:r>
            <w:proofErr w:type="spellEnd"/>
            <w:r>
              <w:rPr>
                <w:rFonts w:asciiTheme="minorHAnsi" w:hAnsiTheme="minorHAnsi" w:cs="Times New Roman"/>
                <w:sz w:val="24"/>
              </w:rPr>
              <w:t xml:space="preserve"> dès le printemps 2019)</w:t>
            </w:r>
          </w:p>
          <w:p w:rsidR="004A2687" w:rsidRPr="00C45864" w:rsidRDefault="00FB72E8" w:rsidP="00604BB8">
            <w:pPr>
              <w:rPr>
                <w:rFonts w:asciiTheme="minorHAnsi" w:hAnsiTheme="minorHAnsi" w:cs="Times New Roman"/>
                <w:sz w:val="24"/>
              </w:rPr>
            </w:pPr>
            <w:r>
              <w:rPr>
                <w:rFonts w:asciiTheme="minorHAnsi" w:hAnsiTheme="minorHAnsi" w:cs="Times New Roman"/>
                <w:sz w:val="24"/>
              </w:rPr>
              <w:t xml:space="preserve">La politique de stage et de mise en situation professionnelle déjà bien installée et accompagnée par les structures artistiques et culturelles trouvera un nouveau développement avec les étudiants du Master musicien des musiques traditionnelles. </w:t>
            </w:r>
          </w:p>
        </w:tc>
      </w:tr>
      <w:tr w:rsidR="000143BE" w:rsidRPr="00C45864" w:rsidTr="004009C0">
        <w:trPr>
          <w:trHeight w:val="340"/>
          <w:jc w:val="center"/>
        </w:trPr>
        <w:tc>
          <w:tcPr>
            <w:tcW w:w="4815" w:type="dxa"/>
          </w:tcPr>
          <w:p w:rsidR="00223A16" w:rsidRPr="00C45864" w:rsidRDefault="00A36FB3" w:rsidP="00223A16">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 xml:space="preserve">Domaine </w:t>
            </w:r>
            <w:r w:rsidR="00CD4A7C" w:rsidRPr="00C45864">
              <w:rPr>
                <w:rFonts w:asciiTheme="minorHAnsi" w:eastAsia="WenQuanYi Micro Hei" w:hAnsiTheme="minorHAnsi"/>
                <w:bCs/>
                <w:color w:val="548DD4" w:themeColor="text2" w:themeTint="99"/>
                <w:kern w:val="1"/>
                <w:lang w:eastAsia="zh-CN" w:bidi="hi-IN"/>
              </w:rPr>
              <w:t>5</w:t>
            </w:r>
            <w:r w:rsidR="00223A16" w:rsidRPr="00C45864">
              <w:rPr>
                <w:rFonts w:asciiTheme="minorHAnsi" w:eastAsia="WenQuanYi Micro Hei" w:hAnsiTheme="minorHAnsi"/>
                <w:bCs/>
                <w:color w:val="548DD4" w:themeColor="text2" w:themeTint="99"/>
                <w:kern w:val="1"/>
                <w:lang w:eastAsia="zh-CN" w:bidi="hi-IN"/>
              </w:rPr>
              <w:t xml:space="preserve"> : Inscription territoriale </w:t>
            </w:r>
          </w:p>
          <w:p w:rsidR="00883D7F" w:rsidRPr="00C45864" w:rsidRDefault="00223A16"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D84D19" w:rsidRPr="00C45864">
              <w:rPr>
                <w:rFonts w:asciiTheme="minorHAnsi" w:hAnsiTheme="minorHAnsi" w:cs="Times New Roman"/>
                <w:bCs/>
                <w:color w:val="000000"/>
                <w:sz w:val="24"/>
              </w:rPr>
              <w:t>liens et partenariats avec les</w:t>
            </w:r>
            <w:r w:rsidRPr="00C45864">
              <w:rPr>
                <w:rFonts w:asciiTheme="minorHAnsi" w:hAnsiTheme="minorHAnsi" w:cs="Times New Roman"/>
                <w:bCs/>
                <w:color w:val="000000"/>
                <w:sz w:val="24"/>
              </w:rPr>
              <w:t xml:space="preserve"> structures artistiques et culturelles</w:t>
            </w:r>
            <w:r w:rsidR="007A6331" w:rsidRPr="00C45864">
              <w:rPr>
                <w:rFonts w:asciiTheme="minorHAnsi" w:hAnsiTheme="minorHAnsi" w:cs="Times New Roman"/>
                <w:bCs/>
                <w:color w:val="000000"/>
                <w:sz w:val="24"/>
              </w:rPr>
              <w:t> ;</w:t>
            </w:r>
          </w:p>
          <w:p w:rsidR="00223A16" w:rsidRPr="00C45864" w:rsidRDefault="00B04F05"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72142C" w:rsidRPr="00C45864">
              <w:rPr>
                <w:rFonts w:asciiTheme="minorHAnsi" w:hAnsiTheme="minorHAnsi" w:cs="Times New Roman"/>
                <w:bCs/>
                <w:color w:val="000000"/>
                <w:sz w:val="24"/>
              </w:rPr>
              <w:t xml:space="preserve"> partenariats </w:t>
            </w:r>
            <w:r w:rsidR="00223A16" w:rsidRPr="00C45864">
              <w:rPr>
                <w:rFonts w:asciiTheme="minorHAnsi" w:hAnsiTheme="minorHAnsi" w:cs="Times New Roman"/>
                <w:bCs/>
                <w:color w:val="000000"/>
                <w:sz w:val="24"/>
              </w:rPr>
              <w:t>socio-professionnel</w:t>
            </w:r>
            <w:r w:rsidR="0072142C" w:rsidRPr="00C45864">
              <w:rPr>
                <w:rFonts w:asciiTheme="minorHAnsi" w:hAnsiTheme="minorHAnsi" w:cs="Times New Roman"/>
                <w:bCs/>
                <w:color w:val="000000"/>
                <w:sz w:val="24"/>
              </w:rPr>
              <w:t>s</w:t>
            </w:r>
            <w:r w:rsidR="007A6331" w:rsidRPr="00C45864">
              <w:rPr>
                <w:rFonts w:asciiTheme="minorHAnsi" w:hAnsiTheme="minorHAnsi" w:cs="Times New Roman"/>
                <w:bCs/>
                <w:color w:val="000000"/>
                <w:sz w:val="24"/>
              </w:rPr>
              <w:t> ;</w:t>
            </w:r>
          </w:p>
          <w:p w:rsidR="00223A16" w:rsidRPr="00C45864" w:rsidRDefault="00B04F05"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355EBC" w:rsidRPr="00C45864">
              <w:rPr>
                <w:rFonts w:asciiTheme="minorHAnsi" w:hAnsiTheme="minorHAnsi" w:cs="Times New Roman"/>
                <w:bCs/>
                <w:color w:val="000000"/>
                <w:sz w:val="24"/>
              </w:rPr>
              <w:t xml:space="preserve"> </w:t>
            </w:r>
            <w:r w:rsidR="007A6331" w:rsidRPr="00C45864">
              <w:rPr>
                <w:rFonts w:asciiTheme="minorHAnsi" w:hAnsiTheme="minorHAnsi" w:cs="Times New Roman"/>
                <w:bCs/>
                <w:color w:val="000000"/>
                <w:sz w:val="24"/>
              </w:rPr>
              <w:t>partenariats institutionnels ;</w:t>
            </w:r>
          </w:p>
          <w:p w:rsidR="00D01AF8" w:rsidRPr="00C45864" w:rsidRDefault="00602E96" w:rsidP="00223A16">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F25589" w:rsidRPr="00C45864">
              <w:rPr>
                <w:rFonts w:asciiTheme="minorHAnsi" w:hAnsiTheme="minorHAnsi" w:cs="Times New Roman"/>
                <w:bCs/>
                <w:color w:val="000000"/>
                <w:sz w:val="24"/>
              </w:rPr>
              <w:t xml:space="preserve"> </w:t>
            </w:r>
            <w:r w:rsidR="00D01AF8" w:rsidRPr="00C45864">
              <w:rPr>
                <w:rFonts w:asciiTheme="minorHAnsi" w:hAnsiTheme="minorHAnsi" w:cs="Times New Roman"/>
                <w:bCs/>
                <w:color w:val="000000"/>
                <w:sz w:val="24"/>
              </w:rPr>
              <w:t>articulation avec l’environnement régional de formation supérieure</w:t>
            </w:r>
            <w:r w:rsidR="007A6331" w:rsidRPr="00C45864">
              <w:rPr>
                <w:rFonts w:asciiTheme="minorHAnsi" w:hAnsiTheme="minorHAnsi" w:cs="Times New Roman"/>
                <w:bCs/>
                <w:color w:val="000000"/>
                <w:sz w:val="24"/>
              </w:rPr>
              <w:t> ;</w:t>
            </w:r>
          </w:p>
          <w:p w:rsidR="006031B7" w:rsidRPr="00C45864" w:rsidRDefault="007A6331" w:rsidP="00D01AF8">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xml:space="preserve">– </w:t>
            </w:r>
            <w:r w:rsidR="00CD4A7C" w:rsidRPr="00C45864">
              <w:rPr>
                <w:rFonts w:asciiTheme="minorHAnsi" w:hAnsiTheme="minorHAnsi" w:cs="Times New Roman"/>
                <w:bCs/>
                <w:color w:val="000000"/>
                <w:sz w:val="24"/>
              </w:rPr>
              <w:t>actions en matière d’éducation artistique et culturelle ;</w:t>
            </w:r>
          </w:p>
          <w:p w:rsidR="00132973" w:rsidRPr="00C45864" w:rsidRDefault="00132973" w:rsidP="00D01AF8">
            <w:pPr>
              <w:spacing w:before="100" w:beforeAutospacing="1"/>
              <w:rPr>
                <w:rFonts w:asciiTheme="minorHAnsi" w:hAnsiTheme="minorHAnsi" w:cs="Times New Roman"/>
                <w:bCs/>
                <w:color w:val="000000"/>
                <w:sz w:val="24"/>
              </w:rPr>
            </w:pPr>
          </w:p>
        </w:tc>
        <w:tc>
          <w:tcPr>
            <w:tcW w:w="309" w:type="dxa"/>
          </w:tcPr>
          <w:p w:rsidR="000143BE" w:rsidRPr="00C45864" w:rsidRDefault="000143BE" w:rsidP="00604BB8">
            <w:pPr>
              <w:rPr>
                <w:rFonts w:asciiTheme="minorHAnsi" w:hAnsiTheme="minorHAnsi" w:cs="Times New Roman"/>
                <w:sz w:val="24"/>
              </w:rPr>
            </w:pPr>
          </w:p>
        </w:tc>
        <w:tc>
          <w:tcPr>
            <w:tcW w:w="284" w:type="dxa"/>
          </w:tcPr>
          <w:p w:rsidR="000143BE" w:rsidRPr="00C45864" w:rsidRDefault="000143BE" w:rsidP="00604BB8">
            <w:pPr>
              <w:rPr>
                <w:rFonts w:asciiTheme="minorHAnsi" w:hAnsiTheme="minorHAnsi" w:cs="Times New Roman"/>
                <w:sz w:val="24"/>
              </w:rPr>
            </w:pPr>
          </w:p>
        </w:tc>
        <w:tc>
          <w:tcPr>
            <w:tcW w:w="283" w:type="dxa"/>
          </w:tcPr>
          <w:p w:rsidR="000143BE" w:rsidRPr="00C45864" w:rsidRDefault="000143BE" w:rsidP="00604BB8">
            <w:pPr>
              <w:rPr>
                <w:rFonts w:asciiTheme="minorHAnsi" w:hAnsiTheme="minorHAnsi" w:cs="Times New Roman"/>
                <w:sz w:val="24"/>
              </w:rPr>
            </w:pPr>
          </w:p>
        </w:tc>
        <w:tc>
          <w:tcPr>
            <w:tcW w:w="284" w:type="dxa"/>
          </w:tcPr>
          <w:p w:rsidR="000143BE" w:rsidRDefault="000143BE"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Pr="00C45864" w:rsidRDefault="00F30E72" w:rsidP="00604BB8">
            <w:pPr>
              <w:rPr>
                <w:rFonts w:asciiTheme="minorHAnsi" w:hAnsiTheme="minorHAnsi" w:cs="Times New Roman"/>
                <w:sz w:val="24"/>
              </w:rPr>
            </w:pPr>
          </w:p>
        </w:tc>
        <w:tc>
          <w:tcPr>
            <w:tcW w:w="283" w:type="dxa"/>
          </w:tcPr>
          <w:p w:rsidR="000143BE" w:rsidRDefault="000143BE"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Pr="00C45864" w:rsidRDefault="00F30E72" w:rsidP="00604BB8">
            <w:pPr>
              <w:rPr>
                <w:rFonts w:asciiTheme="minorHAnsi" w:hAnsiTheme="minorHAnsi" w:cs="Times New Roman"/>
                <w:sz w:val="24"/>
              </w:rPr>
            </w:pPr>
          </w:p>
        </w:tc>
        <w:tc>
          <w:tcPr>
            <w:tcW w:w="4369" w:type="dxa"/>
          </w:tcPr>
          <w:p w:rsidR="000143BE" w:rsidRDefault="005B4659" w:rsidP="00604BB8">
            <w:pPr>
              <w:rPr>
                <w:sz w:val="24"/>
              </w:rPr>
            </w:pPr>
            <w:r w:rsidRPr="005B4659">
              <w:rPr>
                <w:sz w:val="24"/>
              </w:rPr>
              <w:t>Dans le cadre de partenariats récurrents</w:t>
            </w:r>
            <w:r w:rsidR="00C80688">
              <w:rPr>
                <w:sz w:val="24"/>
              </w:rPr>
              <w:t xml:space="preserve"> avec les structures artistiques et culturelles</w:t>
            </w:r>
            <w:r w:rsidRPr="005B4659">
              <w:rPr>
                <w:sz w:val="24"/>
              </w:rPr>
              <w:t xml:space="preserve">, </w:t>
            </w:r>
            <w:r w:rsidR="00C80688">
              <w:rPr>
                <w:sz w:val="24"/>
              </w:rPr>
              <w:t xml:space="preserve">la poursuite de signature </w:t>
            </w:r>
            <w:r w:rsidRPr="005B4659">
              <w:rPr>
                <w:sz w:val="24"/>
              </w:rPr>
              <w:t>de conventions en vue d’un engagement plus significatif et d’une consolidation juridique</w:t>
            </w:r>
            <w:r w:rsidR="00C80688">
              <w:rPr>
                <w:sz w:val="24"/>
              </w:rPr>
              <w:t xml:space="preserve"> demeurent un </w:t>
            </w:r>
            <w:proofErr w:type="gramStart"/>
            <w:r w:rsidR="00C80688">
              <w:rPr>
                <w:sz w:val="24"/>
              </w:rPr>
              <w:t>objectif  prioritaire</w:t>
            </w:r>
            <w:proofErr w:type="gramEnd"/>
            <w:r w:rsidR="00C80688">
              <w:rPr>
                <w:sz w:val="24"/>
              </w:rPr>
              <w:t>.</w:t>
            </w:r>
          </w:p>
          <w:p w:rsidR="00C80688" w:rsidRPr="005B4659" w:rsidRDefault="00C80688" w:rsidP="00604BB8">
            <w:pPr>
              <w:rPr>
                <w:rFonts w:asciiTheme="minorHAnsi" w:hAnsiTheme="minorHAnsi" w:cs="Times New Roman"/>
                <w:sz w:val="24"/>
              </w:rPr>
            </w:pPr>
            <w:r>
              <w:rPr>
                <w:rFonts w:asciiTheme="minorHAnsi" w:hAnsiTheme="minorHAnsi" w:cs="Times New Roman"/>
                <w:sz w:val="24"/>
              </w:rPr>
              <w:t>Concernant l’éducation artistique et culturelle, plusieurs actions sont constitutives du parcours de formation au DE Musique : elles seront maintenues et renforcées via le partenariat initié avec le CFMI de Rennes.</w:t>
            </w:r>
          </w:p>
        </w:tc>
      </w:tr>
      <w:tr w:rsidR="00581EFC" w:rsidRPr="00C45864" w:rsidTr="004009C0">
        <w:trPr>
          <w:trHeight w:val="340"/>
          <w:jc w:val="center"/>
        </w:trPr>
        <w:tc>
          <w:tcPr>
            <w:tcW w:w="4815" w:type="dxa"/>
          </w:tcPr>
          <w:p w:rsidR="00581EFC" w:rsidRPr="00C45864" w:rsidRDefault="00581EFC" w:rsidP="00581EFC">
            <w:pPr>
              <w:pStyle w:val="NormalWeb"/>
              <w:spacing w:after="0"/>
              <w:rPr>
                <w:rFonts w:asciiTheme="minorHAnsi" w:eastAsia="WenQuanYi Micro Hei" w:hAnsiTheme="minorHAnsi"/>
                <w:bCs/>
                <w:color w:val="548DD4" w:themeColor="text2" w:themeTint="99"/>
                <w:kern w:val="1"/>
                <w:lang w:eastAsia="zh-CN" w:bidi="hi-IN"/>
              </w:rPr>
            </w:pPr>
            <w:r w:rsidRPr="00C45864">
              <w:rPr>
                <w:rFonts w:asciiTheme="minorHAnsi" w:eastAsia="WenQuanYi Micro Hei" w:hAnsiTheme="minorHAnsi"/>
                <w:bCs/>
                <w:color w:val="548DD4" w:themeColor="text2" w:themeTint="99"/>
                <w:kern w:val="1"/>
                <w:lang w:eastAsia="zh-CN" w:bidi="hi-IN"/>
              </w:rPr>
              <w:t xml:space="preserve">Domaine 6 : Dynamiques nationale et internationale </w:t>
            </w:r>
          </w:p>
          <w:p w:rsidR="00996297" w:rsidRPr="00C45864" w:rsidRDefault="00996297"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liens et partenariats avec les structures artistiques et culturelles ;</w:t>
            </w:r>
          </w:p>
          <w:p w:rsidR="00996297" w:rsidRPr="00C45864" w:rsidRDefault="00996297"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partenariats socio-professionnels ;</w:t>
            </w:r>
          </w:p>
          <w:p w:rsidR="00B04F05" w:rsidRPr="00C45864" w:rsidRDefault="00B04F05" w:rsidP="00996297">
            <w:pPr>
              <w:spacing w:before="100" w:beforeAutospacing="1"/>
              <w:rPr>
                <w:rFonts w:asciiTheme="minorHAnsi" w:hAnsiTheme="minorHAnsi" w:cs="Times New Roman"/>
                <w:bCs/>
                <w:color w:val="000000"/>
                <w:sz w:val="24"/>
              </w:rPr>
            </w:pPr>
            <w:r w:rsidRPr="00C45864">
              <w:rPr>
                <w:rFonts w:asciiTheme="minorHAnsi" w:hAnsiTheme="minorHAnsi" w:cs="Times New Roman"/>
                <w:bCs/>
                <w:color w:val="000000"/>
                <w:sz w:val="24"/>
              </w:rPr>
              <w:t>–  partenariats institutionnels ;</w:t>
            </w:r>
          </w:p>
          <w:p w:rsidR="00996297" w:rsidRPr="00C45864" w:rsidRDefault="0043305C" w:rsidP="00581EFC">
            <w:pPr>
              <w:pStyle w:val="NormalWeb"/>
              <w:spacing w:after="0"/>
              <w:rPr>
                <w:rFonts w:asciiTheme="minorHAnsi" w:eastAsia="WenQuanYi Micro Hei" w:hAnsiTheme="minorHAnsi"/>
                <w:bCs/>
                <w:color w:val="000000"/>
                <w:kern w:val="1"/>
                <w:lang w:eastAsia="zh-CN" w:bidi="hi-IN"/>
              </w:rPr>
            </w:pPr>
            <w:r w:rsidRPr="00C45864">
              <w:rPr>
                <w:rFonts w:asciiTheme="minorHAnsi" w:eastAsia="WenQuanYi Micro Hei" w:hAnsiTheme="minorHAnsi"/>
                <w:bCs/>
                <w:color w:val="000000"/>
                <w:kern w:val="1"/>
                <w:lang w:eastAsia="zh-CN" w:bidi="hi-IN"/>
              </w:rPr>
              <w:t>–  relations européennes</w:t>
            </w:r>
            <w:r w:rsidR="005D7218" w:rsidRPr="00C45864">
              <w:rPr>
                <w:rFonts w:asciiTheme="minorHAnsi" w:eastAsia="WenQuanYi Micro Hei" w:hAnsiTheme="minorHAnsi"/>
                <w:bCs/>
                <w:color w:val="000000"/>
                <w:kern w:val="1"/>
                <w:lang w:eastAsia="zh-CN" w:bidi="hi-IN"/>
              </w:rPr>
              <w:t> ;</w:t>
            </w:r>
          </w:p>
          <w:p w:rsidR="0043305C" w:rsidRPr="00C45864" w:rsidRDefault="0043305C" w:rsidP="00581EFC">
            <w:pPr>
              <w:pStyle w:val="NormalWeb"/>
              <w:spacing w:after="0"/>
              <w:rPr>
                <w:rFonts w:asciiTheme="minorHAnsi" w:eastAsia="WenQuanYi Micro Hei" w:hAnsiTheme="minorHAnsi"/>
                <w:bCs/>
                <w:color w:val="000000"/>
                <w:kern w:val="1"/>
                <w:lang w:eastAsia="zh-CN" w:bidi="hi-IN"/>
              </w:rPr>
            </w:pPr>
            <w:r w:rsidRPr="00C45864">
              <w:rPr>
                <w:rFonts w:asciiTheme="minorHAnsi" w:eastAsia="WenQuanYi Micro Hei" w:hAnsiTheme="minorHAnsi"/>
                <w:bCs/>
                <w:color w:val="000000"/>
                <w:kern w:val="1"/>
                <w:lang w:eastAsia="zh-CN" w:bidi="hi-IN"/>
              </w:rPr>
              <w:t>–  relations internationales</w:t>
            </w:r>
            <w:r w:rsidR="005D7218" w:rsidRPr="00C45864">
              <w:rPr>
                <w:rFonts w:asciiTheme="minorHAnsi" w:eastAsia="WenQuanYi Micro Hei" w:hAnsiTheme="minorHAnsi"/>
                <w:bCs/>
                <w:color w:val="000000"/>
                <w:kern w:val="1"/>
                <w:lang w:eastAsia="zh-CN" w:bidi="hi-IN"/>
              </w:rPr>
              <w:t> ;</w:t>
            </w:r>
          </w:p>
          <w:p w:rsidR="00581EFC" w:rsidRPr="00C45864" w:rsidRDefault="00581EFC" w:rsidP="00223A16">
            <w:pPr>
              <w:pStyle w:val="NormalWeb"/>
              <w:spacing w:after="0"/>
              <w:rPr>
                <w:rFonts w:asciiTheme="minorHAnsi" w:eastAsia="WenQuanYi Micro Hei" w:hAnsiTheme="minorHAnsi"/>
                <w:bCs/>
                <w:color w:val="000000"/>
                <w:kern w:val="1"/>
                <w:lang w:eastAsia="zh-CN" w:bidi="hi-IN"/>
              </w:rPr>
            </w:pPr>
          </w:p>
        </w:tc>
        <w:tc>
          <w:tcPr>
            <w:tcW w:w="309" w:type="dxa"/>
          </w:tcPr>
          <w:p w:rsidR="00581EFC" w:rsidRPr="00C45864" w:rsidRDefault="00581EFC" w:rsidP="00604BB8">
            <w:pPr>
              <w:rPr>
                <w:rFonts w:asciiTheme="minorHAnsi" w:hAnsiTheme="minorHAnsi" w:cs="Times New Roman"/>
                <w:sz w:val="24"/>
              </w:rPr>
            </w:pPr>
          </w:p>
        </w:tc>
        <w:tc>
          <w:tcPr>
            <w:tcW w:w="284" w:type="dxa"/>
          </w:tcPr>
          <w:p w:rsidR="00581EFC" w:rsidRPr="00C45864" w:rsidRDefault="00581EFC" w:rsidP="00604BB8">
            <w:pPr>
              <w:rPr>
                <w:rFonts w:asciiTheme="minorHAnsi" w:hAnsiTheme="minorHAnsi" w:cs="Times New Roman"/>
                <w:sz w:val="24"/>
              </w:rPr>
            </w:pPr>
          </w:p>
        </w:tc>
        <w:tc>
          <w:tcPr>
            <w:tcW w:w="283" w:type="dxa"/>
          </w:tcPr>
          <w:p w:rsidR="00581EFC" w:rsidRPr="00C45864" w:rsidRDefault="00581EFC" w:rsidP="00604BB8">
            <w:pPr>
              <w:rPr>
                <w:rFonts w:asciiTheme="minorHAnsi" w:hAnsiTheme="minorHAnsi" w:cs="Times New Roman"/>
                <w:sz w:val="24"/>
              </w:rPr>
            </w:pPr>
          </w:p>
        </w:tc>
        <w:tc>
          <w:tcPr>
            <w:tcW w:w="284" w:type="dxa"/>
          </w:tcPr>
          <w:p w:rsidR="00581EFC" w:rsidRDefault="00581EFC"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Pr="00C45864" w:rsidRDefault="00F30E72" w:rsidP="00604BB8">
            <w:pPr>
              <w:rPr>
                <w:rFonts w:asciiTheme="minorHAnsi" w:hAnsiTheme="minorHAnsi" w:cs="Times New Roman"/>
                <w:sz w:val="24"/>
              </w:rPr>
            </w:pPr>
          </w:p>
        </w:tc>
        <w:tc>
          <w:tcPr>
            <w:tcW w:w="283" w:type="dxa"/>
          </w:tcPr>
          <w:p w:rsidR="00581EFC" w:rsidRDefault="00581EFC"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p>
          <w:p w:rsidR="00F30E72" w:rsidRDefault="00F30E72" w:rsidP="00604BB8">
            <w:pPr>
              <w:rPr>
                <w:rFonts w:asciiTheme="minorHAnsi" w:hAnsiTheme="minorHAnsi" w:cs="Times New Roman"/>
                <w:sz w:val="24"/>
              </w:rPr>
            </w:pPr>
            <w:r>
              <w:rPr>
                <w:rFonts w:asciiTheme="minorHAnsi" w:hAnsiTheme="minorHAnsi" w:cs="Times New Roman"/>
                <w:sz w:val="24"/>
              </w:rPr>
              <w:t>X</w:t>
            </w:r>
          </w:p>
          <w:p w:rsidR="00F30E72" w:rsidRDefault="00F30E72" w:rsidP="00604BB8">
            <w:pPr>
              <w:rPr>
                <w:rFonts w:asciiTheme="minorHAnsi" w:hAnsiTheme="minorHAnsi" w:cs="Times New Roman"/>
                <w:sz w:val="24"/>
              </w:rPr>
            </w:pPr>
          </w:p>
          <w:p w:rsidR="00F30E72" w:rsidRPr="00C45864" w:rsidRDefault="00F30E72" w:rsidP="00604BB8">
            <w:pPr>
              <w:rPr>
                <w:rFonts w:asciiTheme="minorHAnsi" w:hAnsiTheme="minorHAnsi" w:cs="Times New Roman"/>
                <w:sz w:val="24"/>
              </w:rPr>
            </w:pPr>
          </w:p>
        </w:tc>
        <w:tc>
          <w:tcPr>
            <w:tcW w:w="4369" w:type="dxa"/>
          </w:tcPr>
          <w:p w:rsidR="00215C55" w:rsidRPr="00215C55" w:rsidRDefault="00215C55" w:rsidP="00215C55">
            <w:pPr>
              <w:tabs>
                <w:tab w:val="left" w:pos="284"/>
              </w:tabs>
              <w:rPr>
                <w:rFonts w:cstheme="minorHAnsi"/>
                <w:bCs/>
                <w:sz w:val="24"/>
              </w:rPr>
            </w:pPr>
            <w:r w:rsidRPr="00215C55">
              <w:rPr>
                <w:rFonts w:cstheme="minorHAnsi"/>
                <w:bCs/>
                <w:sz w:val="24"/>
              </w:rPr>
              <w:t xml:space="preserve">La présence au Pont Supérieur comme intervenants réguliers d’une quinzaine d’enseignants chercheurs titulaires d’un doctorat universitaire est une opportunité remarquable pour envisager l’activation possible d’un « conseil scientifique et de la recherche ». </w:t>
            </w:r>
          </w:p>
          <w:p w:rsidR="00215C55" w:rsidRDefault="00215C55" w:rsidP="00215C55">
            <w:pPr>
              <w:rPr>
                <w:rFonts w:asciiTheme="minorHAnsi" w:hAnsiTheme="minorHAnsi"/>
                <w:sz w:val="24"/>
              </w:rPr>
            </w:pPr>
            <w:r w:rsidRPr="00215C55">
              <w:rPr>
                <w:rFonts w:asciiTheme="minorHAnsi" w:hAnsiTheme="minorHAnsi"/>
                <w:sz w:val="24"/>
              </w:rPr>
              <w:t xml:space="preserve">La </w:t>
            </w:r>
            <w:r w:rsidRPr="00215C55">
              <w:rPr>
                <w:rFonts w:asciiTheme="minorHAnsi" w:hAnsiTheme="minorHAnsi"/>
                <w:sz w:val="24"/>
              </w:rPr>
              <w:t xml:space="preserve">publication des travaux de recherche </w:t>
            </w:r>
            <w:r>
              <w:rPr>
                <w:rFonts w:asciiTheme="minorHAnsi" w:hAnsiTheme="minorHAnsi"/>
                <w:sz w:val="24"/>
              </w:rPr>
              <w:t xml:space="preserve">(en français et en anglais) </w:t>
            </w:r>
            <w:r w:rsidRPr="00215C55">
              <w:rPr>
                <w:rFonts w:asciiTheme="minorHAnsi" w:hAnsiTheme="minorHAnsi"/>
                <w:sz w:val="24"/>
              </w:rPr>
              <w:t>par la mise en œuvre d’une plate-forme dédiée</w:t>
            </w:r>
            <w:r w:rsidRPr="00215C55">
              <w:rPr>
                <w:rFonts w:asciiTheme="minorHAnsi" w:hAnsiTheme="minorHAnsi"/>
                <w:sz w:val="24"/>
              </w:rPr>
              <w:t xml:space="preserve"> sera un des axes forts de la stratégie de communication externe du Pont Supérieur</w:t>
            </w:r>
            <w:r>
              <w:rPr>
                <w:rFonts w:asciiTheme="minorHAnsi" w:hAnsiTheme="minorHAnsi"/>
                <w:sz w:val="24"/>
              </w:rPr>
              <w:t xml:space="preserve">, eu égard la présence d’étudiants en Master. </w:t>
            </w:r>
          </w:p>
          <w:p w:rsidR="00215C55" w:rsidRDefault="00215C55" w:rsidP="00215C55">
            <w:pPr>
              <w:widowControl/>
              <w:suppressAutoHyphens w:val="0"/>
              <w:autoSpaceDE w:val="0"/>
              <w:autoSpaceDN w:val="0"/>
              <w:adjustRightInd w:val="0"/>
              <w:spacing w:before="0"/>
              <w:jc w:val="left"/>
              <w:rPr>
                <w:rFonts w:ascii="Garamond" w:eastAsiaTheme="minorHAnsi" w:hAnsi="Garamond" w:cs="Garamond"/>
                <w:kern w:val="0"/>
                <w:sz w:val="24"/>
                <w:lang w:eastAsia="en-US" w:bidi="ar-SA"/>
              </w:rPr>
            </w:pPr>
          </w:p>
          <w:p w:rsidR="00215C55" w:rsidRPr="00267DD8" w:rsidRDefault="00215C55" w:rsidP="00267DD8">
            <w:pPr>
              <w:widowControl/>
              <w:suppressAutoHyphens w:val="0"/>
              <w:autoSpaceDE w:val="0"/>
              <w:autoSpaceDN w:val="0"/>
              <w:adjustRightInd w:val="0"/>
              <w:spacing w:before="0"/>
              <w:rPr>
                <w:rFonts w:asciiTheme="minorHAnsi" w:eastAsiaTheme="minorHAnsi" w:hAnsiTheme="minorHAnsi" w:cs="Garamond"/>
                <w:kern w:val="0"/>
                <w:sz w:val="24"/>
                <w:lang w:eastAsia="en-US" w:bidi="ar-SA"/>
              </w:rPr>
            </w:pPr>
            <w:r w:rsidRPr="00267DD8">
              <w:rPr>
                <w:rFonts w:asciiTheme="minorHAnsi" w:eastAsiaTheme="minorHAnsi" w:hAnsiTheme="minorHAnsi" w:cs="Garamond"/>
                <w:kern w:val="0"/>
                <w:sz w:val="24"/>
                <w:lang w:eastAsia="en-US" w:bidi="ar-SA"/>
              </w:rPr>
              <w:t xml:space="preserve">Lors des journées Pop and Jazz 2019, organisées par l’AEC, le </w:t>
            </w:r>
            <w:r w:rsidRPr="00267DD8">
              <w:rPr>
                <w:rFonts w:asciiTheme="minorHAnsi" w:eastAsiaTheme="minorHAnsi" w:hAnsiTheme="minorHAnsi" w:cs="Garamond"/>
                <w:kern w:val="0"/>
                <w:sz w:val="24"/>
                <w:lang w:eastAsia="en-US" w:bidi="ar-SA"/>
              </w:rPr>
              <w:t xml:space="preserve">Pont Supérieur </w:t>
            </w:r>
            <w:r w:rsidRPr="00267DD8">
              <w:rPr>
                <w:rFonts w:asciiTheme="minorHAnsi" w:eastAsiaTheme="minorHAnsi" w:hAnsiTheme="minorHAnsi" w:cs="Garamond"/>
                <w:kern w:val="0"/>
                <w:sz w:val="24"/>
                <w:lang w:eastAsia="en-US" w:bidi="ar-SA"/>
              </w:rPr>
              <w:t>a surpris par ses points forts </w:t>
            </w:r>
            <w:r w:rsidR="00267DD8" w:rsidRPr="00267DD8">
              <w:rPr>
                <w:rFonts w:asciiTheme="minorHAnsi" w:eastAsiaTheme="minorHAnsi" w:hAnsiTheme="minorHAnsi" w:cs="Garamond"/>
                <w:kern w:val="0"/>
                <w:sz w:val="24"/>
                <w:lang w:eastAsia="en-US" w:bidi="ar-SA"/>
              </w:rPr>
              <w:t>en matière de musiques traditionnelles (multi instrumentistes, socle d’enseignement commun chant/danse / pratique collective de création, forte implication avec les milieux professionnels de référence, critères d’entrée hors savoirs académiques, le master…</w:t>
            </w:r>
          </w:p>
          <w:p w:rsidR="00215C55" w:rsidRPr="00C45864" w:rsidRDefault="00267DD8" w:rsidP="00267DD8">
            <w:pPr>
              <w:rPr>
                <w:rFonts w:asciiTheme="minorHAnsi" w:hAnsiTheme="minorHAnsi" w:cs="Times New Roman"/>
                <w:sz w:val="24"/>
              </w:rPr>
            </w:pPr>
            <w:r>
              <w:rPr>
                <w:rFonts w:eastAsiaTheme="minorHAnsi" w:cs="Calibri"/>
                <w:kern w:val="0"/>
                <w:sz w:val="24"/>
                <w:lang w:eastAsia="en-US" w:bidi="ar-SA"/>
              </w:rPr>
              <w:t xml:space="preserve">L’implantation géographique du Pont Supérieur avec le développement d’une </w:t>
            </w:r>
            <w:proofErr w:type="spellStart"/>
            <w:r>
              <w:rPr>
                <w:rFonts w:eastAsiaTheme="minorHAnsi" w:cs="Calibri"/>
                <w:kern w:val="0"/>
                <w:sz w:val="24"/>
                <w:lang w:eastAsia="en-US" w:bidi="ar-SA"/>
              </w:rPr>
              <w:t>identité</w:t>
            </w:r>
            <w:proofErr w:type="spellEnd"/>
            <w:r>
              <w:rPr>
                <w:rFonts w:eastAsiaTheme="minorHAnsi" w:cs="Calibri"/>
                <w:kern w:val="0"/>
                <w:sz w:val="24"/>
                <w:lang w:eastAsia="en-US" w:bidi="ar-SA"/>
              </w:rPr>
              <w:t xml:space="preserve"> spécifique est un atout majeur </w:t>
            </w:r>
            <w:r w:rsidR="005B4659">
              <w:rPr>
                <w:rFonts w:eastAsiaTheme="minorHAnsi" w:cs="Calibri"/>
                <w:kern w:val="0"/>
                <w:sz w:val="24"/>
                <w:lang w:eastAsia="en-US" w:bidi="ar-SA"/>
              </w:rPr>
              <w:t xml:space="preserve">à valoriser et accompagner avec le déploiement des actions de recherche contribuant à une réelle dynamique nationale et </w:t>
            </w:r>
            <w:r>
              <w:rPr>
                <w:rFonts w:eastAsiaTheme="minorHAnsi" w:cs="Calibri"/>
                <w:kern w:val="0"/>
                <w:sz w:val="24"/>
                <w:lang w:eastAsia="en-US" w:bidi="ar-SA"/>
              </w:rPr>
              <w:t xml:space="preserve">  internationale.</w:t>
            </w:r>
          </w:p>
        </w:tc>
      </w:tr>
    </w:tbl>
    <w:p w:rsidR="009C15B2" w:rsidRPr="00C45864" w:rsidRDefault="009C15B2" w:rsidP="00514A23">
      <w:pPr>
        <w:widowControl/>
        <w:suppressAutoHyphens w:val="0"/>
        <w:spacing w:before="0" w:after="200" w:line="276" w:lineRule="auto"/>
        <w:jc w:val="left"/>
        <w:rPr>
          <w:rFonts w:eastAsiaTheme="minorHAnsi" w:cs="Times New Roman"/>
          <w:kern w:val="0"/>
          <w:szCs w:val="22"/>
          <w:lang w:eastAsia="en-US" w:bidi="ar-SA"/>
        </w:rPr>
      </w:pPr>
    </w:p>
    <w:sectPr w:rsidR="009C15B2" w:rsidRPr="00C45864" w:rsidSect="00A865A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68B" w:rsidRDefault="00EB568B" w:rsidP="00EB568B">
      <w:pPr>
        <w:spacing w:before="0"/>
      </w:pPr>
      <w:r>
        <w:separator/>
      </w:r>
    </w:p>
  </w:endnote>
  <w:endnote w:type="continuationSeparator" w:id="0">
    <w:p w:rsidR="00EB568B" w:rsidRDefault="00EB568B" w:rsidP="00EB5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639374"/>
      <w:docPartObj>
        <w:docPartGallery w:val="Page Numbers (Bottom of Page)"/>
        <w:docPartUnique/>
      </w:docPartObj>
    </w:sdtPr>
    <w:sdtEndPr/>
    <w:sdtContent>
      <w:p w:rsidR="00EB568B" w:rsidRDefault="00EB568B">
        <w:pPr>
          <w:pStyle w:val="Pieddepage"/>
          <w:jc w:val="right"/>
        </w:pPr>
        <w:r>
          <w:fldChar w:fldCharType="begin"/>
        </w:r>
        <w:r>
          <w:instrText>PAGE   \* MERGEFORMAT</w:instrText>
        </w:r>
        <w:r>
          <w:fldChar w:fldCharType="separate"/>
        </w:r>
        <w:r w:rsidR="004F6C50">
          <w:rPr>
            <w:noProof/>
          </w:rPr>
          <w:t>3</w:t>
        </w:r>
        <w:r>
          <w:fldChar w:fldCharType="end"/>
        </w:r>
      </w:p>
    </w:sdtContent>
  </w:sdt>
  <w:p w:rsidR="004A7C59" w:rsidRPr="00217525" w:rsidRDefault="004A7C59" w:rsidP="004A7C59">
    <w:pPr>
      <w:pStyle w:val="Pieddepage"/>
      <w:rPr>
        <w:i/>
        <w:sz w:val="14"/>
        <w:szCs w:val="14"/>
      </w:rPr>
    </w:pPr>
    <w:r>
      <w:rPr>
        <w:i/>
        <w:sz w:val="14"/>
        <w:szCs w:val="14"/>
      </w:rPr>
      <w:t>Procédure d’accréditation</w:t>
    </w:r>
    <w:r w:rsidRPr="00217525">
      <w:rPr>
        <w:i/>
        <w:sz w:val="14"/>
        <w:szCs w:val="14"/>
      </w:rPr>
      <w:t xml:space="preserve"> 2018-2019</w:t>
    </w:r>
    <w:r>
      <w:rPr>
        <w:i/>
        <w:sz w:val="14"/>
        <w:szCs w:val="14"/>
      </w:rPr>
      <w:tab/>
      <w:t xml:space="preserve">                                                                           Ministère de la culture -  Direction générale de la création artistique - SDEESR</w:t>
    </w:r>
  </w:p>
  <w:p w:rsidR="00EB568B" w:rsidRDefault="00EB56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68B" w:rsidRDefault="00EB568B" w:rsidP="00EB568B">
      <w:pPr>
        <w:spacing w:before="0"/>
      </w:pPr>
      <w:r>
        <w:separator/>
      </w:r>
    </w:p>
  </w:footnote>
  <w:footnote w:type="continuationSeparator" w:id="0">
    <w:p w:rsidR="00EB568B" w:rsidRDefault="00EB568B" w:rsidP="00EB5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47"/>
    <w:multiLevelType w:val="hybridMultilevel"/>
    <w:tmpl w:val="E85495E0"/>
    <w:lvl w:ilvl="0" w:tplc="7910D34E">
      <w:start w:val="3"/>
      <w:numFmt w:val="bullet"/>
      <w:lvlText w:val="-"/>
      <w:lvlJc w:val="left"/>
      <w:pPr>
        <w:ind w:left="720" w:hanging="360"/>
      </w:pPr>
      <w:rPr>
        <w:rFonts w:ascii="Arial" w:eastAsia="WenQuanYi Micro Hei" w:hAnsi="Arial" w:cs="Arial" w:hint="default"/>
        <w:color w:val="31849B"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E57094"/>
    <w:multiLevelType w:val="hybridMultilevel"/>
    <w:tmpl w:val="1BF25FAA"/>
    <w:lvl w:ilvl="0" w:tplc="D00AA3BE">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4469B"/>
    <w:multiLevelType w:val="multilevel"/>
    <w:tmpl w:val="C868F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421518"/>
    <w:multiLevelType w:val="hybridMultilevel"/>
    <w:tmpl w:val="96A0124E"/>
    <w:lvl w:ilvl="0" w:tplc="7C845DC2">
      <w:start w:val="2"/>
      <w:numFmt w:val="bullet"/>
      <w:pStyle w:val="Paragraphedeliste"/>
      <w:lvlText w:val="–"/>
      <w:lvlJc w:val="left"/>
      <w:pPr>
        <w:ind w:left="720" w:hanging="360"/>
      </w:pPr>
      <w:rPr>
        <w:rFonts w:ascii="Times New Roman" w:eastAsia="WenQuanYi Micro He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8A3581"/>
    <w:multiLevelType w:val="hybridMultilevel"/>
    <w:tmpl w:val="61A43860"/>
    <w:lvl w:ilvl="0" w:tplc="FB6AB1D8">
      <w:start w:val="2"/>
      <w:numFmt w:val="bullet"/>
      <w:lvlText w:val="-"/>
      <w:lvlJc w:val="left"/>
      <w:pPr>
        <w:ind w:left="720" w:hanging="360"/>
      </w:pPr>
      <w:rPr>
        <w:rFonts w:ascii="Times New Roman" w:eastAsia="WenQuanYi Micro Hei"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6C5D28"/>
    <w:multiLevelType w:val="hybridMultilevel"/>
    <w:tmpl w:val="D6FC0B20"/>
    <w:lvl w:ilvl="0" w:tplc="2A22B0CC">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0C6127"/>
    <w:multiLevelType w:val="hybridMultilevel"/>
    <w:tmpl w:val="FA400A4C"/>
    <w:lvl w:ilvl="0" w:tplc="CA582BAE">
      <w:start w:val="3"/>
      <w:numFmt w:val="bullet"/>
      <w:lvlText w:val="-"/>
      <w:lvlJc w:val="left"/>
      <w:pPr>
        <w:ind w:left="720" w:hanging="360"/>
      </w:pPr>
      <w:rPr>
        <w:rFonts w:ascii="Times New Roman" w:eastAsia="WenQuanYi Micro He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56A03"/>
    <w:multiLevelType w:val="hybridMultilevel"/>
    <w:tmpl w:val="9D401F34"/>
    <w:lvl w:ilvl="0" w:tplc="E57AF74A">
      <w:start w:val="2"/>
      <w:numFmt w:val="bullet"/>
      <w:lvlText w:val="-"/>
      <w:lvlJc w:val="left"/>
      <w:pPr>
        <w:ind w:left="720" w:hanging="360"/>
      </w:pPr>
      <w:rPr>
        <w:rFonts w:ascii="Times New Roman" w:eastAsia="WenQuanYi Micro He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C40D7"/>
    <w:multiLevelType w:val="hybridMultilevel"/>
    <w:tmpl w:val="EBEC6BAA"/>
    <w:lvl w:ilvl="0" w:tplc="5F9EB7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1224C3"/>
    <w:multiLevelType w:val="hybridMultilevel"/>
    <w:tmpl w:val="D2361B20"/>
    <w:lvl w:ilvl="0" w:tplc="E50E0974">
      <w:numFmt w:val="bullet"/>
      <w:lvlText w:val="-"/>
      <w:lvlJc w:val="left"/>
      <w:pPr>
        <w:ind w:left="720" w:hanging="360"/>
      </w:pPr>
      <w:rPr>
        <w:rFonts w:ascii="Calibri" w:eastAsia="WenQuanYi Micro He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0"/>
  </w:num>
  <w:num w:numId="5">
    <w:abstractNumId w:val="6"/>
  </w:num>
  <w:num w:numId="6">
    <w:abstractNumId w:val="1"/>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6D"/>
    <w:rsid w:val="00003BAB"/>
    <w:rsid w:val="000143BE"/>
    <w:rsid w:val="0001693F"/>
    <w:rsid w:val="00021767"/>
    <w:rsid w:val="00031DC1"/>
    <w:rsid w:val="0003295C"/>
    <w:rsid w:val="00060505"/>
    <w:rsid w:val="00074DBA"/>
    <w:rsid w:val="000947D1"/>
    <w:rsid w:val="000B6F20"/>
    <w:rsid w:val="000D2817"/>
    <w:rsid w:val="000D3F63"/>
    <w:rsid w:val="000F377E"/>
    <w:rsid w:val="0010060A"/>
    <w:rsid w:val="00113E57"/>
    <w:rsid w:val="001142E3"/>
    <w:rsid w:val="00117106"/>
    <w:rsid w:val="00132973"/>
    <w:rsid w:val="00152BCB"/>
    <w:rsid w:val="001565F0"/>
    <w:rsid w:val="001820D6"/>
    <w:rsid w:val="00185C6B"/>
    <w:rsid w:val="00197023"/>
    <w:rsid w:val="001B5842"/>
    <w:rsid w:val="001C2FB4"/>
    <w:rsid w:val="001C7E97"/>
    <w:rsid w:val="001D22BA"/>
    <w:rsid w:val="001D41B1"/>
    <w:rsid w:val="001E51DE"/>
    <w:rsid w:val="002053D7"/>
    <w:rsid w:val="00213DE2"/>
    <w:rsid w:val="00215C55"/>
    <w:rsid w:val="00223A16"/>
    <w:rsid w:val="0023102D"/>
    <w:rsid w:val="00236876"/>
    <w:rsid w:val="00240641"/>
    <w:rsid w:val="00245049"/>
    <w:rsid w:val="00251F9C"/>
    <w:rsid w:val="00266EEF"/>
    <w:rsid w:val="00267DD8"/>
    <w:rsid w:val="00271D83"/>
    <w:rsid w:val="00274620"/>
    <w:rsid w:val="00294B72"/>
    <w:rsid w:val="002B2352"/>
    <w:rsid w:val="002B5D12"/>
    <w:rsid w:val="002C6831"/>
    <w:rsid w:val="002D74EB"/>
    <w:rsid w:val="002E448B"/>
    <w:rsid w:val="002F01D2"/>
    <w:rsid w:val="002F0C17"/>
    <w:rsid w:val="00303A88"/>
    <w:rsid w:val="00317487"/>
    <w:rsid w:val="00317812"/>
    <w:rsid w:val="003206EC"/>
    <w:rsid w:val="003228EF"/>
    <w:rsid w:val="00332A9F"/>
    <w:rsid w:val="00341424"/>
    <w:rsid w:val="003508A5"/>
    <w:rsid w:val="00354C4B"/>
    <w:rsid w:val="00355EBC"/>
    <w:rsid w:val="003561A5"/>
    <w:rsid w:val="003629D6"/>
    <w:rsid w:val="00375C3D"/>
    <w:rsid w:val="00376FC2"/>
    <w:rsid w:val="003849C4"/>
    <w:rsid w:val="0038610E"/>
    <w:rsid w:val="00386119"/>
    <w:rsid w:val="003A2C20"/>
    <w:rsid w:val="003A7389"/>
    <w:rsid w:val="003C3642"/>
    <w:rsid w:val="003C6233"/>
    <w:rsid w:val="004009C0"/>
    <w:rsid w:val="0041133B"/>
    <w:rsid w:val="00412F4D"/>
    <w:rsid w:val="00420181"/>
    <w:rsid w:val="00420946"/>
    <w:rsid w:val="00420B83"/>
    <w:rsid w:val="00426F67"/>
    <w:rsid w:val="0043305C"/>
    <w:rsid w:val="004350B7"/>
    <w:rsid w:val="0043654E"/>
    <w:rsid w:val="004504D7"/>
    <w:rsid w:val="004505FE"/>
    <w:rsid w:val="00455B74"/>
    <w:rsid w:val="00457C42"/>
    <w:rsid w:val="004765BB"/>
    <w:rsid w:val="004956D3"/>
    <w:rsid w:val="00496F6D"/>
    <w:rsid w:val="004A2687"/>
    <w:rsid w:val="004A7C59"/>
    <w:rsid w:val="004B5074"/>
    <w:rsid w:val="004C023A"/>
    <w:rsid w:val="004F2D73"/>
    <w:rsid w:val="004F37F3"/>
    <w:rsid w:val="004F4A19"/>
    <w:rsid w:val="004F6C50"/>
    <w:rsid w:val="0050484F"/>
    <w:rsid w:val="00506975"/>
    <w:rsid w:val="00514A23"/>
    <w:rsid w:val="0052144A"/>
    <w:rsid w:val="00523C78"/>
    <w:rsid w:val="0053410D"/>
    <w:rsid w:val="00535FD6"/>
    <w:rsid w:val="00536FA0"/>
    <w:rsid w:val="00541734"/>
    <w:rsid w:val="0055118E"/>
    <w:rsid w:val="0056552F"/>
    <w:rsid w:val="00572B6A"/>
    <w:rsid w:val="00574ADA"/>
    <w:rsid w:val="00581EFC"/>
    <w:rsid w:val="00590FC5"/>
    <w:rsid w:val="005B4659"/>
    <w:rsid w:val="005B5235"/>
    <w:rsid w:val="005D7218"/>
    <w:rsid w:val="005E00E9"/>
    <w:rsid w:val="005E5891"/>
    <w:rsid w:val="005E6687"/>
    <w:rsid w:val="00602E96"/>
    <w:rsid w:val="006031B7"/>
    <w:rsid w:val="00605EB5"/>
    <w:rsid w:val="0062373C"/>
    <w:rsid w:val="0063350A"/>
    <w:rsid w:val="006445E1"/>
    <w:rsid w:val="006601B8"/>
    <w:rsid w:val="00660D0F"/>
    <w:rsid w:val="006642FA"/>
    <w:rsid w:val="00665977"/>
    <w:rsid w:val="006864AD"/>
    <w:rsid w:val="006B2FB3"/>
    <w:rsid w:val="006B3A4E"/>
    <w:rsid w:val="006C456C"/>
    <w:rsid w:val="006C7FEF"/>
    <w:rsid w:val="006D1B00"/>
    <w:rsid w:val="006D1C14"/>
    <w:rsid w:val="006E4C73"/>
    <w:rsid w:val="006F5756"/>
    <w:rsid w:val="006F5E42"/>
    <w:rsid w:val="00701AA9"/>
    <w:rsid w:val="0070614A"/>
    <w:rsid w:val="00707E6D"/>
    <w:rsid w:val="00713DB2"/>
    <w:rsid w:val="00715157"/>
    <w:rsid w:val="0072142C"/>
    <w:rsid w:val="00723C0A"/>
    <w:rsid w:val="00735472"/>
    <w:rsid w:val="00735840"/>
    <w:rsid w:val="007379A5"/>
    <w:rsid w:val="0074781A"/>
    <w:rsid w:val="00751016"/>
    <w:rsid w:val="0076068A"/>
    <w:rsid w:val="007A6331"/>
    <w:rsid w:val="007B1A3F"/>
    <w:rsid w:val="007D1674"/>
    <w:rsid w:val="007E141D"/>
    <w:rsid w:val="007E29E0"/>
    <w:rsid w:val="007E675A"/>
    <w:rsid w:val="007F667B"/>
    <w:rsid w:val="008152C3"/>
    <w:rsid w:val="00824413"/>
    <w:rsid w:val="00834D71"/>
    <w:rsid w:val="00845AFE"/>
    <w:rsid w:val="00872FBA"/>
    <w:rsid w:val="00877F09"/>
    <w:rsid w:val="00883D7F"/>
    <w:rsid w:val="008B1B99"/>
    <w:rsid w:val="008B2B99"/>
    <w:rsid w:val="008C23F4"/>
    <w:rsid w:val="008D2331"/>
    <w:rsid w:val="008E524E"/>
    <w:rsid w:val="008F0CA6"/>
    <w:rsid w:val="008F0D3A"/>
    <w:rsid w:val="00903258"/>
    <w:rsid w:val="00910D73"/>
    <w:rsid w:val="0091794F"/>
    <w:rsid w:val="009252FF"/>
    <w:rsid w:val="009312CE"/>
    <w:rsid w:val="009624AC"/>
    <w:rsid w:val="009834EF"/>
    <w:rsid w:val="00996297"/>
    <w:rsid w:val="009B2C25"/>
    <w:rsid w:val="009C15B2"/>
    <w:rsid w:val="009D6F7F"/>
    <w:rsid w:val="009F0F8A"/>
    <w:rsid w:val="00A06A3A"/>
    <w:rsid w:val="00A14990"/>
    <w:rsid w:val="00A27511"/>
    <w:rsid w:val="00A32814"/>
    <w:rsid w:val="00A36FB3"/>
    <w:rsid w:val="00A6503C"/>
    <w:rsid w:val="00A65BC3"/>
    <w:rsid w:val="00A66925"/>
    <w:rsid w:val="00A85FD7"/>
    <w:rsid w:val="00A863E1"/>
    <w:rsid w:val="00A865A9"/>
    <w:rsid w:val="00AA36B5"/>
    <w:rsid w:val="00AD2207"/>
    <w:rsid w:val="00AF62AD"/>
    <w:rsid w:val="00AF68DF"/>
    <w:rsid w:val="00B00B12"/>
    <w:rsid w:val="00B02A5F"/>
    <w:rsid w:val="00B04F05"/>
    <w:rsid w:val="00B06914"/>
    <w:rsid w:val="00B14F16"/>
    <w:rsid w:val="00B25CBA"/>
    <w:rsid w:val="00B354D9"/>
    <w:rsid w:val="00B52769"/>
    <w:rsid w:val="00B57BF5"/>
    <w:rsid w:val="00B71083"/>
    <w:rsid w:val="00B72A0E"/>
    <w:rsid w:val="00B82F0E"/>
    <w:rsid w:val="00B853D4"/>
    <w:rsid w:val="00B871F7"/>
    <w:rsid w:val="00BA0134"/>
    <w:rsid w:val="00BA3D64"/>
    <w:rsid w:val="00BA479F"/>
    <w:rsid w:val="00BB4EE8"/>
    <w:rsid w:val="00BB61B8"/>
    <w:rsid w:val="00BD379A"/>
    <w:rsid w:val="00BE2156"/>
    <w:rsid w:val="00BF0B9D"/>
    <w:rsid w:val="00BF7586"/>
    <w:rsid w:val="00C10C62"/>
    <w:rsid w:val="00C26EB0"/>
    <w:rsid w:val="00C35977"/>
    <w:rsid w:val="00C43D06"/>
    <w:rsid w:val="00C4512D"/>
    <w:rsid w:val="00C45864"/>
    <w:rsid w:val="00C600C5"/>
    <w:rsid w:val="00C61E88"/>
    <w:rsid w:val="00C71A3E"/>
    <w:rsid w:val="00C742F6"/>
    <w:rsid w:val="00C76307"/>
    <w:rsid w:val="00C76F3B"/>
    <w:rsid w:val="00C80688"/>
    <w:rsid w:val="00C84C55"/>
    <w:rsid w:val="00CA7735"/>
    <w:rsid w:val="00CB4C2E"/>
    <w:rsid w:val="00CC0DD1"/>
    <w:rsid w:val="00CD4A7C"/>
    <w:rsid w:val="00CE7307"/>
    <w:rsid w:val="00D01AF8"/>
    <w:rsid w:val="00D12903"/>
    <w:rsid w:val="00D24FCA"/>
    <w:rsid w:val="00D3768C"/>
    <w:rsid w:val="00D435DD"/>
    <w:rsid w:val="00D43FAD"/>
    <w:rsid w:val="00D44C16"/>
    <w:rsid w:val="00D60684"/>
    <w:rsid w:val="00D61ECA"/>
    <w:rsid w:val="00D624D9"/>
    <w:rsid w:val="00D72CAE"/>
    <w:rsid w:val="00D84D19"/>
    <w:rsid w:val="00D87EE7"/>
    <w:rsid w:val="00D947C9"/>
    <w:rsid w:val="00DA471A"/>
    <w:rsid w:val="00DB4D75"/>
    <w:rsid w:val="00DE0C48"/>
    <w:rsid w:val="00DE7136"/>
    <w:rsid w:val="00DE7515"/>
    <w:rsid w:val="00E32C7A"/>
    <w:rsid w:val="00E36CCB"/>
    <w:rsid w:val="00E416E7"/>
    <w:rsid w:val="00E60BD3"/>
    <w:rsid w:val="00E76106"/>
    <w:rsid w:val="00E83C48"/>
    <w:rsid w:val="00E87E84"/>
    <w:rsid w:val="00E9410A"/>
    <w:rsid w:val="00E96E6E"/>
    <w:rsid w:val="00E97354"/>
    <w:rsid w:val="00EA51DC"/>
    <w:rsid w:val="00EA754E"/>
    <w:rsid w:val="00EB2CDD"/>
    <w:rsid w:val="00EB2F7F"/>
    <w:rsid w:val="00EB568B"/>
    <w:rsid w:val="00EC14B6"/>
    <w:rsid w:val="00EE7CBC"/>
    <w:rsid w:val="00F11BAE"/>
    <w:rsid w:val="00F16755"/>
    <w:rsid w:val="00F25589"/>
    <w:rsid w:val="00F25904"/>
    <w:rsid w:val="00F30E72"/>
    <w:rsid w:val="00F31AED"/>
    <w:rsid w:val="00F33526"/>
    <w:rsid w:val="00F50810"/>
    <w:rsid w:val="00F539AB"/>
    <w:rsid w:val="00F653C1"/>
    <w:rsid w:val="00F74F44"/>
    <w:rsid w:val="00F932E0"/>
    <w:rsid w:val="00FB224F"/>
    <w:rsid w:val="00FB3170"/>
    <w:rsid w:val="00FB72E8"/>
    <w:rsid w:val="00FB7AB3"/>
    <w:rsid w:val="00FD1659"/>
    <w:rsid w:val="00FF3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62EA"/>
  <w15:docId w15:val="{7AF71618-B7C4-47E9-B9E0-FBB8E72E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6D"/>
    <w:pPr>
      <w:widowControl w:val="0"/>
      <w:suppressAutoHyphens/>
      <w:spacing w:before="120" w:after="0" w:line="240" w:lineRule="auto"/>
      <w:jc w:val="both"/>
    </w:pPr>
    <w:rPr>
      <w:rFonts w:eastAsia="WenQuanYi Micro Hei" w:cs="Lohit Hindi"/>
      <w:kern w:val="1"/>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4350B7"/>
    <w:pPr>
      <w:widowControl/>
      <w:numPr>
        <w:numId w:val="8"/>
      </w:numPr>
      <w:suppressAutoHyphens w:val="0"/>
      <w:spacing w:before="100" w:beforeAutospacing="1" w:after="142" w:line="288" w:lineRule="auto"/>
      <w:ind w:left="176" w:hanging="142"/>
      <w:contextualSpacing/>
      <w:jc w:val="left"/>
    </w:pPr>
    <w:rPr>
      <w:rFonts w:ascii="Calibri" w:eastAsiaTheme="minorHAnsi" w:hAnsi="Calibri" w:cs="Times New Roman"/>
      <w:bCs/>
      <w:kern w:val="0"/>
      <w:sz w:val="24"/>
      <w:szCs w:val="22"/>
      <w:lang w:eastAsia="en-US" w:bidi="ar-SA"/>
    </w:rPr>
  </w:style>
  <w:style w:type="table" w:customStyle="1" w:styleId="Grilledutableau1">
    <w:name w:val="Grille du tableau1"/>
    <w:basedOn w:val="TableauNormal"/>
    <w:next w:val="Grilledutableau"/>
    <w:uiPriority w:val="99"/>
    <w:rsid w:val="00707E6D"/>
    <w:pPr>
      <w:widowControl w:val="0"/>
      <w:suppressAutoHyphens/>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0FC5"/>
    <w:rPr>
      <w:sz w:val="16"/>
      <w:szCs w:val="16"/>
    </w:rPr>
  </w:style>
  <w:style w:type="paragraph" w:styleId="Commentaire">
    <w:name w:val="annotation text"/>
    <w:basedOn w:val="Normal"/>
    <w:link w:val="CommentaireCar"/>
    <w:uiPriority w:val="99"/>
    <w:semiHidden/>
    <w:unhideWhenUsed/>
    <w:rsid w:val="00590FC5"/>
    <w:rPr>
      <w:rFonts w:cs="Mangal"/>
      <w:sz w:val="20"/>
      <w:szCs w:val="18"/>
    </w:rPr>
  </w:style>
  <w:style w:type="character" w:customStyle="1" w:styleId="CommentaireCar">
    <w:name w:val="Commentaire Car"/>
    <w:basedOn w:val="Policepardfaut"/>
    <w:link w:val="Commentaire"/>
    <w:uiPriority w:val="99"/>
    <w:semiHidden/>
    <w:rsid w:val="00590FC5"/>
    <w:rPr>
      <w:rFonts w:eastAsia="WenQuanYi Micro Hei" w:cs="Mangal"/>
      <w:kern w:val="1"/>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590FC5"/>
    <w:rPr>
      <w:b/>
      <w:bCs/>
    </w:rPr>
  </w:style>
  <w:style w:type="character" w:customStyle="1" w:styleId="ObjetducommentaireCar">
    <w:name w:val="Objet du commentaire Car"/>
    <w:basedOn w:val="CommentaireCar"/>
    <w:link w:val="Objetducommentaire"/>
    <w:uiPriority w:val="99"/>
    <w:semiHidden/>
    <w:rsid w:val="00590FC5"/>
    <w:rPr>
      <w:rFonts w:eastAsia="WenQuanYi Micro Hei" w:cs="Mangal"/>
      <w:b/>
      <w:bCs/>
      <w:kern w:val="1"/>
      <w:sz w:val="20"/>
      <w:szCs w:val="18"/>
      <w:lang w:eastAsia="zh-CN" w:bidi="hi-IN"/>
    </w:rPr>
  </w:style>
  <w:style w:type="paragraph" w:styleId="Textedebulles">
    <w:name w:val="Balloon Text"/>
    <w:basedOn w:val="Normal"/>
    <w:link w:val="TextedebullesCar"/>
    <w:uiPriority w:val="99"/>
    <w:semiHidden/>
    <w:unhideWhenUsed/>
    <w:rsid w:val="00590FC5"/>
    <w:pPr>
      <w:spacing w:before="0"/>
    </w:pPr>
    <w:rPr>
      <w:rFonts w:ascii="Tahoma" w:hAnsi="Tahoma" w:cs="Mangal"/>
      <w:sz w:val="16"/>
      <w:szCs w:val="14"/>
    </w:rPr>
  </w:style>
  <w:style w:type="character" w:customStyle="1" w:styleId="TextedebullesCar">
    <w:name w:val="Texte de bulles Car"/>
    <w:basedOn w:val="Policepardfaut"/>
    <w:link w:val="Textedebulles"/>
    <w:uiPriority w:val="99"/>
    <w:semiHidden/>
    <w:rsid w:val="00590FC5"/>
    <w:rPr>
      <w:rFonts w:ascii="Tahoma" w:eastAsia="WenQuanYi Micro Hei" w:hAnsi="Tahoma" w:cs="Mangal"/>
      <w:kern w:val="1"/>
      <w:sz w:val="16"/>
      <w:szCs w:val="14"/>
      <w:lang w:eastAsia="zh-CN" w:bidi="hi-IN"/>
    </w:rPr>
  </w:style>
  <w:style w:type="paragraph" w:styleId="NormalWeb">
    <w:name w:val="Normal (Web)"/>
    <w:basedOn w:val="Normal"/>
    <w:uiPriority w:val="99"/>
    <w:qFormat/>
    <w:rsid w:val="008C23F4"/>
    <w:pPr>
      <w:widowControl/>
      <w:suppressAutoHyphens w:val="0"/>
      <w:spacing w:before="0" w:beforeAutospacing="1" w:after="119" w:line="254" w:lineRule="auto"/>
      <w:jc w:val="left"/>
    </w:pPr>
    <w:rPr>
      <w:rFonts w:ascii="Times New Roman" w:eastAsia="Times New Roman" w:hAnsi="Times New Roman" w:cs="Times New Roman"/>
      <w:color w:val="00000A"/>
      <w:kern w:val="0"/>
      <w:sz w:val="24"/>
      <w:lang w:eastAsia="fr-FR" w:bidi="ar-SA"/>
    </w:rPr>
  </w:style>
  <w:style w:type="paragraph" w:customStyle="1" w:styleId="western">
    <w:name w:val="western"/>
    <w:basedOn w:val="Normal"/>
    <w:rsid w:val="008152C3"/>
    <w:pPr>
      <w:widowControl/>
      <w:suppressAutoHyphens w:val="0"/>
      <w:spacing w:before="100" w:beforeAutospacing="1" w:after="142" w:line="288" w:lineRule="auto"/>
      <w:jc w:val="left"/>
    </w:pPr>
    <w:rPr>
      <w:rFonts w:ascii="Calibri" w:eastAsia="Times New Roman" w:hAnsi="Calibri" w:cs="Calibri"/>
      <w:color w:val="00000A"/>
      <w:kern w:val="0"/>
      <w:szCs w:val="22"/>
      <w:lang w:eastAsia="fr-FR" w:bidi="ar-SA"/>
    </w:rPr>
  </w:style>
  <w:style w:type="paragraph" w:styleId="En-tte">
    <w:name w:val="header"/>
    <w:basedOn w:val="Normal"/>
    <w:link w:val="En-tteCar"/>
    <w:uiPriority w:val="99"/>
    <w:unhideWhenUsed/>
    <w:rsid w:val="00EB568B"/>
    <w:pPr>
      <w:tabs>
        <w:tab w:val="center" w:pos="4536"/>
        <w:tab w:val="right" w:pos="9072"/>
      </w:tabs>
      <w:spacing w:before="0"/>
    </w:pPr>
    <w:rPr>
      <w:rFonts w:cs="Mangal"/>
    </w:rPr>
  </w:style>
  <w:style w:type="character" w:customStyle="1" w:styleId="En-tteCar">
    <w:name w:val="En-tête Car"/>
    <w:basedOn w:val="Policepardfaut"/>
    <w:link w:val="En-tte"/>
    <w:uiPriority w:val="99"/>
    <w:rsid w:val="00EB568B"/>
    <w:rPr>
      <w:rFonts w:eastAsia="WenQuanYi Micro Hei" w:cs="Mangal"/>
      <w:kern w:val="1"/>
      <w:szCs w:val="24"/>
      <w:lang w:eastAsia="zh-CN" w:bidi="hi-IN"/>
    </w:rPr>
  </w:style>
  <w:style w:type="paragraph" w:styleId="Pieddepage">
    <w:name w:val="footer"/>
    <w:basedOn w:val="Normal"/>
    <w:link w:val="PieddepageCar"/>
    <w:uiPriority w:val="99"/>
    <w:unhideWhenUsed/>
    <w:rsid w:val="00EB568B"/>
    <w:pPr>
      <w:tabs>
        <w:tab w:val="center" w:pos="4536"/>
        <w:tab w:val="right" w:pos="9072"/>
      </w:tabs>
      <w:spacing w:before="0"/>
    </w:pPr>
    <w:rPr>
      <w:rFonts w:cs="Mangal"/>
    </w:rPr>
  </w:style>
  <w:style w:type="character" w:customStyle="1" w:styleId="PieddepageCar">
    <w:name w:val="Pied de page Car"/>
    <w:basedOn w:val="Policepardfaut"/>
    <w:link w:val="Pieddepage"/>
    <w:uiPriority w:val="99"/>
    <w:rsid w:val="00EB568B"/>
    <w:rPr>
      <w:rFonts w:eastAsia="WenQuanYi Micro Hei"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ACF2-1F59-428B-BA99-E54087E6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7524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Catherine Lefaix-Chauvel</cp:lastModifiedBy>
  <cp:revision>2</cp:revision>
  <cp:lastPrinted>2018-01-24T16:53:00Z</cp:lastPrinted>
  <dcterms:created xsi:type="dcterms:W3CDTF">2019-05-03T08:10:00Z</dcterms:created>
  <dcterms:modified xsi:type="dcterms:W3CDTF">2019-05-03T08:10:00Z</dcterms:modified>
</cp:coreProperties>
</file>