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2.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3.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4.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5.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6.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7.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8.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9.xml" ContentType="application/vnd.openxmlformats-officedocument.drawingml.chart+xml"/>
  <Override PartName="/word/charts/chart20.xml" ContentType="application/vnd.openxmlformats-officedocument.drawingml.chart+xml"/>
  <Override PartName="/word/drawings/drawing1.xml" ContentType="application/vnd.openxmlformats-officedocument.drawingml.chartshapes+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2.xml" ContentType="application/vnd.openxmlformats-officedocument.drawingml.chart+xml"/>
  <Override PartName="/word/charts/chart3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2.xml" ContentType="application/vnd.openxmlformats-officedocument.drawingml.chartshapes+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charts/chart40.xml" ContentType="application/vnd.openxmlformats-officedocument.drawingml.chart+xml"/>
  <Override PartName="/word/charts/chart41.xml" ContentType="application/vnd.openxmlformats-officedocument.drawingml.chart+xml"/>
  <Override PartName="/word/drawings/drawing3.xml" ContentType="application/vnd.openxmlformats-officedocument.drawingml.chartshapes+xml"/>
  <Override PartName="/word/charts/chart42.xml" ContentType="application/vnd.openxmlformats-officedocument.drawingml.chart+xml"/>
  <Override PartName="/word/charts/chart43.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charts/chart44.xml" ContentType="application/vnd.openxmlformats-officedocument.drawingml.chart+xml"/>
  <Override PartName="/word/charts/chart45.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charts/chart46.xml" ContentType="application/vnd.openxmlformats-officedocument.drawingml.chart+xml"/>
  <Override PartName="/word/charts/chart47.xml" ContentType="application/vnd.openxmlformats-officedocument.drawingml.chart+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charts/chart48.xml" ContentType="application/vnd.openxmlformats-officedocument.drawingml.chart+xml"/>
  <Override PartName="/word/theme/themeOverride1.xml" ContentType="application/vnd.openxmlformats-officedocument.themeOverride+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33C4" w:rsidRPr="00FF7A1F" w:rsidRDefault="006933C4" w:rsidP="006933C4">
      <w:pPr>
        <w:rPr>
          <w:rFonts w:ascii="Arial Black" w:hAnsi="Arial Black"/>
          <w:b/>
          <w:color w:val="1F4E79" w:themeColor="accent1" w:themeShade="80"/>
          <w:sz w:val="158"/>
          <w14:props3d w14:extrusionH="57150" w14:contourW="0" w14:prstMaterial="warmMatte">
            <w14:bevelT w14:w="38100" w14:h="38100" w14:prst="circle"/>
          </w14:props3d>
        </w:rPr>
      </w:pPr>
      <w:r w:rsidRPr="00FF7A1F">
        <w:rPr>
          <w:rFonts w:ascii="Arial Black" w:hAnsi="Arial Black"/>
          <w:b/>
          <w:color w:val="1F4E79" w:themeColor="accent1" w:themeShade="80"/>
          <w:sz w:val="158"/>
          <w14:props3d w14:extrusionH="57150" w14:contourW="0" w14:prstMaterial="warmMatte">
            <w14:bevelT w14:w="38100" w14:h="38100" w14:prst="circle"/>
          </w14:props3d>
        </w:rPr>
        <w:t>BILAN</w:t>
      </w:r>
    </w:p>
    <w:p w:rsidR="006933C4" w:rsidRPr="00FF7A1F" w:rsidRDefault="006933C4" w:rsidP="006933C4">
      <w:pPr>
        <w:rPr>
          <w:rFonts w:ascii="Arial Black" w:hAnsi="Arial Black"/>
          <w:b/>
          <w:color w:val="1F4E79" w:themeColor="accent1" w:themeShade="80"/>
          <w:sz w:val="158"/>
          <w14:props3d w14:extrusionH="57150" w14:contourW="0" w14:prstMaterial="warmMatte">
            <w14:bevelT w14:w="38100" w14:h="38100" w14:prst="circle"/>
          </w14:props3d>
        </w:rPr>
      </w:pPr>
      <w:r w:rsidRPr="00FF7A1F">
        <w:rPr>
          <w:rFonts w:ascii="Arial Black" w:hAnsi="Arial Black"/>
          <w:b/>
          <w:color w:val="1F4E79" w:themeColor="accent1" w:themeShade="80"/>
          <w:sz w:val="158"/>
          <w14:props3d w14:extrusionH="57150" w14:contourW="0" w14:prstMaterial="warmMatte">
            <w14:bevelT w14:w="38100" w14:h="38100" w14:prst="circle"/>
          </w14:props3d>
        </w:rPr>
        <w:t>SOCIAL</w:t>
      </w:r>
    </w:p>
    <w:p w:rsidR="006933C4" w:rsidRPr="00FF7A1F" w:rsidRDefault="006933C4" w:rsidP="006933C4">
      <w:pPr>
        <w:rPr>
          <w:rFonts w:ascii="Arial Black" w:hAnsi="Arial Black"/>
          <w:b/>
          <w:color w:val="ED7D31" w:themeColor="accent2"/>
          <w:sz w:val="100"/>
        </w:rPr>
      </w:pPr>
      <w:r w:rsidRPr="00FF7A1F">
        <w:rPr>
          <w:rFonts w:ascii="Arial Black" w:hAnsi="Arial Black"/>
          <w:b/>
          <w:color w:val="000090"/>
          <w:sz w:val="28"/>
        </w:rPr>
        <w:t xml:space="preserve"> </w:t>
      </w:r>
      <w:r w:rsidR="007B1397">
        <w:rPr>
          <w:rFonts w:ascii="Arial Black" w:hAnsi="Arial Black"/>
          <w:b/>
          <w:color w:val="ED7D31" w:themeColor="accent2"/>
          <w:sz w:val="100"/>
          <w14:props3d w14:extrusionH="57150" w14:contourW="0" w14:prstMaterial="warmMatte">
            <w14:bevelT w14:w="38100" w14:h="38100" w14:prst="circle"/>
          </w14:props3d>
        </w:rPr>
        <w:t>2013</w:t>
      </w:r>
    </w:p>
    <w:p w:rsidR="006933C4" w:rsidRDefault="000E009C" w:rsidP="006933C4">
      <w:pPr>
        <w:rPr>
          <w:rFonts w:ascii="Arial Unicode MS" w:hAnsi="Arial Unicode MS"/>
          <w:b/>
          <w:color w:val="000090"/>
          <w:sz w:val="48"/>
        </w:rPr>
      </w:pPr>
      <w:r>
        <w:rPr>
          <w:noProof/>
          <w:lang w:eastAsia="fr-FR"/>
        </w:rPr>
        <w:drawing>
          <wp:anchor distT="0" distB="0" distL="114300" distR="114300" simplePos="0" relativeHeight="251691008" behindDoc="0" locked="0" layoutInCell="1" allowOverlap="1" wp14:anchorId="6F5C2375" wp14:editId="3CC9446D">
            <wp:simplePos x="0" y="0"/>
            <wp:positionH relativeFrom="column">
              <wp:posOffset>2327910</wp:posOffset>
            </wp:positionH>
            <wp:positionV relativeFrom="paragraph">
              <wp:posOffset>1884045</wp:posOffset>
            </wp:positionV>
            <wp:extent cx="1308100" cy="981075"/>
            <wp:effectExtent l="0" t="0" r="6350" b="9525"/>
            <wp:wrapSquare wrapText="bothSides"/>
            <wp:docPr id="34" name="Image 34" descr="https://encrypted-tbn0.gstatic.com/images?q=tbn:ANd9GcTzCj7_w9kvN3oGqFB9ANAYgHga2WP3pUFt3mbYKsuB47mut1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zCj7_w9kvN3oGqFB9ANAYgHga2WP3pUFt3mbYKsuB47mut1A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08100" cy="981075"/>
                    </a:xfrm>
                    <a:prstGeom prst="rect">
                      <a:avLst/>
                    </a:prstGeom>
                    <a:noFill/>
                    <a:ln>
                      <a:noFill/>
                    </a:ln>
                    <a:effectLst>
                      <a:softEdge rad="114300"/>
                    </a:effectLst>
                  </pic:spPr>
                </pic:pic>
              </a:graphicData>
            </a:graphic>
          </wp:anchor>
        </w:drawing>
      </w:r>
      <w:r w:rsidR="0014550D" w:rsidRPr="001B482C">
        <w:rPr>
          <w:rFonts w:ascii="Arial Unicode MS" w:hAnsi="Arial Unicode MS"/>
          <w:b/>
          <w:noProof/>
          <w:color w:val="000090"/>
          <w:sz w:val="48"/>
          <w:lang w:eastAsia="fr-FR"/>
        </w:rPr>
        <w:drawing>
          <wp:anchor distT="0" distB="0" distL="114300" distR="114300" simplePos="0" relativeHeight="251685888" behindDoc="1" locked="0" layoutInCell="1" allowOverlap="1" wp14:anchorId="02DABA9C" wp14:editId="1C3591C5">
            <wp:simplePos x="0" y="0"/>
            <wp:positionH relativeFrom="column">
              <wp:posOffset>3616960</wp:posOffset>
            </wp:positionH>
            <wp:positionV relativeFrom="paragraph">
              <wp:posOffset>1934845</wp:posOffset>
            </wp:positionV>
            <wp:extent cx="1336040" cy="878840"/>
            <wp:effectExtent l="0" t="0" r="0" b="0"/>
            <wp:wrapTight wrapText="bothSides">
              <wp:wrapPolygon edited="0">
                <wp:start x="3388" y="0"/>
                <wp:lineTo x="1540" y="936"/>
                <wp:lineTo x="0" y="4214"/>
                <wp:lineTo x="0" y="17324"/>
                <wp:lineTo x="2156" y="20601"/>
                <wp:lineTo x="3388" y="21069"/>
                <wp:lineTo x="17863" y="21069"/>
                <wp:lineTo x="19095" y="20601"/>
                <wp:lineTo x="21251" y="17324"/>
                <wp:lineTo x="21251" y="4214"/>
                <wp:lineTo x="19711" y="936"/>
                <wp:lineTo x="17863" y="0"/>
                <wp:lineTo x="3388" y="0"/>
              </wp:wrapPolygon>
            </wp:wrapTight>
            <wp:docPr id="28" name="Image 28" descr="https://encrypted-tbn0.gstatic.com/images?q=tbn:ANd9GcRr10K5f2aFUT7AZvZE4awMM-kb__dZ_OuWUC1quXNe6PGx9vHm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Rr10K5f2aFUT7AZvZE4awMM-kb__dZ_OuWUC1quXNe6PGx9vHmr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6040" cy="878840"/>
                    </a:xfrm>
                    <a:prstGeom prst="rect">
                      <a:avLst/>
                    </a:prstGeom>
                    <a:noFill/>
                    <a:ln>
                      <a:noFill/>
                    </a:ln>
                    <a:effectLst>
                      <a:softEdge rad="177800"/>
                    </a:effectLst>
                  </pic:spPr>
                </pic:pic>
              </a:graphicData>
            </a:graphic>
            <wp14:sizeRelH relativeFrom="margin">
              <wp14:pctWidth>0</wp14:pctWidth>
            </wp14:sizeRelH>
            <wp14:sizeRelV relativeFrom="margin">
              <wp14:pctHeight>0</wp14:pctHeight>
            </wp14:sizeRelV>
          </wp:anchor>
        </w:drawing>
      </w:r>
      <w:r w:rsidR="00BF5332" w:rsidRPr="001B482C">
        <w:rPr>
          <w:rFonts w:ascii="Arial Unicode MS" w:hAnsi="Arial Unicode MS"/>
          <w:b/>
          <w:noProof/>
          <w:color w:val="000090"/>
          <w:sz w:val="48"/>
          <w:lang w:eastAsia="fr-FR"/>
        </w:rPr>
        <w:drawing>
          <wp:anchor distT="0" distB="0" distL="114300" distR="114300" simplePos="0" relativeHeight="251689984" behindDoc="1" locked="0" layoutInCell="1" allowOverlap="1" wp14:anchorId="4E25F4A8" wp14:editId="2127A374">
            <wp:simplePos x="0" y="0"/>
            <wp:positionH relativeFrom="column">
              <wp:posOffset>4969510</wp:posOffset>
            </wp:positionH>
            <wp:positionV relativeFrom="paragraph">
              <wp:posOffset>1010920</wp:posOffset>
            </wp:positionV>
            <wp:extent cx="965200" cy="1805940"/>
            <wp:effectExtent l="0" t="0" r="6350" b="3810"/>
            <wp:wrapTight wrapText="bothSides">
              <wp:wrapPolygon edited="0">
                <wp:start x="0" y="0"/>
                <wp:lineTo x="0" y="21418"/>
                <wp:lineTo x="21316" y="21418"/>
                <wp:lineTo x="21316" y="0"/>
                <wp:lineTo x="0" y="0"/>
              </wp:wrapPolygon>
            </wp:wrapTight>
            <wp:docPr id="32" name="Image 32" descr="https://encrypted-tbn1.gstatic.com/images?q=tbn:ANd9GcTVQ3BSNX9z7BVpNF6f6k_hOP1ukinfJi2KasKoY96pjGCpGCKw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TVQ3BSNX9z7BVpNF6f6k_hOP1ukinfJi2KasKoY96pjGCpGCKwV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5200" cy="1805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5332" w:rsidRPr="001B482C">
        <w:rPr>
          <w:rFonts w:ascii="Arial Unicode MS" w:hAnsi="Arial Unicode MS"/>
          <w:b/>
          <w:noProof/>
          <w:color w:val="000090"/>
          <w:sz w:val="48"/>
          <w:lang w:eastAsia="fr-FR"/>
        </w:rPr>
        <w:drawing>
          <wp:anchor distT="0" distB="0" distL="114300" distR="114300" simplePos="0" relativeHeight="251687936" behindDoc="1" locked="0" layoutInCell="1" allowOverlap="1" wp14:anchorId="08B66B7E" wp14:editId="594665C9">
            <wp:simplePos x="0" y="0"/>
            <wp:positionH relativeFrom="margin">
              <wp:posOffset>3489325</wp:posOffset>
            </wp:positionH>
            <wp:positionV relativeFrom="paragraph">
              <wp:posOffset>962025</wp:posOffset>
            </wp:positionV>
            <wp:extent cx="1524000" cy="1010920"/>
            <wp:effectExtent l="0" t="0" r="0" b="0"/>
            <wp:wrapTight wrapText="bothSides">
              <wp:wrapPolygon edited="0">
                <wp:start x="1350" y="0"/>
                <wp:lineTo x="270" y="2035"/>
                <wp:lineTo x="0" y="3256"/>
                <wp:lineTo x="0" y="16688"/>
                <wp:lineTo x="270" y="19945"/>
                <wp:lineTo x="1350" y="21166"/>
                <wp:lineTo x="19980" y="21166"/>
                <wp:lineTo x="21060" y="19945"/>
                <wp:lineTo x="21330" y="16688"/>
                <wp:lineTo x="21330" y="3256"/>
                <wp:lineTo x="21060" y="2035"/>
                <wp:lineTo x="19980" y="0"/>
                <wp:lineTo x="1350" y="0"/>
              </wp:wrapPolygon>
            </wp:wrapTight>
            <wp:docPr id="30" name="Image 30" descr="https://encrypted-tbn3.gstatic.com/images?q=tbn:ANd9GcRY3TK0GTemhXKJcAtyxn4ZETC9XCN64jl8l11piGQ9yDEvG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RY3TK0GTemhXKJcAtyxn4ZETC9XCN64jl8l11piGQ9yDEvGUs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0" cy="1010920"/>
                    </a:xfrm>
                    <a:prstGeom prst="rect">
                      <a:avLst/>
                    </a:prstGeom>
                    <a:noFill/>
                    <a:ln>
                      <a:noFill/>
                    </a:ln>
                    <a:effectLst>
                      <a:softEdge rad="139700"/>
                    </a:effectLst>
                  </pic:spPr>
                </pic:pic>
              </a:graphicData>
            </a:graphic>
            <wp14:sizeRelH relativeFrom="margin">
              <wp14:pctWidth>0</wp14:pctWidth>
            </wp14:sizeRelH>
            <wp14:sizeRelV relativeFrom="margin">
              <wp14:pctHeight>0</wp14:pctHeight>
            </wp14:sizeRelV>
          </wp:anchor>
        </w:drawing>
      </w:r>
    </w:p>
    <w:p w:rsidR="006933C4" w:rsidRPr="00E838B3" w:rsidRDefault="00BF5332" w:rsidP="006933C4">
      <w:pPr>
        <w:jc w:val="center"/>
        <w:rPr>
          <w:rFonts w:ascii="Arial Unicode MS" w:hAnsi="Arial Unicode MS"/>
          <w:b/>
          <w:color w:val="000090"/>
          <w:sz w:val="48"/>
        </w:rPr>
      </w:pPr>
      <w:r w:rsidRPr="001B482C">
        <w:rPr>
          <w:rFonts w:ascii="Arial Unicode MS" w:hAnsi="Arial Unicode MS"/>
          <w:b/>
          <w:noProof/>
          <w:color w:val="000090"/>
          <w:sz w:val="48"/>
          <w:lang w:eastAsia="fr-FR"/>
        </w:rPr>
        <w:drawing>
          <wp:anchor distT="0" distB="0" distL="114300" distR="114300" simplePos="0" relativeHeight="251684864" behindDoc="1" locked="0" layoutInCell="1" allowOverlap="1" wp14:anchorId="298A11FD" wp14:editId="30E0DDB8">
            <wp:simplePos x="0" y="0"/>
            <wp:positionH relativeFrom="column">
              <wp:posOffset>2239010</wp:posOffset>
            </wp:positionH>
            <wp:positionV relativeFrom="paragraph">
              <wp:posOffset>427355</wp:posOffset>
            </wp:positionV>
            <wp:extent cx="1339850" cy="1004570"/>
            <wp:effectExtent l="0" t="0" r="0" b="5080"/>
            <wp:wrapTight wrapText="bothSides">
              <wp:wrapPolygon edited="0">
                <wp:start x="3071" y="0"/>
                <wp:lineTo x="1228" y="819"/>
                <wp:lineTo x="0" y="3277"/>
                <wp:lineTo x="0" y="16384"/>
                <wp:lineTo x="614" y="20071"/>
                <wp:lineTo x="3071" y="21300"/>
                <wp:lineTo x="18119" y="21300"/>
                <wp:lineTo x="20576" y="20071"/>
                <wp:lineTo x="21191" y="16384"/>
                <wp:lineTo x="21191" y="3277"/>
                <wp:lineTo x="19962" y="819"/>
                <wp:lineTo x="18119" y="0"/>
                <wp:lineTo x="3071" y="0"/>
              </wp:wrapPolygon>
            </wp:wrapTight>
            <wp:docPr id="27" name="rg_hi" descr="https://encrypted-tbn2.gstatic.com/images?q=tbn:ANd9GcSd7T1awE0JdY86wJmPWdtTJO9N7IcfRoHIwpSz2ILgTba5ae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2.gstatic.com/images?q=tbn:ANd9GcSd7T1awE0JdY86wJmPWdtTJO9N7IcfRoHIwpSz2ILgTba5ae3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9850" cy="1004570"/>
                    </a:xfrm>
                    <a:prstGeom prst="rect">
                      <a:avLst/>
                    </a:prstGeom>
                    <a:noFill/>
                    <a:ln>
                      <a:noFill/>
                    </a:ln>
                    <a:effectLst>
                      <a:softEdge rad="152400"/>
                    </a:effectLst>
                  </pic:spPr>
                </pic:pic>
              </a:graphicData>
            </a:graphic>
            <wp14:sizeRelH relativeFrom="margin">
              <wp14:pctWidth>0</wp14:pctWidth>
            </wp14:sizeRelH>
            <wp14:sizeRelV relativeFrom="margin">
              <wp14:pctHeight>0</wp14:pctHeight>
            </wp14:sizeRelV>
          </wp:anchor>
        </w:drawing>
      </w:r>
      <w:r w:rsidRPr="001B482C">
        <w:rPr>
          <w:rFonts w:ascii="Arial Unicode MS" w:hAnsi="Arial Unicode MS"/>
          <w:b/>
          <w:noProof/>
          <w:color w:val="000090"/>
          <w:sz w:val="48"/>
          <w:lang w:eastAsia="fr-FR"/>
        </w:rPr>
        <w:drawing>
          <wp:anchor distT="0" distB="0" distL="114300" distR="114300" simplePos="0" relativeHeight="251686912" behindDoc="1" locked="0" layoutInCell="1" allowOverlap="1" wp14:anchorId="60ADD996" wp14:editId="08813074">
            <wp:simplePos x="0" y="0"/>
            <wp:positionH relativeFrom="margin">
              <wp:align>left</wp:align>
            </wp:positionH>
            <wp:positionV relativeFrom="paragraph">
              <wp:posOffset>463550</wp:posOffset>
            </wp:positionV>
            <wp:extent cx="2381250" cy="1907540"/>
            <wp:effectExtent l="0" t="0" r="0" b="0"/>
            <wp:wrapTight wrapText="bothSides">
              <wp:wrapPolygon edited="0">
                <wp:start x="173" y="0"/>
                <wp:lineTo x="0" y="647"/>
                <wp:lineTo x="0" y="20924"/>
                <wp:lineTo x="173" y="21356"/>
                <wp:lineTo x="21254" y="21356"/>
                <wp:lineTo x="21427" y="20924"/>
                <wp:lineTo x="21427" y="647"/>
                <wp:lineTo x="21254" y="0"/>
                <wp:lineTo x="173" y="0"/>
              </wp:wrapPolygon>
            </wp:wrapTight>
            <wp:docPr id="29" name="il_fi" descr="http://www.perimmo.fr/IMG/jpg/mu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erimmo.fr/IMG/jpg/mucem.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909" r="2584"/>
                    <a:stretch/>
                  </pic:blipFill>
                  <pic:spPr bwMode="auto">
                    <a:xfrm>
                      <a:off x="0" y="0"/>
                      <a:ext cx="2381250" cy="1907540"/>
                    </a:xfrm>
                    <a:prstGeom prst="rect">
                      <a:avLst/>
                    </a:prstGeom>
                    <a:noFill/>
                    <a:ln>
                      <a:noFill/>
                    </a:ln>
                    <a:effectLst>
                      <a:softEdge rad="762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33C4" w:rsidRPr="00E838B3" w:rsidRDefault="006933C4" w:rsidP="006933C4">
      <w:pPr>
        <w:jc w:val="center"/>
        <w:rPr>
          <w:rFonts w:ascii="Arial Unicode MS" w:hAnsi="Arial Unicode MS"/>
          <w:b/>
          <w:color w:val="000090"/>
          <w:sz w:val="16"/>
        </w:rPr>
        <w:sectPr w:rsidR="006933C4" w:rsidRPr="00E838B3" w:rsidSect="0063789C">
          <w:headerReference w:type="even" r:id="rId14"/>
          <w:headerReference w:type="default" r:id="rId15"/>
          <w:footerReference w:type="even" r:id="rId16"/>
          <w:footerReference w:type="default" r:id="rId17"/>
          <w:headerReference w:type="first" r:id="rId18"/>
          <w:footerReference w:type="first" r:id="rId19"/>
          <w:pgSz w:w="11900" w:h="16840" w:code="9"/>
          <w:pgMar w:top="1077" w:right="1134" w:bottom="1077" w:left="1134" w:header="709" w:footer="709" w:gutter="0"/>
          <w:cols w:space="708"/>
        </w:sectPr>
      </w:pPr>
    </w:p>
    <w:p w:rsidR="006933C4" w:rsidRPr="00627BA5" w:rsidRDefault="006933C4" w:rsidP="006933C4">
      <w:pPr>
        <w:rPr>
          <w:rFonts w:ascii="BlairMdITC TT-Medium" w:hAnsi="BlairMdITC TT-Medium"/>
          <w:b/>
          <w:color w:val="A6A6A6" w:themeColor="background1" w:themeShade="A6"/>
          <w:sz w:val="110"/>
        </w:rPr>
      </w:pPr>
      <w:r w:rsidRPr="00627BA5">
        <w:rPr>
          <w:rFonts w:ascii="BlairMdITC TT-Medium" w:hAnsi="BlairMdITC TT-Medium"/>
          <w:b/>
          <w:color w:val="A6A6A6" w:themeColor="background1" w:themeShade="A6"/>
          <w:sz w:val="110"/>
        </w:rPr>
        <w:lastRenderedPageBreak/>
        <w:t>SOMMAIRE</w:t>
      </w:r>
    </w:p>
    <w:p w:rsidR="006933C4" w:rsidRDefault="006933C4" w:rsidP="006933C4">
      <w:pPr>
        <w:rPr>
          <w:rFonts w:ascii="Arial Unicode MS" w:hAnsi="Arial Unicode MS"/>
          <w:sz w:val="18"/>
        </w:rPr>
      </w:pPr>
    </w:p>
    <w:p w:rsidR="006933C4" w:rsidRDefault="006933C4" w:rsidP="006933C4">
      <w:pPr>
        <w:rPr>
          <w:rFonts w:ascii="Arial Unicode MS" w:hAnsi="Arial Unicode MS"/>
          <w:sz w:val="18"/>
        </w:rPr>
      </w:pPr>
    </w:p>
    <w:p w:rsidR="006933C4" w:rsidRPr="001A5BD6" w:rsidRDefault="006933C4" w:rsidP="006933C4">
      <w:pPr>
        <w:rPr>
          <w:rFonts w:ascii="Arial Unicode MS" w:hAnsi="Arial Unicode MS"/>
          <w:sz w:val="18"/>
        </w:rPr>
      </w:pPr>
    </w:p>
    <w:p w:rsidR="006933C4" w:rsidRPr="001A5BD6" w:rsidRDefault="007E6DF6" w:rsidP="006933C4">
      <w:pPr>
        <w:rPr>
          <w:rFonts w:ascii="Arial Unicode MS" w:hAnsi="Arial Unicode MS"/>
          <w:sz w:val="18"/>
        </w:rPr>
      </w:pPr>
      <w:r>
        <w:rPr>
          <w:rFonts w:ascii="Arial Unicode MS" w:hAnsi="Arial Unicode MS"/>
          <w:noProof/>
          <w:sz w:val="18"/>
          <w:lang w:eastAsia="fr-FR"/>
        </w:rPr>
        <mc:AlternateContent>
          <mc:Choice Requires="wps">
            <w:drawing>
              <wp:anchor distT="0" distB="0" distL="114300" distR="114300" simplePos="0" relativeHeight="251675648" behindDoc="0" locked="0" layoutInCell="1" allowOverlap="1" wp14:anchorId="512A99AA" wp14:editId="6A55EA9E">
                <wp:simplePos x="0" y="0"/>
                <wp:positionH relativeFrom="column">
                  <wp:posOffset>1373505</wp:posOffset>
                </wp:positionH>
                <wp:positionV relativeFrom="paragraph">
                  <wp:posOffset>198755</wp:posOffset>
                </wp:positionV>
                <wp:extent cx="5029200" cy="1758950"/>
                <wp:effectExtent l="0" t="0" r="0" b="0"/>
                <wp:wrapTight wrapText="bothSides">
                  <wp:wrapPolygon edited="0">
                    <wp:start x="164" y="702"/>
                    <wp:lineTo x="164" y="20820"/>
                    <wp:lineTo x="21355" y="20820"/>
                    <wp:lineTo x="21355" y="702"/>
                    <wp:lineTo x="164" y="702"/>
                  </wp:wrapPolygon>
                </wp:wrapTight>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75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5D3E21" w:rsidRDefault="007B1397" w:rsidP="005D3E21">
                            <w:pPr>
                              <w:rPr>
                                <w:rFonts w:ascii="BlairMdITC TT-Medium" w:hAnsi="BlairMdITC TT-Medium"/>
                                <w:b/>
                                <w:sz w:val="18"/>
                              </w:rPr>
                            </w:pPr>
                            <w:r w:rsidRPr="005D3E21">
                              <w:rPr>
                                <w:rFonts w:ascii="BlairMdITC TT-Medium" w:hAnsi="BlairMdITC TT-Medium"/>
                                <w:b/>
                              </w:rPr>
                              <w:t>EMPLOIS ET EFFECTIFS</w:t>
                            </w:r>
                            <w:r w:rsidRPr="005D3E21">
                              <w:rPr>
                                <w:rFonts w:ascii="Arial" w:hAnsi="Arial"/>
                                <w:sz w:val="22"/>
                              </w:rPr>
                              <w:t>..........................................................................</w:t>
                            </w:r>
                            <w:r>
                              <w:rPr>
                                <w:rFonts w:ascii="Arial" w:hAnsi="Arial"/>
                                <w:sz w:val="22"/>
                              </w:rPr>
                              <w:t>4</w:t>
                            </w:r>
                          </w:p>
                          <w:p w:rsidR="007B1397" w:rsidRPr="005D3E21" w:rsidRDefault="007B1397" w:rsidP="005D3E21">
                            <w:pPr>
                              <w:rPr>
                                <w:rFonts w:ascii="Arial" w:hAnsi="Arial"/>
                                <w:sz w:val="22"/>
                              </w:rPr>
                            </w:pPr>
                            <w:r w:rsidRPr="005D3E21">
                              <w:rPr>
                                <w:rFonts w:ascii="BlairMdITC TT-Medium" w:hAnsi="BlairMdITC TT-Medium"/>
                                <w:sz w:val="22"/>
                              </w:rPr>
                              <w:t>A.</w:t>
                            </w:r>
                            <w:r>
                              <w:rPr>
                                <w:rFonts w:ascii="Arial" w:hAnsi="Arial"/>
                                <w:sz w:val="22"/>
                              </w:rPr>
                              <w:t xml:space="preserve"> Effectifs sur budget T2</w:t>
                            </w:r>
                            <w:r w:rsidRPr="005D3E21">
                              <w:rPr>
                                <w:rFonts w:ascii="Arial" w:hAnsi="Arial"/>
                                <w:sz w:val="22"/>
                              </w:rPr>
                              <w:t>...............................................................................</w:t>
                            </w:r>
                            <w:r>
                              <w:rPr>
                                <w:rFonts w:ascii="Arial" w:hAnsi="Arial"/>
                                <w:sz w:val="22"/>
                              </w:rPr>
                              <w:t>.6</w:t>
                            </w:r>
                          </w:p>
                          <w:p w:rsidR="007B1397" w:rsidRPr="005D3E21" w:rsidRDefault="007B1397" w:rsidP="005D3E21">
                            <w:pPr>
                              <w:rPr>
                                <w:rFonts w:ascii="Arial" w:hAnsi="Arial"/>
                                <w:sz w:val="22"/>
                              </w:rPr>
                            </w:pPr>
                            <w:r w:rsidRPr="005D3E21">
                              <w:rPr>
                                <w:rFonts w:ascii="BlairMdITC TT-Medium" w:hAnsi="BlairMdITC TT-Medium"/>
                                <w:sz w:val="22"/>
                              </w:rPr>
                              <w:t>B.</w:t>
                            </w:r>
                            <w:r w:rsidRPr="005D3E21">
                              <w:rPr>
                                <w:rFonts w:ascii="Arial" w:hAnsi="Arial"/>
                                <w:sz w:val="22"/>
                              </w:rPr>
                              <w:t xml:space="preserve"> Effectifs des opérateurs (T2 – T3)..........................................</w:t>
                            </w:r>
                            <w:r>
                              <w:rPr>
                                <w:rFonts w:ascii="Arial" w:hAnsi="Arial"/>
                                <w:sz w:val="22"/>
                              </w:rPr>
                              <w:t>...................20</w:t>
                            </w:r>
                          </w:p>
                          <w:p w:rsidR="007B1397" w:rsidRPr="005D3E21" w:rsidRDefault="007B1397" w:rsidP="005D3E21">
                            <w:pPr>
                              <w:rPr>
                                <w:rFonts w:ascii="Arial" w:hAnsi="Arial"/>
                                <w:sz w:val="22"/>
                              </w:rPr>
                            </w:pPr>
                            <w:r w:rsidRPr="005D3E21">
                              <w:rPr>
                                <w:rFonts w:ascii="BlairMdITC TT-Medium" w:hAnsi="BlairMdITC TT-Medium"/>
                                <w:sz w:val="22"/>
                              </w:rPr>
                              <w:t>C.</w:t>
                            </w:r>
                            <w:r w:rsidRPr="005D3E21">
                              <w:rPr>
                                <w:rFonts w:ascii="Arial" w:hAnsi="Arial"/>
                                <w:sz w:val="22"/>
                              </w:rPr>
                              <w:t xml:space="preserve"> Travailleurs en situation de handicap (T2)...................</w:t>
                            </w:r>
                            <w:r>
                              <w:rPr>
                                <w:rFonts w:ascii="Arial" w:hAnsi="Arial"/>
                                <w:sz w:val="22"/>
                              </w:rPr>
                              <w:t>..............................43</w:t>
                            </w:r>
                          </w:p>
                          <w:p w:rsidR="007B1397" w:rsidRPr="005D3E21" w:rsidRDefault="007B1397" w:rsidP="005D3E21">
                            <w:pPr>
                              <w:rPr>
                                <w:rFonts w:ascii="Arial" w:hAnsi="Arial"/>
                                <w:sz w:val="22"/>
                              </w:rPr>
                            </w:pPr>
                            <w:r w:rsidRPr="005D3E21">
                              <w:rPr>
                                <w:rFonts w:ascii="BlairMdITC TT-Medium" w:hAnsi="BlairMdITC TT-Medium"/>
                                <w:sz w:val="22"/>
                              </w:rPr>
                              <w:t>D.</w:t>
                            </w:r>
                            <w:r w:rsidRPr="005D3E21">
                              <w:rPr>
                                <w:rFonts w:ascii="Arial" w:hAnsi="Arial"/>
                                <w:sz w:val="22"/>
                              </w:rPr>
                              <w:t xml:space="preserve"> Démographie (T2)......................................................................................</w:t>
                            </w:r>
                            <w:r>
                              <w:rPr>
                                <w:rFonts w:ascii="Arial" w:hAnsi="Arial"/>
                                <w:sz w:val="22"/>
                              </w:rPr>
                              <w:t>47</w:t>
                            </w:r>
                          </w:p>
                          <w:p w:rsidR="007B1397" w:rsidRPr="005D3E21" w:rsidRDefault="007B1397" w:rsidP="005D3E21">
                            <w:pPr>
                              <w:rPr>
                                <w:rFonts w:ascii="Arial" w:hAnsi="Arial"/>
                                <w:sz w:val="22"/>
                              </w:rPr>
                            </w:pPr>
                            <w:r w:rsidRPr="005D3E21">
                              <w:rPr>
                                <w:rFonts w:ascii="BlairMdITC TT-Medium" w:hAnsi="BlairMdITC TT-Medium"/>
                                <w:sz w:val="22"/>
                              </w:rPr>
                              <w:t>E.</w:t>
                            </w:r>
                            <w:r w:rsidRPr="005D3E21">
                              <w:rPr>
                                <w:rFonts w:ascii="Arial" w:hAnsi="Arial"/>
                                <w:sz w:val="22"/>
                              </w:rPr>
                              <w:t xml:space="preserve"> Le temps de travail (T2) ............................................................................</w:t>
                            </w:r>
                            <w:r>
                              <w:rPr>
                                <w:rFonts w:ascii="Arial" w:hAnsi="Arial"/>
                                <w:sz w:val="22"/>
                              </w:rPr>
                              <w:t>53</w:t>
                            </w:r>
                          </w:p>
                          <w:p w:rsidR="007B1397" w:rsidRPr="005D3E21" w:rsidRDefault="007B1397" w:rsidP="005D3E21">
                            <w:pPr>
                              <w:rPr>
                                <w:rFonts w:ascii="Arial" w:hAnsi="Arial"/>
                                <w:sz w:val="22"/>
                              </w:rPr>
                            </w:pPr>
                            <w:r w:rsidRPr="005D3E21">
                              <w:rPr>
                                <w:rFonts w:ascii="BlairMdITC TT-Medium" w:hAnsi="BlairMdITC TT-Medium"/>
                                <w:sz w:val="22"/>
                              </w:rPr>
                              <w:t>F.</w:t>
                            </w:r>
                            <w:r w:rsidRPr="005D3E21">
                              <w:rPr>
                                <w:rFonts w:ascii="Arial" w:hAnsi="Arial"/>
                                <w:sz w:val="22"/>
                              </w:rPr>
                              <w:t xml:space="preserve"> Flux internes (T2 – T3)...............................................................................</w:t>
                            </w:r>
                            <w:r>
                              <w:rPr>
                                <w:rFonts w:ascii="Arial" w:hAnsi="Arial"/>
                                <w:sz w:val="22"/>
                              </w:rPr>
                              <w:t>57</w:t>
                            </w:r>
                          </w:p>
                          <w:p w:rsidR="007B1397" w:rsidRPr="005D3E21" w:rsidRDefault="007B1397" w:rsidP="005D3E21">
                            <w:pPr>
                              <w:rPr>
                                <w:rFonts w:ascii="Arial" w:hAnsi="Arial"/>
                                <w:sz w:val="22"/>
                              </w:rPr>
                            </w:pPr>
                            <w:r w:rsidRPr="005D3E21">
                              <w:rPr>
                                <w:rFonts w:ascii="BlairMdITC TT-Medium" w:hAnsi="BlairMdITC TT-Medium"/>
                                <w:sz w:val="22"/>
                              </w:rPr>
                              <w:t>G.</w:t>
                            </w:r>
                            <w:r w:rsidRPr="005D3E21">
                              <w:rPr>
                                <w:rFonts w:ascii="Arial" w:hAnsi="Arial"/>
                                <w:sz w:val="22"/>
                              </w:rPr>
                              <w:t xml:space="preserve"> Pilotage du schéma d’emplois (T2)............................................................</w:t>
                            </w:r>
                            <w:r>
                              <w:rPr>
                                <w:rFonts w:ascii="Arial" w:hAnsi="Arial"/>
                                <w:sz w:val="22"/>
                              </w:rPr>
                              <w:t>64</w:t>
                            </w:r>
                          </w:p>
                          <w:p w:rsidR="007B1397" w:rsidRPr="00022605" w:rsidRDefault="007B1397" w:rsidP="006933C4">
                            <w:pPr>
                              <w:rPr>
                                <w:rFonts w:ascii="Arial" w:hAnsi="Arial"/>
                                <w:i/>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2A99AA" id="_x0000_t202" coordsize="21600,21600" o:spt="202" path="m,l,21600r21600,l21600,xe">
                <v:stroke joinstyle="miter"/>
                <v:path gradientshapeok="t" o:connecttype="rect"/>
              </v:shapetype>
              <v:shape id="Zone de texte 25" o:spid="_x0000_s1026" type="#_x0000_t202" style="position:absolute;margin-left:108.15pt;margin-top:15.65pt;width:396pt;height:13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" filled="f" stroked="f">
                <v:textbox inset=",7.2pt,,7.2pt">
                  <w:txbxContent>
                    <w:p w:rsidR="007B1397" w:rsidRPr="005D3E21" w:rsidRDefault="007B1397" w:rsidP="005D3E21">
                      <w:pPr>
                        <w:rPr>
                          <w:rFonts w:ascii="BlairMdITC TT-Medium" w:hAnsi="BlairMdITC TT-Medium"/>
                          <w:b/>
                          <w:sz w:val="18"/>
                        </w:rPr>
                      </w:pPr>
                      <w:r w:rsidRPr="005D3E21">
                        <w:rPr>
                          <w:rFonts w:ascii="BlairMdITC TT-Medium" w:hAnsi="BlairMdITC TT-Medium"/>
                          <w:b/>
                        </w:rPr>
                        <w:t>EMPLOIS ET EFFECTIFS</w:t>
                      </w:r>
                      <w:r w:rsidRPr="005D3E21">
                        <w:rPr>
                          <w:rFonts w:ascii="Arial" w:hAnsi="Arial"/>
                          <w:sz w:val="22"/>
                        </w:rPr>
                        <w:t>..........................................................................</w:t>
                      </w:r>
                      <w:r>
                        <w:rPr>
                          <w:rFonts w:ascii="Arial" w:hAnsi="Arial"/>
                          <w:sz w:val="22"/>
                        </w:rPr>
                        <w:t>4</w:t>
                      </w:r>
                    </w:p>
                    <w:p w:rsidR="007B1397" w:rsidRPr="005D3E21" w:rsidRDefault="007B1397" w:rsidP="005D3E21">
                      <w:pPr>
                        <w:rPr>
                          <w:rFonts w:ascii="Arial" w:hAnsi="Arial"/>
                          <w:sz w:val="22"/>
                        </w:rPr>
                      </w:pPr>
                      <w:r w:rsidRPr="005D3E21">
                        <w:rPr>
                          <w:rFonts w:ascii="BlairMdITC TT-Medium" w:hAnsi="BlairMdITC TT-Medium"/>
                          <w:sz w:val="22"/>
                        </w:rPr>
                        <w:t>A.</w:t>
                      </w:r>
                      <w:r>
                        <w:rPr>
                          <w:rFonts w:ascii="Arial" w:hAnsi="Arial"/>
                          <w:sz w:val="22"/>
                        </w:rPr>
                        <w:t xml:space="preserve"> Effectifs sur budget T2</w:t>
                      </w:r>
                      <w:r w:rsidRPr="005D3E21">
                        <w:rPr>
                          <w:rFonts w:ascii="Arial" w:hAnsi="Arial"/>
                          <w:sz w:val="22"/>
                        </w:rPr>
                        <w:t>...............................................................................</w:t>
                      </w:r>
                      <w:r>
                        <w:rPr>
                          <w:rFonts w:ascii="Arial" w:hAnsi="Arial"/>
                          <w:sz w:val="22"/>
                        </w:rPr>
                        <w:t>.6</w:t>
                      </w:r>
                    </w:p>
                    <w:p w:rsidR="007B1397" w:rsidRPr="005D3E21" w:rsidRDefault="007B1397" w:rsidP="005D3E21">
                      <w:pPr>
                        <w:rPr>
                          <w:rFonts w:ascii="Arial" w:hAnsi="Arial"/>
                          <w:sz w:val="22"/>
                        </w:rPr>
                      </w:pPr>
                      <w:r w:rsidRPr="005D3E21">
                        <w:rPr>
                          <w:rFonts w:ascii="BlairMdITC TT-Medium" w:hAnsi="BlairMdITC TT-Medium"/>
                          <w:sz w:val="22"/>
                        </w:rPr>
                        <w:t>B.</w:t>
                      </w:r>
                      <w:r w:rsidRPr="005D3E21">
                        <w:rPr>
                          <w:rFonts w:ascii="Arial" w:hAnsi="Arial"/>
                          <w:sz w:val="22"/>
                        </w:rPr>
                        <w:t xml:space="preserve"> Effectifs des opérateurs (T2 – T3)..........................................</w:t>
                      </w:r>
                      <w:r>
                        <w:rPr>
                          <w:rFonts w:ascii="Arial" w:hAnsi="Arial"/>
                          <w:sz w:val="22"/>
                        </w:rPr>
                        <w:t>...................20</w:t>
                      </w:r>
                    </w:p>
                    <w:p w:rsidR="007B1397" w:rsidRPr="005D3E21" w:rsidRDefault="007B1397" w:rsidP="005D3E21">
                      <w:pPr>
                        <w:rPr>
                          <w:rFonts w:ascii="Arial" w:hAnsi="Arial"/>
                          <w:sz w:val="22"/>
                        </w:rPr>
                      </w:pPr>
                      <w:r w:rsidRPr="005D3E21">
                        <w:rPr>
                          <w:rFonts w:ascii="BlairMdITC TT-Medium" w:hAnsi="BlairMdITC TT-Medium"/>
                          <w:sz w:val="22"/>
                        </w:rPr>
                        <w:t>C.</w:t>
                      </w:r>
                      <w:r w:rsidRPr="005D3E21">
                        <w:rPr>
                          <w:rFonts w:ascii="Arial" w:hAnsi="Arial"/>
                          <w:sz w:val="22"/>
                        </w:rPr>
                        <w:t xml:space="preserve"> Travailleurs en situation de handicap (T2)...................</w:t>
                      </w:r>
                      <w:r>
                        <w:rPr>
                          <w:rFonts w:ascii="Arial" w:hAnsi="Arial"/>
                          <w:sz w:val="22"/>
                        </w:rPr>
                        <w:t>..............................43</w:t>
                      </w:r>
                    </w:p>
                    <w:p w:rsidR="007B1397" w:rsidRPr="005D3E21" w:rsidRDefault="007B1397" w:rsidP="005D3E21">
                      <w:pPr>
                        <w:rPr>
                          <w:rFonts w:ascii="Arial" w:hAnsi="Arial"/>
                          <w:sz w:val="22"/>
                        </w:rPr>
                      </w:pPr>
                      <w:r w:rsidRPr="005D3E21">
                        <w:rPr>
                          <w:rFonts w:ascii="BlairMdITC TT-Medium" w:hAnsi="BlairMdITC TT-Medium"/>
                          <w:sz w:val="22"/>
                        </w:rPr>
                        <w:t>D.</w:t>
                      </w:r>
                      <w:r w:rsidRPr="005D3E21">
                        <w:rPr>
                          <w:rFonts w:ascii="Arial" w:hAnsi="Arial"/>
                          <w:sz w:val="22"/>
                        </w:rPr>
                        <w:t xml:space="preserve"> Démographie (T2)......................................................................................</w:t>
                      </w:r>
                      <w:r>
                        <w:rPr>
                          <w:rFonts w:ascii="Arial" w:hAnsi="Arial"/>
                          <w:sz w:val="22"/>
                        </w:rPr>
                        <w:t>47</w:t>
                      </w:r>
                    </w:p>
                    <w:p w:rsidR="007B1397" w:rsidRPr="005D3E21" w:rsidRDefault="007B1397" w:rsidP="005D3E21">
                      <w:pPr>
                        <w:rPr>
                          <w:rFonts w:ascii="Arial" w:hAnsi="Arial"/>
                          <w:sz w:val="22"/>
                        </w:rPr>
                      </w:pPr>
                      <w:r w:rsidRPr="005D3E21">
                        <w:rPr>
                          <w:rFonts w:ascii="BlairMdITC TT-Medium" w:hAnsi="BlairMdITC TT-Medium"/>
                          <w:sz w:val="22"/>
                        </w:rPr>
                        <w:t>E.</w:t>
                      </w:r>
                      <w:r w:rsidRPr="005D3E21">
                        <w:rPr>
                          <w:rFonts w:ascii="Arial" w:hAnsi="Arial"/>
                          <w:sz w:val="22"/>
                        </w:rPr>
                        <w:t xml:space="preserve"> Le temps de travail (T2) ............................................................................</w:t>
                      </w:r>
                      <w:r>
                        <w:rPr>
                          <w:rFonts w:ascii="Arial" w:hAnsi="Arial"/>
                          <w:sz w:val="22"/>
                        </w:rPr>
                        <w:t>53</w:t>
                      </w:r>
                    </w:p>
                    <w:p w:rsidR="007B1397" w:rsidRPr="005D3E21" w:rsidRDefault="007B1397" w:rsidP="005D3E21">
                      <w:pPr>
                        <w:rPr>
                          <w:rFonts w:ascii="Arial" w:hAnsi="Arial"/>
                          <w:sz w:val="22"/>
                        </w:rPr>
                      </w:pPr>
                      <w:r w:rsidRPr="005D3E21">
                        <w:rPr>
                          <w:rFonts w:ascii="BlairMdITC TT-Medium" w:hAnsi="BlairMdITC TT-Medium"/>
                          <w:sz w:val="22"/>
                        </w:rPr>
                        <w:t>F.</w:t>
                      </w:r>
                      <w:r w:rsidRPr="005D3E21">
                        <w:rPr>
                          <w:rFonts w:ascii="Arial" w:hAnsi="Arial"/>
                          <w:sz w:val="22"/>
                        </w:rPr>
                        <w:t xml:space="preserve"> Flux internes (T2 – T3)...............................................................................</w:t>
                      </w:r>
                      <w:r>
                        <w:rPr>
                          <w:rFonts w:ascii="Arial" w:hAnsi="Arial"/>
                          <w:sz w:val="22"/>
                        </w:rPr>
                        <w:t>57</w:t>
                      </w:r>
                    </w:p>
                    <w:p w:rsidR="007B1397" w:rsidRPr="005D3E21" w:rsidRDefault="007B1397" w:rsidP="005D3E21">
                      <w:pPr>
                        <w:rPr>
                          <w:rFonts w:ascii="Arial" w:hAnsi="Arial"/>
                          <w:sz w:val="22"/>
                        </w:rPr>
                      </w:pPr>
                      <w:r w:rsidRPr="005D3E21">
                        <w:rPr>
                          <w:rFonts w:ascii="BlairMdITC TT-Medium" w:hAnsi="BlairMdITC TT-Medium"/>
                          <w:sz w:val="22"/>
                        </w:rPr>
                        <w:t>G.</w:t>
                      </w:r>
                      <w:r w:rsidRPr="005D3E21">
                        <w:rPr>
                          <w:rFonts w:ascii="Arial" w:hAnsi="Arial"/>
                          <w:sz w:val="22"/>
                        </w:rPr>
                        <w:t xml:space="preserve"> Pilotage du schéma d’emplois (T2)............................................................</w:t>
                      </w:r>
                      <w:r>
                        <w:rPr>
                          <w:rFonts w:ascii="Arial" w:hAnsi="Arial"/>
                          <w:sz w:val="22"/>
                        </w:rPr>
                        <w:t>64</w:t>
                      </w:r>
                    </w:p>
                    <w:p w:rsidR="007B1397" w:rsidRPr="00022605" w:rsidRDefault="007B1397" w:rsidP="006933C4">
                      <w:pPr>
                        <w:rPr>
                          <w:rFonts w:ascii="Arial" w:hAnsi="Arial"/>
                          <w:i/>
                          <w:sz w:val="22"/>
                        </w:rPr>
                      </w:pPr>
                    </w:p>
                  </w:txbxContent>
                </v:textbox>
                <w10:wrap type="tight"/>
              </v:shape>
            </w:pict>
          </mc:Fallback>
        </mc:AlternateContent>
      </w:r>
    </w:p>
    <w:p w:rsidR="006933C4" w:rsidRPr="001A5BD6" w:rsidRDefault="006933C4" w:rsidP="006933C4">
      <w:pPr>
        <w:rPr>
          <w:rFonts w:ascii="Arial Unicode MS" w:hAnsi="Arial Unicode MS"/>
          <w:sz w:val="18"/>
        </w:rPr>
      </w:pPr>
    </w:p>
    <w:p w:rsidR="006933C4" w:rsidRPr="001A5BD6" w:rsidRDefault="006933C4" w:rsidP="006933C4">
      <w:pPr>
        <w:rPr>
          <w:rFonts w:ascii="Arial Unicode MS" w:hAnsi="Arial Unicode MS"/>
          <w:sz w:val="18"/>
        </w:rPr>
      </w:pPr>
      <w:r>
        <w:rPr>
          <w:rFonts w:ascii="Arial Unicode MS" w:hAnsi="Arial Unicode MS"/>
          <w:noProof/>
          <w:sz w:val="18"/>
          <w:lang w:eastAsia="fr-FR"/>
        </w:rPr>
        <mc:AlternateContent>
          <mc:Choice Requires="wps">
            <w:drawing>
              <wp:anchor distT="0" distB="0" distL="114300" distR="114300" simplePos="0" relativeHeight="251659264" behindDoc="0" locked="0" layoutInCell="1" allowOverlap="1">
                <wp:simplePos x="0" y="0"/>
                <wp:positionH relativeFrom="column">
                  <wp:posOffset>238125</wp:posOffset>
                </wp:positionH>
                <wp:positionV relativeFrom="paragraph">
                  <wp:posOffset>83185</wp:posOffset>
                </wp:positionV>
                <wp:extent cx="904875" cy="904875"/>
                <wp:effectExtent l="5715" t="635" r="3810" b="8890"/>
                <wp:wrapNone/>
                <wp:docPr id="24" name="Ellips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904875"/>
                        </a:xfrm>
                        <a:prstGeom prst="ellipse">
                          <a:avLst/>
                        </a:prstGeom>
                        <a:solidFill>
                          <a:srgbClr val="FF0080"/>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7B1397" w:rsidRDefault="007B1397" w:rsidP="006933C4">
                            <w:pPr>
                              <w:spacing w:line="144" w:lineRule="auto"/>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24" o:spid="_x0000_s1027" style="position:absolute;margin-left:18.75pt;margin-top:6.55pt;width:71.25pt;height:7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" fillcolor="#ff0080" stroked="f" strokecolor="#4a7ebb" strokeweight="1.5pt">
                <v:shadow opacity="22938f" offset="0"/>
                <v:textbox inset=",7.2pt,,7.2pt">
                  <w:txbxContent>
                    <w:p w:rsidR="007B1397" w:rsidRDefault="007B1397" w:rsidP="006933C4">
                      <w:pPr>
                        <w:spacing w:line="144" w:lineRule="auto"/>
                        <w:jc w:val="center"/>
                      </w:pPr>
                    </w:p>
                  </w:txbxContent>
                </v:textbox>
              </v:oval>
            </w:pict>
          </mc:Fallback>
        </mc:AlternateContent>
      </w:r>
      <w:r>
        <w:rPr>
          <w:rFonts w:ascii="Arial Unicode MS" w:hAnsi="Arial Unicode MS"/>
          <w:noProof/>
          <w:sz w:val="18"/>
          <w:lang w:eastAsia="fr-FR"/>
        </w:rPr>
        <mc:AlternateContent>
          <mc:Choice Requires="wps">
            <w:drawing>
              <wp:anchor distT="0" distB="0" distL="114300" distR="114300" simplePos="0" relativeHeight="251660288" behindDoc="0" locked="0" layoutInCell="1" allowOverlap="1">
                <wp:simplePos x="0" y="0"/>
                <wp:positionH relativeFrom="column">
                  <wp:posOffset>457200</wp:posOffset>
                </wp:positionH>
                <wp:positionV relativeFrom="paragraph">
                  <wp:posOffset>302260</wp:posOffset>
                </wp:positionV>
                <wp:extent cx="457200" cy="457200"/>
                <wp:effectExtent l="0" t="635" r="3810" b="0"/>
                <wp:wrapTight wrapText="bothSides">
                  <wp:wrapPolygon edited="0">
                    <wp:start x="0" y="0"/>
                    <wp:lineTo x="21600" y="0"/>
                    <wp:lineTo x="21600" y="21600"/>
                    <wp:lineTo x="0" y="21600"/>
                    <wp:lineTo x="0" y="0"/>
                  </wp:wrapPolygon>
                </wp:wrapTight>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933C4">
                            <w:pPr>
                              <w:jc w:val="center"/>
                              <w:rPr>
                                <w:rFonts w:ascii="Apple Casual" w:eastAsia="GB18030 Bitmap" w:hAnsi="Apple Casual"/>
                                <w:b/>
                                <w:color w:val="FFFFFF" w:themeColor="background1"/>
                                <w:sz w:val="48"/>
                              </w:rPr>
                            </w:pPr>
                            <w:r w:rsidRPr="006071E8">
                              <w:rPr>
                                <w:rFonts w:ascii="Apple Casual" w:eastAsia="GB18030 Bitmap" w:hAnsi="Apple Casual"/>
                                <w:b/>
                                <w:color w:val="FFFFFF" w:themeColor="background1"/>
                                <w:sz w:val="48"/>
                              </w:rPr>
                              <w:t>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 o:spid="_x0000_s1028" type="#_x0000_t202" style="position:absolute;margin-left:36pt;margin-top:23.8pt;width:3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" filled="f" stroked="f">
                <v:textbox inset=",7.2pt,,7.2pt">
                  <w:txbxContent>
                    <w:p w:rsidR="007B1397" w:rsidRPr="006071E8" w:rsidRDefault="007B1397" w:rsidP="006933C4">
                      <w:pPr>
                        <w:jc w:val="center"/>
                        <w:rPr>
                          <w:rFonts w:ascii="Apple Casual" w:eastAsia="GB18030 Bitmap" w:hAnsi="Apple Casual"/>
                          <w:b/>
                          <w:color w:val="FFFFFF" w:themeColor="background1"/>
                          <w:sz w:val="48"/>
                        </w:rPr>
                      </w:pPr>
                      <w:r w:rsidRPr="006071E8">
                        <w:rPr>
                          <w:rFonts w:ascii="Apple Casual" w:eastAsia="GB18030 Bitmap" w:hAnsi="Apple Casual"/>
                          <w:b/>
                          <w:color w:val="FFFFFF" w:themeColor="background1"/>
                          <w:sz w:val="48"/>
                        </w:rPr>
                        <w:t>1</w:t>
                      </w:r>
                    </w:p>
                  </w:txbxContent>
                </v:textbox>
                <w10:wrap type="tight"/>
              </v:shape>
            </w:pict>
          </mc:Fallback>
        </mc:AlternateContent>
      </w:r>
    </w:p>
    <w:p w:rsidR="006933C4" w:rsidRPr="001A5BD6" w:rsidRDefault="006933C4" w:rsidP="006933C4">
      <w:pPr>
        <w:rPr>
          <w:rFonts w:ascii="Arial Unicode MS" w:hAnsi="Arial Unicode MS"/>
          <w:sz w:val="18"/>
        </w:rPr>
      </w:pPr>
    </w:p>
    <w:p w:rsidR="006933C4" w:rsidRPr="001A5BD6" w:rsidRDefault="006933C4" w:rsidP="006933C4">
      <w:pPr>
        <w:rPr>
          <w:rFonts w:ascii="Arial Unicode MS" w:hAnsi="Arial Unicode MS"/>
          <w:sz w:val="18"/>
        </w:rPr>
      </w:pPr>
    </w:p>
    <w:p w:rsidR="006933C4" w:rsidRPr="001A5BD6" w:rsidRDefault="006933C4" w:rsidP="006933C4">
      <w:pPr>
        <w:rPr>
          <w:rFonts w:ascii="Arial Unicode MS" w:hAnsi="Arial Unicode MS"/>
          <w:sz w:val="18"/>
        </w:rPr>
      </w:pPr>
    </w:p>
    <w:p w:rsidR="006933C4" w:rsidRPr="001A5BD6" w:rsidRDefault="006933C4" w:rsidP="006933C4">
      <w:pPr>
        <w:rPr>
          <w:rFonts w:ascii="Arial Unicode MS" w:hAnsi="Arial Unicode MS"/>
          <w:sz w:val="18"/>
        </w:rPr>
      </w:pPr>
    </w:p>
    <w:p w:rsidR="006933C4" w:rsidRPr="001A5BD6" w:rsidRDefault="006933C4" w:rsidP="006933C4">
      <w:pPr>
        <w:rPr>
          <w:rFonts w:ascii="Arial Unicode MS" w:hAnsi="Arial Unicode MS"/>
          <w:sz w:val="1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76672" behindDoc="0" locked="0" layoutInCell="1" allowOverlap="1">
                <wp:simplePos x="0" y="0"/>
                <wp:positionH relativeFrom="column">
                  <wp:posOffset>1390650</wp:posOffset>
                </wp:positionH>
                <wp:positionV relativeFrom="paragraph">
                  <wp:posOffset>182880</wp:posOffset>
                </wp:positionV>
                <wp:extent cx="5029200" cy="1358900"/>
                <wp:effectExtent l="0" t="0" r="3810" b="3175"/>
                <wp:wrapTight wrapText="bothSides">
                  <wp:wrapPolygon edited="0">
                    <wp:start x="0" y="0"/>
                    <wp:lineTo x="21600" y="0"/>
                    <wp:lineTo x="21600" y="21600"/>
                    <wp:lineTo x="0" y="21600"/>
                    <wp:lineTo x="0" y="0"/>
                  </wp:wrapPolygon>
                </wp:wrapTight>
                <wp:docPr id="21"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35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5D3E21" w:rsidRDefault="007B1397" w:rsidP="006933C4">
                            <w:pPr>
                              <w:rPr>
                                <w:rFonts w:ascii="BlairMdITC TT-Medium" w:hAnsi="BlairMdITC TT-Medium"/>
                                <w:sz w:val="22"/>
                              </w:rPr>
                            </w:pPr>
                            <w:r w:rsidRPr="005D3E21">
                              <w:rPr>
                                <w:rFonts w:ascii="BlairMdITC TT-Medium" w:hAnsi="BlairMdITC TT-Medium"/>
                                <w:b/>
                              </w:rPr>
                              <w:t>REMUNERATIONS ET CHARGES SALARIALES</w:t>
                            </w:r>
                            <w:r w:rsidRPr="005D3E21">
                              <w:rPr>
                                <w:rFonts w:ascii="Arial" w:hAnsi="Arial"/>
                                <w:sz w:val="22"/>
                              </w:rPr>
                              <w:t>................................................................................................</w:t>
                            </w:r>
                            <w:r>
                              <w:rPr>
                                <w:rFonts w:ascii="Arial" w:hAnsi="Arial"/>
                                <w:sz w:val="22"/>
                              </w:rPr>
                              <w:t>80</w:t>
                            </w:r>
                          </w:p>
                          <w:p w:rsidR="007B1397" w:rsidRPr="005D3E21" w:rsidRDefault="007B1397" w:rsidP="006933C4">
                            <w:pPr>
                              <w:rPr>
                                <w:rFonts w:ascii="Arial" w:hAnsi="Arial"/>
                                <w:sz w:val="22"/>
                              </w:rPr>
                            </w:pPr>
                            <w:r w:rsidRPr="005D3E21">
                              <w:rPr>
                                <w:rFonts w:ascii="BlairMdITC TT-Medium" w:hAnsi="BlairMdITC TT-Medium"/>
                                <w:sz w:val="22"/>
                              </w:rPr>
                              <w:t>A.</w:t>
                            </w:r>
                            <w:r w:rsidRPr="005D3E21">
                              <w:rPr>
                                <w:rFonts w:ascii="Arial" w:hAnsi="Arial"/>
                                <w:sz w:val="22"/>
                              </w:rPr>
                              <w:t xml:space="preserve"> Masse salariale (T2)..................................................................................</w:t>
                            </w:r>
                            <w:r>
                              <w:rPr>
                                <w:rFonts w:ascii="Arial" w:hAnsi="Arial"/>
                                <w:sz w:val="22"/>
                              </w:rPr>
                              <w:t>81</w:t>
                            </w:r>
                          </w:p>
                          <w:p w:rsidR="007B1397" w:rsidRPr="005D3E21" w:rsidRDefault="007B1397" w:rsidP="006933C4">
                            <w:pPr>
                              <w:rPr>
                                <w:rFonts w:ascii="Arial" w:hAnsi="Arial"/>
                                <w:sz w:val="22"/>
                              </w:rPr>
                            </w:pPr>
                            <w:r w:rsidRPr="005D3E21">
                              <w:rPr>
                                <w:rFonts w:ascii="BlairMdITC TT-Medium" w:hAnsi="BlairMdITC TT-Medium"/>
                                <w:sz w:val="22"/>
                              </w:rPr>
                              <w:t>B.</w:t>
                            </w:r>
                            <w:r w:rsidRPr="005D3E21">
                              <w:rPr>
                                <w:rFonts w:ascii="Arial" w:hAnsi="Arial"/>
                                <w:sz w:val="22"/>
                              </w:rPr>
                              <w:t xml:space="preserve"> Coûts moyens présents (T2).....................................................................</w:t>
                            </w:r>
                            <w:r>
                              <w:rPr>
                                <w:rFonts w:ascii="Arial" w:hAnsi="Arial"/>
                                <w:sz w:val="22"/>
                              </w:rPr>
                              <w:t>82</w:t>
                            </w:r>
                          </w:p>
                          <w:p w:rsidR="007B1397" w:rsidRPr="005D3E21" w:rsidRDefault="007B1397" w:rsidP="006933C4">
                            <w:pPr>
                              <w:rPr>
                                <w:rFonts w:ascii="Arial" w:hAnsi="Arial"/>
                                <w:sz w:val="22"/>
                              </w:rPr>
                            </w:pPr>
                            <w:r w:rsidRPr="005D3E21">
                              <w:rPr>
                                <w:rFonts w:ascii="BlairMdITC TT-Medium" w:hAnsi="BlairMdITC TT-Medium"/>
                                <w:sz w:val="22"/>
                              </w:rPr>
                              <w:t>C.</w:t>
                            </w:r>
                            <w:r w:rsidRPr="005D3E21">
                              <w:rPr>
                                <w:rFonts w:ascii="Arial" w:hAnsi="Arial"/>
                                <w:sz w:val="22"/>
                              </w:rPr>
                              <w:t xml:space="preserve"> Exécution du retour catégoriel (T2)...........................................................</w:t>
                            </w:r>
                            <w:r>
                              <w:rPr>
                                <w:rFonts w:ascii="Arial" w:hAnsi="Arial"/>
                                <w:sz w:val="22"/>
                              </w:rPr>
                              <w:t>86</w:t>
                            </w:r>
                          </w:p>
                          <w:p w:rsidR="007B1397" w:rsidRPr="005D3E21" w:rsidRDefault="007B1397" w:rsidP="00C5377C">
                            <w:pPr>
                              <w:rPr>
                                <w:rFonts w:ascii="Arial" w:hAnsi="Arial"/>
                                <w:sz w:val="22"/>
                              </w:rPr>
                            </w:pPr>
                            <w:r w:rsidRPr="005D3E21">
                              <w:rPr>
                                <w:rFonts w:ascii="BlairMdITC TT-Medium" w:hAnsi="BlairMdITC TT-Medium"/>
                                <w:sz w:val="22"/>
                              </w:rPr>
                              <w:t>D.</w:t>
                            </w:r>
                            <w:r w:rsidRPr="005D3E21">
                              <w:rPr>
                                <w:rFonts w:ascii="Arial" w:hAnsi="Arial"/>
                                <w:sz w:val="22"/>
                              </w:rPr>
                              <w:t xml:space="preserve"> Coût de rachat des CET et de la GIPA (T2)..............................................</w:t>
                            </w:r>
                            <w:r>
                              <w:rPr>
                                <w:rFonts w:ascii="Arial" w:hAnsi="Arial"/>
                                <w:sz w:val="22"/>
                              </w:rPr>
                              <w:t>87</w:t>
                            </w:r>
                          </w:p>
                          <w:p w:rsidR="007B1397" w:rsidRPr="00C6632E" w:rsidRDefault="007B1397" w:rsidP="006933C4">
                            <w:pPr>
                              <w:rPr>
                                <w:rFonts w:ascii="Arial" w:hAnsi="Arial"/>
                                <w:b/>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 o:spid="_x0000_s1029" type="#_x0000_t202" style="position:absolute;margin-left:109.5pt;margin-top:14.4pt;width:396pt;height:10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" filled="f" stroked="f">
                <v:textbox inset=",7.2pt,,7.2pt">
                  <w:txbxContent>
                    <w:p w:rsidR="007B1397" w:rsidRPr="005D3E21" w:rsidRDefault="007B1397" w:rsidP="006933C4">
                      <w:pPr>
                        <w:rPr>
                          <w:rFonts w:ascii="BlairMdITC TT-Medium" w:hAnsi="BlairMdITC TT-Medium"/>
                          <w:sz w:val="22"/>
                        </w:rPr>
                      </w:pPr>
                      <w:r w:rsidRPr="005D3E21">
                        <w:rPr>
                          <w:rFonts w:ascii="BlairMdITC TT-Medium" w:hAnsi="BlairMdITC TT-Medium"/>
                          <w:b/>
                        </w:rPr>
                        <w:t>REMUNERATIONS ET CHARGES SALARIALES</w:t>
                      </w:r>
                      <w:r w:rsidRPr="005D3E21">
                        <w:rPr>
                          <w:rFonts w:ascii="Arial" w:hAnsi="Arial"/>
                          <w:sz w:val="22"/>
                        </w:rPr>
                        <w:t>................................................................................................</w:t>
                      </w:r>
                      <w:r>
                        <w:rPr>
                          <w:rFonts w:ascii="Arial" w:hAnsi="Arial"/>
                          <w:sz w:val="22"/>
                        </w:rPr>
                        <w:t>80</w:t>
                      </w:r>
                    </w:p>
                    <w:p w:rsidR="007B1397" w:rsidRPr="005D3E21" w:rsidRDefault="007B1397" w:rsidP="006933C4">
                      <w:pPr>
                        <w:rPr>
                          <w:rFonts w:ascii="Arial" w:hAnsi="Arial"/>
                          <w:sz w:val="22"/>
                        </w:rPr>
                      </w:pPr>
                      <w:r w:rsidRPr="005D3E21">
                        <w:rPr>
                          <w:rFonts w:ascii="BlairMdITC TT-Medium" w:hAnsi="BlairMdITC TT-Medium"/>
                          <w:sz w:val="22"/>
                        </w:rPr>
                        <w:t>A.</w:t>
                      </w:r>
                      <w:r w:rsidRPr="005D3E21">
                        <w:rPr>
                          <w:rFonts w:ascii="Arial" w:hAnsi="Arial"/>
                          <w:sz w:val="22"/>
                        </w:rPr>
                        <w:t xml:space="preserve"> Masse salariale (T2)..................................................................................</w:t>
                      </w:r>
                      <w:r>
                        <w:rPr>
                          <w:rFonts w:ascii="Arial" w:hAnsi="Arial"/>
                          <w:sz w:val="22"/>
                        </w:rPr>
                        <w:t>81</w:t>
                      </w:r>
                    </w:p>
                    <w:p w:rsidR="007B1397" w:rsidRPr="005D3E21" w:rsidRDefault="007B1397" w:rsidP="006933C4">
                      <w:pPr>
                        <w:rPr>
                          <w:rFonts w:ascii="Arial" w:hAnsi="Arial"/>
                          <w:sz w:val="22"/>
                        </w:rPr>
                      </w:pPr>
                      <w:r w:rsidRPr="005D3E21">
                        <w:rPr>
                          <w:rFonts w:ascii="BlairMdITC TT-Medium" w:hAnsi="BlairMdITC TT-Medium"/>
                          <w:sz w:val="22"/>
                        </w:rPr>
                        <w:t>B.</w:t>
                      </w:r>
                      <w:r w:rsidRPr="005D3E21">
                        <w:rPr>
                          <w:rFonts w:ascii="Arial" w:hAnsi="Arial"/>
                          <w:sz w:val="22"/>
                        </w:rPr>
                        <w:t xml:space="preserve"> Coûts moyens présents (T2).....................................................................</w:t>
                      </w:r>
                      <w:r>
                        <w:rPr>
                          <w:rFonts w:ascii="Arial" w:hAnsi="Arial"/>
                          <w:sz w:val="22"/>
                        </w:rPr>
                        <w:t>82</w:t>
                      </w:r>
                    </w:p>
                    <w:p w:rsidR="007B1397" w:rsidRPr="005D3E21" w:rsidRDefault="007B1397" w:rsidP="006933C4">
                      <w:pPr>
                        <w:rPr>
                          <w:rFonts w:ascii="Arial" w:hAnsi="Arial"/>
                          <w:sz w:val="22"/>
                        </w:rPr>
                      </w:pPr>
                      <w:r w:rsidRPr="005D3E21">
                        <w:rPr>
                          <w:rFonts w:ascii="BlairMdITC TT-Medium" w:hAnsi="BlairMdITC TT-Medium"/>
                          <w:sz w:val="22"/>
                        </w:rPr>
                        <w:t>C.</w:t>
                      </w:r>
                      <w:r w:rsidRPr="005D3E21">
                        <w:rPr>
                          <w:rFonts w:ascii="Arial" w:hAnsi="Arial"/>
                          <w:sz w:val="22"/>
                        </w:rPr>
                        <w:t xml:space="preserve"> Exécution du retour catégoriel (T2)...........................................................</w:t>
                      </w:r>
                      <w:r>
                        <w:rPr>
                          <w:rFonts w:ascii="Arial" w:hAnsi="Arial"/>
                          <w:sz w:val="22"/>
                        </w:rPr>
                        <w:t>86</w:t>
                      </w:r>
                    </w:p>
                    <w:p w:rsidR="007B1397" w:rsidRPr="005D3E21" w:rsidRDefault="007B1397" w:rsidP="00C5377C">
                      <w:pPr>
                        <w:rPr>
                          <w:rFonts w:ascii="Arial" w:hAnsi="Arial"/>
                          <w:sz w:val="22"/>
                        </w:rPr>
                      </w:pPr>
                      <w:r w:rsidRPr="005D3E21">
                        <w:rPr>
                          <w:rFonts w:ascii="BlairMdITC TT-Medium" w:hAnsi="BlairMdITC TT-Medium"/>
                          <w:sz w:val="22"/>
                        </w:rPr>
                        <w:t>D.</w:t>
                      </w:r>
                      <w:r w:rsidRPr="005D3E21">
                        <w:rPr>
                          <w:rFonts w:ascii="Arial" w:hAnsi="Arial"/>
                          <w:sz w:val="22"/>
                        </w:rPr>
                        <w:t xml:space="preserve"> Coût de rachat des CET et de la GIPA (T2)..............................................</w:t>
                      </w:r>
                      <w:r>
                        <w:rPr>
                          <w:rFonts w:ascii="Arial" w:hAnsi="Arial"/>
                          <w:sz w:val="22"/>
                        </w:rPr>
                        <w:t>87</w:t>
                      </w:r>
                    </w:p>
                    <w:p w:rsidR="007B1397" w:rsidRPr="00C6632E" w:rsidRDefault="007B1397" w:rsidP="006933C4">
                      <w:pPr>
                        <w:rPr>
                          <w:rFonts w:ascii="Arial" w:hAnsi="Arial"/>
                          <w:b/>
                          <w:sz w:val="22"/>
                        </w:rPr>
                      </w:pPr>
                    </w:p>
                  </w:txbxContent>
                </v:textbox>
                <w10:wrap type="tight"/>
              </v:shape>
            </w:pict>
          </mc:Fallback>
        </mc:AlternateContent>
      </w:r>
    </w:p>
    <w:p w:rsidR="006933C4" w:rsidRDefault="006933C4" w:rsidP="006933C4">
      <w:pPr>
        <w:tabs>
          <w:tab w:val="left" w:pos="1700"/>
        </w:tabs>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68480" behindDoc="0" locked="0" layoutInCell="1" allowOverlap="1">
                <wp:simplePos x="0" y="0"/>
                <wp:positionH relativeFrom="column">
                  <wp:posOffset>448310</wp:posOffset>
                </wp:positionH>
                <wp:positionV relativeFrom="paragraph">
                  <wp:posOffset>269240</wp:posOffset>
                </wp:positionV>
                <wp:extent cx="457200" cy="457200"/>
                <wp:effectExtent l="0" t="0" r="3175" b="3810"/>
                <wp:wrapTight wrapText="bothSides">
                  <wp:wrapPolygon edited="0">
                    <wp:start x="0" y="0"/>
                    <wp:lineTo x="21600" y="0"/>
                    <wp:lineTo x="21600" y="21600"/>
                    <wp:lineTo x="0" y="21600"/>
                    <wp:lineTo x="0" y="0"/>
                  </wp:wrapPolygon>
                </wp:wrapTight>
                <wp:docPr id="20"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 o:spid="_x0000_s1030" type="#_x0000_t202" style="position:absolute;margin-left:35.3pt;margin-top:21.2pt;width:36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" filled="f" stroked="f">
                <v:textbox inset=",7.2pt,,7.2pt">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2</w:t>
                      </w:r>
                    </w:p>
                  </w:txbxContent>
                </v:textbox>
                <w10:wrap type="tight"/>
              </v:shape>
            </w:pict>
          </mc:Fallback>
        </mc:AlternateContent>
      </w:r>
      <w:r>
        <w:rPr>
          <w:rFonts w:ascii="Arial Unicode MS" w:hAnsi="Arial Unicode MS"/>
          <w:noProof/>
          <w:sz w:val="28"/>
          <w:lang w:eastAsia="fr-FR"/>
        </w:rPr>
        <mc:AlternateContent>
          <mc:Choice Requires="wps">
            <w:drawing>
              <wp:anchor distT="0" distB="0" distL="114300" distR="114300" simplePos="0" relativeHeight="251661312" behindDoc="0" locked="0" layoutInCell="1" allowOverlap="1">
                <wp:simplePos x="0" y="0"/>
                <wp:positionH relativeFrom="column">
                  <wp:posOffset>228600</wp:posOffset>
                </wp:positionH>
                <wp:positionV relativeFrom="paragraph">
                  <wp:posOffset>40640</wp:posOffset>
                </wp:positionV>
                <wp:extent cx="914400" cy="914400"/>
                <wp:effectExtent l="5715" t="5715" r="3810" b="3810"/>
                <wp:wrapNone/>
                <wp:docPr id="19" name="Ellips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0080FF"/>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3A79B9" id="Ellipse 19" o:spid="_x0000_s1026" style="position:absolute;margin-left:18pt;margin-top:3.2pt;width:1in;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" fillcolor="#0080ff" stroked="f" strokecolor="#4a7ebb" strokeweight="1.5pt">
                <v:shadow opacity="22938f" offset="0"/>
                <v:textbox inset=",7.2pt,,7.2pt"/>
              </v:oval>
            </w:pict>
          </mc:Fallback>
        </mc:AlternateContent>
      </w: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0A142C" w:rsidP="006933C4">
      <w:pPr>
        <w:tabs>
          <w:tab w:val="left" w:pos="1700"/>
        </w:tabs>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80768" behindDoc="0" locked="0" layoutInCell="1" allowOverlap="1" wp14:anchorId="1A53DC87" wp14:editId="1E3FF6FE">
                <wp:simplePos x="0" y="0"/>
                <wp:positionH relativeFrom="column">
                  <wp:posOffset>1378585</wp:posOffset>
                </wp:positionH>
                <wp:positionV relativeFrom="paragraph">
                  <wp:posOffset>154305</wp:posOffset>
                </wp:positionV>
                <wp:extent cx="5029200" cy="1798320"/>
                <wp:effectExtent l="0" t="0" r="0" b="0"/>
                <wp:wrapTight wrapText="bothSides">
                  <wp:wrapPolygon edited="0">
                    <wp:start x="164" y="686"/>
                    <wp:lineTo x="164" y="20822"/>
                    <wp:lineTo x="21355" y="20822"/>
                    <wp:lineTo x="21355" y="686"/>
                    <wp:lineTo x="164" y="686"/>
                  </wp:wrapPolygon>
                </wp:wrapTight>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79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5D3E21" w:rsidRDefault="007B1397" w:rsidP="005D3E21">
                            <w:pPr>
                              <w:jc w:val="both"/>
                              <w:rPr>
                                <w:rFonts w:ascii="BlairMdITC TT-Medium" w:hAnsi="BlairMdITC TT-Medium"/>
                                <w:sz w:val="18"/>
                              </w:rPr>
                            </w:pPr>
                            <w:r w:rsidRPr="005D3E21">
                              <w:rPr>
                                <w:rFonts w:ascii="BlairMdITC TT-Medium" w:hAnsi="BlairMdITC TT-Medium"/>
                                <w:b/>
                              </w:rPr>
                              <w:t>EGALITE FEMME - HOMME</w:t>
                            </w:r>
                            <w:r w:rsidRPr="005D3E21">
                              <w:rPr>
                                <w:rFonts w:ascii="Arial" w:hAnsi="Arial"/>
                                <w:sz w:val="22"/>
                              </w:rPr>
                              <w:t>......................................</w:t>
                            </w:r>
                            <w:r>
                              <w:rPr>
                                <w:rFonts w:ascii="Arial" w:hAnsi="Arial"/>
                                <w:sz w:val="22"/>
                              </w:rPr>
                              <w:t>................................90</w:t>
                            </w:r>
                          </w:p>
                          <w:p w:rsidR="007B1397" w:rsidRPr="005D3E21" w:rsidRDefault="007B1397" w:rsidP="005D3E21">
                            <w:pPr>
                              <w:jc w:val="both"/>
                              <w:rPr>
                                <w:rFonts w:ascii="Arial" w:hAnsi="Arial"/>
                                <w:sz w:val="22"/>
                              </w:rPr>
                            </w:pPr>
                            <w:r w:rsidRPr="005D3E21">
                              <w:rPr>
                                <w:rFonts w:ascii="BlairMdITC TT-Medium" w:hAnsi="BlairMdITC TT-Medium"/>
                                <w:sz w:val="22"/>
                              </w:rPr>
                              <w:t>A</w:t>
                            </w:r>
                            <w:r w:rsidRPr="00AB6BC2">
                              <w:rPr>
                                <w:rFonts w:ascii="Arial" w:hAnsi="Arial"/>
                                <w:sz w:val="22"/>
                              </w:rPr>
                              <w:t xml:space="preserve">. </w:t>
                            </w:r>
                            <w:r>
                              <w:rPr>
                                <w:rFonts w:ascii="Arial" w:hAnsi="Arial"/>
                                <w:sz w:val="22"/>
                              </w:rPr>
                              <w:t>Etat de la démographie (T2)</w:t>
                            </w:r>
                            <w:r w:rsidRPr="005D3E21">
                              <w:rPr>
                                <w:rFonts w:ascii="Arial" w:hAnsi="Arial"/>
                                <w:sz w:val="22"/>
                              </w:rPr>
                              <w:t>....................................................................</w:t>
                            </w:r>
                            <w:r>
                              <w:rPr>
                                <w:rFonts w:ascii="Arial" w:hAnsi="Arial"/>
                                <w:sz w:val="22"/>
                              </w:rPr>
                              <w:t>...91</w:t>
                            </w:r>
                          </w:p>
                          <w:p w:rsidR="007B1397" w:rsidRPr="005D3E21" w:rsidRDefault="007B1397" w:rsidP="005D3E21">
                            <w:pPr>
                              <w:jc w:val="both"/>
                              <w:rPr>
                                <w:rFonts w:ascii="Arial" w:hAnsi="Arial"/>
                                <w:sz w:val="22"/>
                              </w:rPr>
                            </w:pPr>
                            <w:r w:rsidRPr="005D3E21">
                              <w:rPr>
                                <w:rFonts w:ascii="BlairMdITC TT-Medium" w:hAnsi="BlairMdITC TT-Medium"/>
                                <w:sz w:val="22"/>
                              </w:rPr>
                              <w:t>B</w:t>
                            </w:r>
                            <w:r w:rsidRPr="005D3E21">
                              <w:rPr>
                                <w:rFonts w:ascii="Arial" w:hAnsi="Arial"/>
                                <w:sz w:val="22"/>
                              </w:rPr>
                              <w:t>. Part des femmes dans l’encadrement supérieur (T2 – T3).......................</w:t>
                            </w:r>
                            <w:r>
                              <w:rPr>
                                <w:rFonts w:ascii="Arial" w:hAnsi="Arial"/>
                                <w:sz w:val="22"/>
                              </w:rPr>
                              <w:t>.95</w:t>
                            </w:r>
                          </w:p>
                          <w:p w:rsidR="007B1397" w:rsidRPr="005D3E21" w:rsidRDefault="007B1397" w:rsidP="005D3E21">
                            <w:pPr>
                              <w:jc w:val="both"/>
                              <w:rPr>
                                <w:rFonts w:ascii="Arial" w:hAnsi="Arial"/>
                                <w:sz w:val="22"/>
                              </w:rPr>
                            </w:pPr>
                            <w:r>
                              <w:rPr>
                                <w:rFonts w:ascii="BlairMdITC TT-Medium" w:hAnsi="BlairMdITC TT-Medium"/>
                                <w:sz w:val="22"/>
                              </w:rPr>
                              <w:t>C</w:t>
                            </w:r>
                            <w:r w:rsidRPr="00AB6BC2">
                              <w:rPr>
                                <w:rFonts w:ascii="Arial" w:hAnsi="Arial"/>
                                <w:sz w:val="22"/>
                              </w:rPr>
                              <w:t xml:space="preserve">. </w:t>
                            </w:r>
                            <w:r w:rsidRPr="00AB6BC2">
                              <w:rPr>
                                <w:rFonts w:ascii="Arial" w:hAnsi="Arial" w:cs="Arial"/>
                                <w:sz w:val="22"/>
                              </w:rPr>
                              <w:t>Part des femmes dans les conseils</w:t>
                            </w:r>
                            <w:r w:rsidRPr="005D3E21">
                              <w:rPr>
                                <w:rFonts w:ascii="Arial" w:hAnsi="Arial"/>
                                <w:sz w:val="22"/>
                              </w:rPr>
                              <w:t xml:space="preserve"> d’administration (T2 – T3)…...........</w:t>
                            </w:r>
                            <w:r>
                              <w:rPr>
                                <w:rFonts w:ascii="Arial" w:hAnsi="Arial"/>
                                <w:sz w:val="22"/>
                              </w:rPr>
                              <w:t>...97</w:t>
                            </w:r>
                          </w:p>
                          <w:p w:rsidR="007B1397" w:rsidRPr="005D3E21" w:rsidRDefault="007B1397" w:rsidP="005D3E21">
                            <w:pPr>
                              <w:jc w:val="both"/>
                              <w:rPr>
                                <w:rFonts w:ascii="Arial" w:hAnsi="Arial"/>
                                <w:sz w:val="22"/>
                              </w:rPr>
                            </w:pPr>
                            <w:r w:rsidRPr="005D3E21">
                              <w:rPr>
                                <w:rFonts w:ascii="BlairMdITC TT-Medium" w:hAnsi="BlairMdITC TT-Medium"/>
                                <w:sz w:val="22"/>
                              </w:rPr>
                              <w:t>D</w:t>
                            </w:r>
                            <w:r w:rsidRPr="00AB6BC2">
                              <w:rPr>
                                <w:rFonts w:ascii="Arial" w:hAnsi="Arial"/>
                                <w:sz w:val="22"/>
                              </w:rPr>
                              <w:t>.</w:t>
                            </w:r>
                            <w:r w:rsidRPr="005D3E21">
                              <w:rPr>
                                <w:rFonts w:ascii="Arial" w:hAnsi="Arial"/>
                                <w:sz w:val="22"/>
                              </w:rPr>
                              <w:t xml:space="preserve"> La formation des agents en 2013 (T2 – T3).............................................</w:t>
                            </w:r>
                            <w:r>
                              <w:rPr>
                                <w:rFonts w:ascii="Arial" w:hAnsi="Arial"/>
                                <w:sz w:val="22"/>
                              </w:rPr>
                              <w:t>..98</w:t>
                            </w:r>
                          </w:p>
                          <w:p w:rsidR="007B1397" w:rsidRPr="005D3E21" w:rsidRDefault="007B1397" w:rsidP="005D3E21">
                            <w:pPr>
                              <w:jc w:val="both"/>
                              <w:rPr>
                                <w:rFonts w:ascii="Arial" w:hAnsi="Arial"/>
                                <w:sz w:val="22"/>
                              </w:rPr>
                            </w:pPr>
                            <w:r w:rsidRPr="005D3E21">
                              <w:rPr>
                                <w:rFonts w:ascii="BlairMdITC TT-Medium" w:hAnsi="BlairMdITC TT-Medium"/>
                                <w:sz w:val="22"/>
                              </w:rPr>
                              <w:t>E</w:t>
                            </w:r>
                            <w:r w:rsidRPr="00AB6BC2">
                              <w:rPr>
                                <w:rFonts w:ascii="Arial" w:hAnsi="Arial"/>
                                <w:sz w:val="22"/>
                              </w:rPr>
                              <w:t>.</w:t>
                            </w:r>
                            <w:r w:rsidRPr="005D3E21">
                              <w:rPr>
                                <w:rFonts w:ascii="Arial" w:hAnsi="Arial"/>
                                <w:sz w:val="22"/>
                              </w:rPr>
                              <w:t xml:space="preserve"> Composition des jurys de concours et d’examens professionnels </w:t>
                            </w:r>
                          </w:p>
                          <w:p w:rsidR="007B1397" w:rsidRDefault="007B1397" w:rsidP="005D3E21">
                            <w:pPr>
                              <w:jc w:val="both"/>
                              <w:rPr>
                                <w:rFonts w:ascii="Arial" w:hAnsi="Arial"/>
                                <w:sz w:val="22"/>
                              </w:rPr>
                            </w:pPr>
                            <w:r w:rsidRPr="005D3E21">
                              <w:rPr>
                                <w:rFonts w:ascii="Arial" w:hAnsi="Arial"/>
                                <w:sz w:val="22"/>
                              </w:rPr>
                              <w:t>(T2 – T3) .....................................................................................................</w:t>
                            </w:r>
                            <w:r>
                              <w:rPr>
                                <w:rFonts w:ascii="Arial" w:hAnsi="Arial"/>
                                <w:sz w:val="22"/>
                              </w:rPr>
                              <w:t>..98</w:t>
                            </w:r>
                          </w:p>
                          <w:p w:rsidR="007B1397" w:rsidRPr="007B6AB1" w:rsidRDefault="007B1397" w:rsidP="00AB6BC2">
                            <w:pPr>
                              <w:jc w:val="both"/>
                              <w:rPr>
                                <w:rFonts w:ascii="BlairMdITC TT-Medium" w:hAnsi="BlairMdITC TT-Medium"/>
                                <w:sz w:val="22"/>
                              </w:rPr>
                            </w:pPr>
                            <w:r w:rsidRPr="00AB6BC2">
                              <w:rPr>
                                <w:rFonts w:ascii="BlairMdITC TT-Medium" w:hAnsi="BlairMdITC TT-Medium"/>
                                <w:sz w:val="22"/>
                              </w:rPr>
                              <w:t>F</w:t>
                            </w:r>
                            <w:r>
                              <w:rPr>
                                <w:rFonts w:ascii="Arial" w:hAnsi="Arial"/>
                                <w:sz w:val="22"/>
                              </w:rPr>
                              <w:t>. Rémunérations comparées Femmes-Hommes en 2013 (T2)…………….99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3DC87" id="Zone de texte 17" o:spid="_x0000_s1031" type="#_x0000_t202" style="position:absolute;margin-left:108.55pt;margin-top:12.15pt;width:396pt;height:14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" filled="f" stroked="f">
                <v:textbox inset=",7.2pt,,7.2pt">
                  <w:txbxContent>
                    <w:p w:rsidR="007B1397" w:rsidRPr="005D3E21" w:rsidRDefault="007B1397" w:rsidP="005D3E21">
                      <w:pPr>
                        <w:jc w:val="both"/>
                        <w:rPr>
                          <w:rFonts w:ascii="BlairMdITC TT-Medium" w:hAnsi="BlairMdITC TT-Medium"/>
                          <w:sz w:val="18"/>
                        </w:rPr>
                      </w:pPr>
                      <w:r w:rsidRPr="005D3E21">
                        <w:rPr>
                          <w:rFonts w:ascii="BlairMdITC TT-Medium" w:hAnsi="BlairMdITC TT-Medium"/>
                          <w:b/>
                        </w:rPr>
                        <w:t>EGALITE FEMME - HOMME</w:t>
                      </w:r>
                      <w:r w:rsidRPr="005D3E21">
                        <w:rPr>
                          <w:rFonts w:ascii="Arial" w:hAnsi="Arial"/>
                          <w:sz w:val="22"/>
                        </w:rPr>
                        <w:t>......................................</w:t>
                      </w:r>
                      <w:r>
                        <w:rPr>
                          <w:rFonts w:ascii="Arial" w:hAnsi="Arial"/>
                          <w:sz w:val="22"/>
                        </w:rPr>
                        <w:t>................................90</w:t>
                      </w:r>
                    </w:p>
                    <w:p w:rsidR="007B1397" w:rsidRPr="005D3E21" w:rsidRDefault="007B1397" w:rsidP="005D3E21">
                      <w:pPr>
                        <w:jc w:val="both"/>
                        <w:rPr>
                          <w:rFonts w:ascii="Arial" w:hAnsi="Arial"/>
                          <w:sz w:val="22"/>
                        </w:rPr>
                      </w:pPr>
                      <w:r w:rsidRPr="005D3E21">
                        <w:rPr>
                          <w:rFonts w:ascii="BlairMdITC TT-Medium" w:hAnsi="BlairMdITC TT-Medium"/>
                          <w:sz w:val="22"/>
                        </w:rPr>
                        <w:t>A</w:t>
                      </w:r>
                      <w:r w:rsidRPr="00AB6BC2">
                        <w:rPr>
                          <w:rFonts w:ascii="Arial" w:hAnsi="Arial"/>
                          <w:sz w:val="22"/>
                        </w:rPr>
                        <w:t xml:space="preserve">. </w:t>
                      </w:r>
                      <w:r>
                        <w:rPr>
                          <w:rFonts w:ascii="Arial" w:hAnsi="Arial"/>
                          <w:sz w:val="22"/>
                        </w:rPr>
                        <w:t>Etat de la démographie (T2)</w:t>
                      </w:r>
                      <w:r w:rsidRPr="005D3E21">
                        <w:rPr>
                          <w:rFonts w:ascii="Arial" w:hAnsi="Arial"/>
                          <w:sz w:val="22"/>
                        </w:rPr>
                        <w:t>....................................................................</w:t>
                      </w:r>
                      <w:r>
                        <w:rPr>
                          <w:rFonts w:ascii="Arial" w:hAnsi="Arial"/>
                          <w:sz w:val="22"/>
                        </w:rPr>
                        <w:t>...91</w:t>
                      </w:r>
                    </w:p>
                    <w:p w:rsidR="007B1397" w:rsidRPr="005D3E21" w:rsidRDefault="007B1397" w:rsidP="005D3E21">
                      <w:pPr>
                        <w:jc w:val="both"/>
                        <w:rPr>
                          <w:rFonts w:ascii="Arial" w:hAnsi="Arial"/>
                          <w:sz w:val="22"/>
                        </w:rPr>
                      </w:pPr>
                      <w:r w:rsidRPr="005D3E21">
                        <w:rPr>
                          <w:rFonts w:ascii="BlairMdITC TT-Medium" w:hAnsi="BlairMdITC TT-Medium"/>
                          <w:sz w:val="22"/>
                        </w:rPr>
                        <w:t>B</w:t>
                      </w:r>
                      <w:r w:rsidRPr="005D3E21">
                        <w:rPr>
                          <w:rFonts w:ascii="Arial" w:hAnsi="Arial"/>
                          <w:sz w:val="22"/>
                        </w:rPr>
                        <w:t>. Part des femmes dans l’encadrement supérieur (T2 – T3).......................</w:t>
                      </w:r>
                      <w:r>
                        <w:rPr>
                          <w:rFonts w:ascii="Arial" w:hAnsi="Arial"/>
                          <w:sz w:val="22"/>
                        </w:rPr>
                        <w:t>.95</w:t>
                      </w:r>
                    </w:p>
                    <w:p w:rsidR="007B1397" w:rsidRPr="005D3E21" w:rsidRDefault="007B1397" w:rsidP="005D3E21">
                      <w:pPr>
                        <w:jc w:val="both"/>
                        <w:rPr>
                          <w:rFonts w:ascii="Arial" w:hAnsi="Arial"/>
                          <w:sz w:val="22"/>
                        </w:rPr>
                      </w:pPr>
                      <w:r>
                        <w:rPr>
                          <w:rFonts w:ascii="BlairMdITC TT-Medium" w:hAnsi="BlairMdITC TT-Medium"/>
                          <w:sz w:val="22"/>
                        </w:rPr>
                        <w:t>C</w:t>
                      </w:r>
                      <w:r w:rsidRPr="00AB6BC2">
                        <w:rPr>
                          <w:rFonts w:ascii="Arial" w:hAnsi="Arial"/>
                          <w:sz w:val="22"/>
                        </w:rPr>
                        <w:t xml:space="preserve">. </w:t>
                      </w:r>
                      <w:r w:rsidRPr="00AB6BC2">
                        <w:rPr>
                          <w:rFonts w:ascii="Arial" w:hAnsi="Arial" w:cs="Arial"/>
                          <w:sz w:val="22"/>
                        </w:rPr>
                        <w:t>Part des femmes dans les conseils</w:t>
                      </w:r>
                      <w:r w:rsidRPr="005D3E21">
                        <w:rPr>
                          <w:rFonts w:ascii="Arial" w:hAnsi="Arial"/>
                          <w:sz w:val="22"/>
                        </w:rPr>
                        <w:t xml:space="preserve"> d’administration (T2 – T3)…...........</w:t>
                      </w:r>
                      <w:r>
                        <w:rPr>
                          <w:rFonts w:ascii="Arial" w:hAnsi="Arial"/>
                          <w:sz w:val="22"/>
                        </w:rPr>
                        <w:t>...97</w:t>
                      </w:r>
                    </w:p>
                    <w:p w:rsidR="007B1397" w:rsidRPr="005D3E21" w:rsidRDefault="007B1397" w:rsidP="005D3E21">
                      <w:pPr>
                        <w:jc w:val="both"/>
                        <w:rPr>
                          <w:rFonts w:ascii="Arial" w:hAnsi="Arial"/>
                          <w:sz w:val="22"/>
                        </w:rPr>
                      </w:pPr>
                      <w:r w:rsidRPr="005D3E21">
                        <w:rPr>
                          <w:rFonts w:ascii="BlairMdITC TT-Medium" w:hAnsi="BlairMdITC TT-Medium"/>
                          <w:sz w:val="22"/>
                        </w:rPr>
                        <w:t>D</w:t>
                      </w:r>
                      <w:r w:rsidRPr="00AB6BC2">
                        <w:rPr>
                          <w:rFonts w:ascii="Arial" w:hAnsi="Arial"/>
                          <w:sz w:val="22"/>
                        </w:rPr>
                        <w:t>.</w:t>
                      </w:r>
                      <w:r w:rsidRPr="005D3E21">
                        <w:rPr>
                          <w:rFonts w:ascii="Arial" w:hAnsi="Arial"/>
                          <w:sz w:val="22"/>
                        </w:rPr>
                        <w:t xml:space="preserve"> La formation des agents en 2013 (T2 – T3).............................................</w:t>
                      </w:r>
                      <w:r>
                        <w:rPr>
                          <w:rFonts w:ascii="Arial" w:hAnsi="Arial"/>
                          <w:sz w:val="22"/>
                        </w:rPr>
                        <w:t>..98</w:t>
                      </w:r>
                    </w:p>
                    <w:p w:rsidR="007B1397" w:rsidRPr="005D3E21" w:rsidRDefault="007B1397" w:rsidP="005D3E21">
                      <w:pPr>
                        <w:jc w:val="both"/>
                        <w:rPr>
                          <w:rFonts w:ascii="Arial" w:hAnsi="Arial"/>
                          <w:sz w:val="22"/>
                        </w:rPr>
                      </w:pPr>
                      <w:r w:rsidRPr="005D3E21">
                        <w:rPr>
                          <w:rFonts w:ascii="BlairMdITC TT-Medium" w:hAnsi="BlairMdITC TT-Medium"/>
                          <w:sz w:val="22"/>
                        </w:rPr>
                        <w:t>E</w:t>
                      </w:r>
                      <w:r w:rsidRPr="00AB6BC2">
                        <w:rPr>
                          <w:rFonts w:ascii="Arial" w:hAnsi="Arial"/>
                          <w:sz w:val="22"/>
                        </w:rPr>
                        <w:t>.</w:t>
                      </w:r>
                      <w:r w:rsidRPr="005D3E21">
                        <w:rPr>
                          <w:rFonts w:ascii="Arial" w:hAnsi="Arial"/>
                          <w:sz w:val="22"/>
                        </w:rPr>
                        <w:t xml:space="preserve"> Composition des jurys de concours et d’examens professionnels </w:t>
                      </w:r>
                    </w:p>
                    <w:p w:rsidR="007B1397" w:rsidRDefault="007B1397" w:rsidP="005D3E21">
                      <w:pPr>
                        <w:jc w:val="both"/>
                        <w:rPr>
                          <w:rFonts w:ascii="Arial" w:hAnsi="Arial"/>
                          <w:sz w:val="22"/>
                        </w:rPr>
                      </w:pPr>
                      <w:r w:rsidRPr="005D3E21">
                        <w:rPr>
                          <w:rFonts w:ascii="Arial" w:hAnsi="Arial"/>
                          <w:sz w:val="22"/>
                        </w:rPr>
                        <w:t>(T2 – T3) .....................................................................................................</w:t>
                      </w:r>
                      <w:r>
                        <w:rPr>
                          <w:rFonts w:ascii="Arial" w:hAnsi="Arial"/>
                          <w:sz w:val="22"/>
                        </w:rPr>
                        <w:t>..98</w:t>
                      </w:r>
                    </w:p>
                    <w:p w:rsidR="007B1397" w:rsidRPr="007B6AB1" w:rsidRDefault="007B1397" w:rsidP="00AB6BC2">
                      <w:pPr>
                        <w:jc w:val="both"/>
                        <w:rPr>
                          <w:rFonts w:ascii="BlairMdITC TT-Medium" w:hAnsi="BlairMdITC TT-Medium"/>
                          <w:sz w:val="22"/>
                        </w:rPr>
                      </w:pPr>
                      <w:r w:rsidRPr="00AB6BC2">
                        <w:rPr>
                          <w:rFonts w:ascii="BlairMdITC TT-Medium" w:hAnsi="BlairMdITC TT-Medium"/>
                          <w:sz w:val="22"/>
                        </w:rPr>
                        <w:t>F</w:t>
                      </w:r>
                      <w:r>
                        <w:rPr>
                          <w:rFonts w:ascii="Arial" w:hAnsi="Arial"/>
                          <w:sz w:val="22"/>
                        </w:rPr>
                        <w:t>. Rémunérations comparées Femmes-Hommes en 2013 (T2)…………….99</w:t>
                      </w:r>
                    </w:p>
                  </w:txbxContent>
                </v:textbox>
                <w10:wrap type="tight"/>
              </v:shape>
            </w:pict>
          </mc:Fallback>
        </mc:AlternateContent>
      </w:r>
      <w:r w:rsidR="006933C4">
        <w:rPr>
          <w:rFonts w:ascii="Arial Unicode MS" w:hAnsi="Arial Unicode MS"/>
          <w:noProof/>
          <w:sz w:val="28"/>
          <w:lang w:eastAsia="fr-FR"/>
        </w:rPr>
        <mc:AlternateContent>
          <mc:Choice Requires="wps">
            <w:drawing>
              <wp:anchor distT="0" distB="0" distL="114300" distR="114300" simplePos="0" relativeHeight="251662336" behindDoc="0" locked="0" layoutInCell="1" allowOverlap="1" wp14:anchorId="0A91C8F3" wp14:editId="15D6CBAD">
                <wp:simplePos x="0" y="0"/>
                <wp:positionH relativeFrom="column">
                  <wp:posOffset>273685</wp:posOffset>
                </wp:positionH>
                <wp:positionV relativeFrom="paragraph">
                  <wp:posOffset>307975</wp:posOffset>
                </wp:positionV>
                <wp:extent cx="913765" cy="914400"/>
                <wp:effectExtent l="3175" t="2540" r="6985" b="6985"/>
                <wp:wrapTight wrapText="bothSides">
                  <wp:wrapPolygon edited="0">
                    <wp:start x="7610" y="0"/>
                    <wp:lineTo x="5779" y="300"/>
                    <wp:lineTo x="916" y="3645"/>
                    <wp:lineTo x="-300" y="8520"/>
                    <wp:lineTo x="-300" y="10035"/>
                    <wp:lineTo x="0" y="14595"/>
                    <wp:lineTo x="0" y="14910"/>
                    <wp:lineTo x="3047" y="19170"/>
                    <wp:lineTo x="6079" y="20985"/>
                    <wp:lineTo x="6394" y="20985"/>
                    <wp:lineTo x="14905" y="20985"/>
                    <wp:lineTo x="15206" y="20985"/>
                    <wp:lineTo x="18253" y="19170"/>
                    <wp:lineTo x="21300" y="14910"/>
                    <wp:lineTo x="21300" y="14595"/>
                    <wp:lineTo x="21600" y="10035"/>
                    <wp:lineTo x="21600" y="8520"/>
                    <wp:lineTo x="20384" y="3645"/>
                    <wp:lineTo x="15521" y="300"/>
                    <wp:lineTo x="13690" y="0"/>
                    <wp:lineTo x="7610" y="0"/>
                  </wp:wrapPolygon>
                </wp:wrapTight>
                <wp:docPr id="18" name="Ellips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914400"/>
                        </a:xfrm>
                        <a:prstGeom prst="ellipse">
                          <a:avLst/>
                        </a:prstGeom>
                        <a:solidFill>
                          <a:srgbClr val="00FF80"/>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B581A8" id="Ellipse 18" o:spid="_x0000_s1026" style="position:absolute;margin-left:21.55pt;margin-top:24.25pt;width:71.95pt;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" fillcolor="#00ff80" stroked="f" strokecolor="#4a7ebb" strokeweight="1.5pt">
                <v:shadow opacity="22938f" offset="0"/>
                <v:textbox inset=",7.2pt,,7.2pt"/>
                <w10:wrap type="tight"/>
              </v:oval>
            </w:pict>
          </mc:Fallback>
        </mc:AlternateContent>
      </w:r>
    </w:p>
    <w:p w:rsidR="006933C4" w:rsidRDefault="006933C4" w:rsidP="006933C4">
      <w:pPr>
        <w:tabs>
          <w:tab w:val="left" w:pos="1700"/>
        </w:tabs>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69504" behindDoc="0" locked="0" layoutInCell="1" allowOverlap="1">
                <wp:simplePos x="0" y="0"/>
                <wp:positionH relativeFrom="column">
                  <wp:posOffset>482600</wp:posOffset>
                </wp:positionH>
                <wp:positionV relativeFrom="paragraph">
                  <wp:posOffset>205105</wp:posOffset>
                </wp:positionV>
                <wp:extent cx="457200" cy="457200"/>
                <wp:effectExtent l="2540" t="0" r="0" b="0"/>
                <wp:wrapTight wrapText="bothSides">
                  <wp:wrapPolygon edited="0">
                    <wp:start x="0" y="0"/>
                    <wp:lineTo x="21600" y="0"/>
                    <wp:lineTo x="21600" y="21600"/>
                    <wp:lineTo x="0" y="21600"/>
                    <wp:lineTo x="0" y="0"/>
                  </wp:wrapPolygon>
                </wp:wrapTight>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 o:spid="_x0000_s1032" type="#_x0000_t202" style="position:absolute;margin-left:38pt;margin-top:16.15pt;width:36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" filled="f" stroked="f">
                <v:textbox inset=",7.2pt,,7.2pt">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3</w:t>
                      </w:r>
                    </w:p>
                  </w:txbxContent>
                </v:textbox>
                <w10:wrap type="tight"/>
              </v:shape>
            </w:pict>
          </mc:Fallback>
        </mc:AlternateContent>
      </w: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4951E4" w:rsidP="006933C4">
      <w:pPr>
        <w:tabs>
          <w:tab w:val="left" w:pos="1700"/>
        </w:tabs>
        <w:rPr>
          <w:rFonts w:ascii="Arial Unicode MS" w:hAnsi="Arial Unicode MS"/>
          <w:sz w:val="28"/>
        </w:rPr>
      </w:pPr>
      <w:r>
        <w:rPr>
          <w:rFonts w:ascii="Arial Unicode MS" w:hAnsi="Arial Unicode MS"/>
          <w:noProof/>
          <w:sz w:val="28"/>
          <w:lang w:eastAsia="fr-FR"/>
        </w:rPr>
        <w:lastRenderedPageBreak/>
        <mc:AlternateContent>
          <mc:Choice Requires="wps">
            <w:drawing>
              <wp:anchor distT="0" distB="0" distL="114300" distR="114300" simplePos="0" relativeHeight="251677696" behindDoc="0" locked="0" layoutInCell="1" allowOverlap="1" wp14:anchorId="67270239" wp14:editId="5E8D45E2">
                <wp:simplePos x="0" y="0"/>
                <wp:positionH relativeFrom="column">
                  <wp:posOffset>1408430</wp:posOffset>
                </wp:positionH>
                <wp:positionV relativeFrom="paragraph">
                  <wp:posOffset>176530</wp:posOffset>
                </wp:positionV>
                <wp:extent cx="5029200" cy="1219200"/>
                <wp:effectExtent l="2540" t="1905" r="0" b="0"/>
                <wp:wrapTight wrapText="bothSides">
                  <wp:wrapPolygon edited="0">
                    <wp:start x="0" y="0"/>
                    <wp:lineTo x="21600" y="0"/>
                    <wp:lineTo x="21600" y="21600"/>
                    <wp:lineTo x="0" y="21600"/>
                    <wp:lineTo x="0" y="0"/>
                  </wp:wrapPolygon>
                </wp:wrapTight>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5D3E21" w:rsidRDefault="007B1397" w:rsidP="005D3E21">
                            <w:pPr>
                              <w:rPr>
                                <w:rFonts w:ascii="BlairMdITC TT-Medium" w:hAnsi="BlairMdITC TT-Medium"/>
                                <w:b/>
                              </w:rPr>
                            </w:pPr>
                            <w:r w:rsidRPr="005D3E21">
                              <w:rPr>
                                <w:rFonts w:ascii="BlairMdITC TT-Medium" w:hAnsi="BlairMdITC TT-Medium"/>
                                <w:b/>
                              </w:rPr>
                              <w:t>CONDITIONS DE SANTE ET DE SECURITE</w:t>
                            </w:r>
                            <w:r w:rsidRPr="005D3E21">
                              <w:rPr>
                                <w:rFonts w:ascii="Arial" w:hAnsi="Arial"/>
                                <w:sz w:val="22"/>
                              </w:rPr>
                              <w:t>.....................................................................</w:t>
                            </w:r>
                            <w:r>
                              <w:rPr>
                                <w:rFonts w:ascii="Arial" w:hAnsi="Arial"/>
                                <w:sz w:val="22"/>
                              </w:rPr>
                              <w:t>............................101</w:t>
                            </w:r>
                          </w:p>
                          <w:p w:rsidR="007B1397" w:rsidRPr="005D3E21" w:rsidRDefault="007B1397" w:rsidP="005D3E21">
                            <w:pPr>
                              <w:jc w:val="both"/>
                              <w:rPr>
                                <w:rFonts w:ascii="Arial" w:hAnsi="Arial"/>
                                <w:sz w:val="22"/>
                              </w:rPr>
                            </w:pPr>
                            <w:r w:rsidRPr="005D3E21">
                              <w:rPr>
                                <w:rFonts w:ascii="BlairMdITC TT-Medium" w:hAnsi="BlairMdITC TT-Medium"/>
                                <w:sz w:val="22"/>
                              </w:rPr>
                              <w:t>A.</w:t>
                            </w:r>
                            <w:r w:rsidRPr="005D3E21">
                              <w:rPr>
                                <w:rFonts w:ascii="Arial" w:hAnsi="Arial"/>
                                <w:sz w:val="22"/>
                              </w:rPr>
                              <w:t xml:space="preserve"> Médecine de prévention (T2)........................................</w:t>
                            </w:r>
                            <w:r>
                              <w:rPr>
                                <w:rFonts w:ascii="Arial" w:hAnsi="Arial"/>
                                <w:sz w:val="22"/>
                              </w:rPr>
                              <w:t>.........................102</w:t>
                            </w:r>
                          </w:p>
                          <w:p w:rsidR="007B1397" w:rsidRPr="005D3E21" w:rsidRDefault="007B1397" w:rsidP="005D3E21">
                            <w:pPr>
                              <w:jc w:val="both"/>
                              <w:rPr>
                                <w:rFonts w:ascii="Arial" w:hAnsi="Arial"/>
                                <w:sz w:val="22"/>
                              </w:rPr>
                            </w:pPr>
                            <w:r w:rsidRPr="005D3E21">
                              <w:rPr>
                                <w:rFonts w:ascii="BlairMdITC TT-Medium" w:hAnsi="BlairMdITC TT-Medium"/>
                                <w:sz w:val="22"/>
                              </w:rPr>
                              <w:t xml:space="preserve">B. </w:t>
                            </w:r>
                            <w:r w:rsidRPr="005D3E21">
                              <w:rPr>
                                <w:rFonts w:ascii="Arial" w:hAnsi="Arial"/>
                                <w:sz w:val="22"/>
                              </w:rPr>
                              <w:t>Médecine statutaire (T2)...............................................</w:t>
                            </w:r>
                            <w:r>
                              <w:rPr>
                                <w:rFonts w:ascii="Arial" w:hAnsi="Arial"/>
                                <w:sz w:val="22"/>
                              </w:rPr>
                              <w:t>........................107</w:t>
                            </w:r>
                          </w:p>
                          <w:p w:rsidR="007B1397" w:rsidRPr="005D3E21" w:rsidRDefault="007B1397" w:rsidP="005D3E21">
                            <w:pPr>
                              <w:jc w:val="both"/>
                              <w:rPr>
                                <w:rFonts w:ascii="Arial" w:hAnsi="Arial"/>
                                <w:sz w:val="22"/>
                              </w:rPr>
                            </w:pPr>
                            <w:r w:rsidRPr="005D3E21">
                              <w:rPr>
                                <w:rFonts w:ascii="BlairMdITC TT-Medium" w:hAnsi="BlairMdITC TT-Medium"/>
                                <w:sz w:val="22"/>
                              </w:rPr>
                              <w:t>C.</w:t>
                            </w:r>
                            <w:r w:rsidRPr="005D3E21">
                              <w:rPr>
                                <w:rFonts w:ascii="Arial" w:hAnsi="Arial"/>
                                <w:sz w:val="22"/>
                              </w:rPr>
                              <w:t xml:space="preserve"> Comités d’hygiène et de sécurité (T2)....................</w:t>
                            </w:r>
                            <w:r>
                              <w:rPr>
                                <w:rFonts w:ascii="Arial" w:hAnsi="Arial"/>
                                <w:sz w:val="22"/>
                              </w:rPr>
                              <w:t>...............................120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70239" id="Zone de texte 15" o:spid="_x0000_s1033" type="#_x0000_t202" style="position:absolute;margin-left:110.9pt;margin-top:13.9pt;width:396pt;height: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" filled="f" stroked="f">
                <v:textbox inset=",7.2pt,,7.2pt">
                  <w:txbxContent>
                    <w:p w:rsidR="007B1397" w:rsidRPr="005D3E21" w:rsidRDefault="007B1397" w:rsidP="005D3E21">
                      <w:pPr>
                        <w:rPr>
                          <w:rFonts w:ascii="BlairMdITC TT-Medium" w:hAnsi="BlairMdITC TT-Medium"/>
                          <w:b/>
                        </w:rPr>
                      </w:pPr>
                      <w:r w:rsidRPr="005D3E21">
                        <w:rPr>
                          <w:rFonts w:ascii="BlairMdITC TT-Medium" w:hAnsi="BlairMdITC TT-Medium"/>
                          <w:b/>
                        </w:rPr>
                        <w:t>CONDITIONS DE SANTE ET DE SECURITE</w:t>
                      </w:r>
                      <w:r w:rsidRPr="005D3E21">
                        <w:rPr>
                          <w:rFonts w:ascii="Arial" w:hAnsi="Arial"/>
                          <w:sz w:val="22"/>
                        </w:rPr>
                        <w:t>.....................................................................</w:t>
                      </w:r>
                      <w:r>
                        <w:rPr>
                          <w:rFonts w:ascii="Arial" w:hAnsi="Arial"/>
                          <w:sz w:val="22"/>
                        </w:rPr>
                        <w:t>............................101</w:t>
                      </w:r>
                    </w:p>
                    <w:p w:rsidR="007B1397" w:rsidRPr="005D3E21" w:rsidRDefault="007B1397" w:rsidP="005D3E21">
                      <w:pPr>
                        <w:jc w:val="both"/>
                        <w:rPr>
                          <w:rFonts w:ascii="Arial" w:hAnsi="Arial"/>
                          <w:sz w:val="22"/>
                        </w:rPr>
                      </w:pPr>
                      <w:r w:rsidRPr="005D3E21">
                        <w:rPr>
                          <w:rFonts w:ascii="BlairMdITC TT-Medium" w:hAnsi="BlairMdITC TT-Medium"/>
                          <w:sz w:val="22"/>
                        </w:rPr>
                        <w:t>A.</w:t>
                      </w:r>
                      <w:r w:rsidRPr="005D3E21">
                        <w:rPr>
                          <w:rFonts w:ascii="Arial" w:hAnsi="Arial"/>
                          <w:sz w:val="22"/>
                        </w:rPr>
                        <w:t xml:space="preserve"> Médecine de prévention (T2)........................................</w:t>
                      </w:r>
                      <w:r>
                        <w:rPr>
                          <w:rFonts w:ascii="Arial" w:hAnsi="Arial"/>
                          <w:sz w:val="22"/>
                        </w:rPr>
                        <w:t>.........................102</w:t>
                      </w:r>
                    </w:p>
                    <w:p w:rsidR="007B1397" w:rsidRPr="005D3E21" w:rsidRDefault="007B1397" w:rsidP="005D3E21">
                      <w:pPr>
                        <w:jc w:val="both"/>
                        <w:rPr>
                          <w:rFonts w:ascii="Arial" w:hAnsi="Arial"/>
                          <w:sz w:val="22"/>
                        </w:rPr>
                      </w:pPr>
                      <w:r w:rsidRPr="005D3E21">
                        <w:rPr>
                          <w:rFonts w:ascii="BlairMdITC TT-Medium" w:hAnsi="BlairMdITC TT-Medium"/>
                          <w:sz w:val="22"/>
                        </w:rPr>
                        <w:t xml:space="preserve">B. </w:t>
                      </w:r>
                      <w:r w:rsidRPr="005D3E21">
                        <w:rPr>
                          <w:rFonts w:ascii="Arial" w:hAnsi="Arial"/>
                          <w:sz w:val="22"/>
                        </w:rPr>
                        <w:t>Médecine statutaire (T2)...............................................</w:t>
                      </w:r>
                      <w:r>
                        <w:rPr>
                          <w:rFonts w:ascii="Arial" w:hAnsi="Arial"/>
                          <w:sz w:val="22"/>
                        </w:rPr>
                        <w:t>........................107</w:t>
                      </w:r>
                    </w:p>
                    <w:p w:rsidR="007B1397" w:rsidRPr="005D3E21" w:rsidRDefault="007B1397" w:rsidP="005D3E21">
                      <w:pPr>
                        <w:jc w:val="both"/>
                        <w:rPr>
                          <w:rFonts w:ascii="Arial" w:hAnsi="Arial"/>
                          <w:sz w:val="22"/>
                        </w:rPr>
                      </w:pPr>
                      <w:r w:rsidRPr="005D3E21">
                        <w:rPr>
                          <w:rFonts w:ascii="BlairMdITC TT-Medium" w:hAnsi="BlairMdITC TT-Medium"/>
                          <w:sz w:val="22"/>
                        </w:rPr>
                        <w:t>C.</w:t>
                      </w:r>
                      <w:r w:rsidRPr="005D3E21">
                        <w:rPr>
                          <w:rFonts w:ascii="Arial" w:hAnsi="Arial"/>
                          <w:sz w:val="22"/>
                        </w:rPr>
                        <w:t xml:space="preserve"> Comités d’hygiène et de sécurité (T2)....................</w:t>
                      </w:r>
                      <w:r>
                        <w:rPr>
                          <w:rFonts w:ascii="Arial" w:hAnsi="Arial"/>
                          <w:sz w:val="22"/>
                        </w:rPr>
                        <w:t>...............................120</w:t>
                      </w:r>
                    </w:p>
                  </w:txbxContent>
                </v:textbox>
                <w10:wrap type="tight"/>
              </v:shape>
            </w:pict>
          </mc:Fallback>
        </mc:AlternateContent>
      </w:r>
      <w:r w:rsidR="003732EA">
        <w:rPr>
          <w:rFonts w:ascii="Arial Unicode MS" w:hAnsi="Arial Unicode MS"/>
          <w:noProof/>
          <w:sz w:val="28"/>
          <w:lang w:eastAsia="fr-FR"/>
        </w:rPr>
        <mc:AlternateContent>
          <mc:Choice Requires="wps">
            <w:drawing>
              <wp:anchor distT="0" distB="0" distL="114300" distR="114300" simplePos="0" relativeHeight="251663360" behindDoc="0" locked="0" layoutInCell="1" allowOverlap="1" wp14:anchorId="52E1FB9A" wp14:editId="427E1BD0">
                <wp:simplePos x="0" y="0"/>
                <wp:positionH relativeFrom="column">
                  <wp:posOffset>184150</wp:posOffset>
                </wp:positionH>
                <wp:positionV relativeFrom="paragraph">
                  <wp:posOffset>92710</wp:posOffset>
                </wp:positionV>
                <wp:extent cx="914400" cy="914400"/>
                <wp:effectExtent l="5715" t="7620" r="3810" b="1905"/>
                <wp:wrapNone/>
                <wp:docPr id="14" name="Ellips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800040"/>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380524" id="Ellipse 14" o:spid="_x0000_s1026" style="position:absolute;margin-left:14.5pt;margin-top:7.3pt;width:1in;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" fillcolor="#800040" stroked="f" strokecolor="#4a7ebb" strokeweight="1.5pt">
                <v:shadow opacity="22938f" offset="0"/>
                <v:textbox inset=",7.2pt,,7.2pt"/>
              </v:oval>
            </w:pict>
          </mc:Fallback>
        </mc:AlternateContent>
      </w:r>
    </w:p>
    <w:p w:rsidR="006933C4" w:rsidRDefault="006933C4" w:rsidP="006933C4">
      <w:pPr>
        <w:tabs>
          <w:tab w:val="left" w:pos="1700"/>
        </w:tabs>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70528" behindDoc="0" locked="0" layoutInCell="1" allowOverlap="1">
                <wp:simplePos x="0" y="0"/>
                <wp:positionH relativeFrom="column">
                  <wp:posOffset>400050</wp:posOffset>
                </wp:positionH>
                <wp:positionV relativeFrom="paragraph">
                  <wp:posOffset>3810</wp:posOffset>
                </wp:positionV>
                <wp:extent cx="457200" cy="457200"/>
                <wp:effectExtent l="0" t="2540" r="3810" b="0"/>
                <wp:wrapTight wrapText="bothSides">
                  <wp:wrapPolygon edited="0">
                    <wp:start x="0" y="0"/>
                    <wp:lineTo x="21600" y="0"/>
                    <wp:lineTo x="21600" y="21600"/>
                    <wp:lineTo x="0" y="21600"/>
                    <wp:lineTo x="0" y="0"/>
                  </wp:wrapPolygon>
                </wp:wrapTight>
                <wp:docPr id="13"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 o:spid="_x0000_s1034" type="#_x0000_t202" style="position:absolute;margin-left:31.5pt;margin-top:.3pt;width:36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" filled="f" stroked="f">
                <v:textbox inset=",7.2pt,,7.2pt">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4</w:t>
                      </w:r>
                    </w:p>
                  </w:txbxContent>
                </v:textbox>
                <w10:wrap type="tight"/>
              </v:shape>
            </w:pict>
          </mc:Fallback>
        </mc:AlternateContent>
      </w: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78720" behindDoc="0" locked="0" layoutInCell="1" allowOverlap="1">
                <wp:simplePos x="0" y="0"/>
                <wp:positionH relativeFrom="column">
                  <wp:posOffset>1372235</wp:posOffset>
                </wp:positionH>
                <wp:positionV relativeFrom="paragraph">
                  <wp:posOffset>169545</wp:posOffset>
                </wp:positionV>
                <wp:extent cx="5111750" cy="1403350"/>
                <wp:effectExtent l="0" t="0" r="0" b="0"/>
                <wp:wrapTight wrapText="bothSides">
                  <wp:wrapPolygon edited="0">
                    <wp:start x="161" y="880"/>
                    <wp:lineTo x="161" y="20525"/>
                    <wp:lineTo x="21332" y="20525"/>
                    <wp:lineTo x="21332" y="880"/>
                    <wp:lineTo x="161" y="880"/>
                  </wp:wrapPolygon>
                </wp:wrapTight>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140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5D3E21" w:rsidRDefault="007B1397" w:rsidP="006933C4">
                            <w:pPr>
                              <w:rPr>
                                <w:rFonts w:ascii="BlairMdITC TT-Medium" w:hAnsi="BlairMdITC TT-Medium"/>
                                <w:sz w:val="18"/>
                              </w:rPr>
                            </w:pPr>
                            <w:r w:rsidRPr="005D3E21">
                              <w:rPr>
                                <w:rFonts w:ascii="BlairMdITC TT-Medium" w:hAnsi="BlairMdITC TT-Medium"/>
                                <w:b/>
                              </w:rPr>
                              <w:t>AUTRES CONDITIONS DE VIE AU TRAVAIL L’ACTION SOCIALE</w:t>
                            </w:r>
                            <w:r w:rsidRPr="005D3E21">
                              <w:rPr>
                                <w:rFonts w:ascii="Arial" w:hAnsi="Arial"/>
                                <w:sz w:val="22"/>
                              </w:rPr>
                              <w:t>....................................................................................</w:t>
                            </w:r>
                            <w:r>
                              <w:rPr>
                                <w:rFonts w:ascii="Arial" w:hAnsi="Arial"/>
                                <w:sz w:val="22"/>
                              </w:rPr>
                              <w:t>..................124</w:t>
                            </w:r>
                          </w:p>
                          <w:p w:rsidR="007B1397" w:rsidRPr="005D3E21" w:rsidRDefault="007B1397" w:rsidP="006933C4">
                            <w:pPr>
                              <w:rPr>
                                <w:rFonts w:ascii="Arial" w:hAnsi="Arial"/>
                                <w:sz w:val="22"/>
                              </w:rPr>
                            </w:pPr>
                            <w:r w:rsidRPr="005D3E21">
                              <w:rPr>
                                <w:rFonts w:ascii="BlairMdITC TT-Medium" w:hAnsi="BlairMdITC TT-Medium"/>
                                <w:sz w:val="22"/>
                              </w:rPr>
                              <w:t>A.</w:t>
                            </w:r>
                            <w:r w:rsidRPr="005D3E21">
                              <w:rPr>
                                <w:rFonts w:ascii="Arial" w:hAnsi="Arial"/>
                                <w:sz w:val="22"/>
                              </w:rPr>
                              <w:t xml:space="preserve"> Bilan financier de l’action sociale (SD et AC) (T2-T3).</w:t>
                            </w:r>
                            <w:r>
                              <w:rPr>
                                <w:rFonts w:ascii="Arial" w:hAnsi="Arial"/>
                                <w:sz w:val="22"/>
                              </w:rPr>
                              <w:t>.............................128</w:t>
                            </w:r>
                          </w:p>
                          <w:p w:rsidR="007B1397" w:rsidRPr="005D3E21" w:rsidRDefault="007B1397" w:rsidP="006933C4">
                            <w:pPr>
                              <w:rPr>
                                <w:rFonts w:ascii="Arial" w:hAnsi="Arial"/>
                                <w:sz w:val="22"/>
                              </w:rPr>
                            </w:pPr>
                            <w:r w:rsidRPr="005D3E21">
                              <w:rPr>
                                <w:rFonts w:ascii="BlairMdITC TT-Medium" w:hAnsi="BlairMdITC TT-Medium"/>
                                <w:sz w:val="22"/>
                              </w:rPr>
                              <w:t>B.</w:t>
                            </w:r>
                            <w:r w:rsidRPr="005D3E21">
                              <w:rPr>
                                <w:rFonts w:ascii="Arial" w:hAnsi="Arial"/>
                                <w:sz w:val="22"/>
                              </w:rPr>
                              <w:t xml:space="preserve"> Zoom sur l’action sociale des services centraux (T2</w:t>
                            </w:r>
                            <w:r>
                              <w:rPr>
                                <w:rFonts w:ascii="Arial" w:hAnsi="Arial"/>
                                <w:sz w:val="22"/>
                              </w:rPr>
                              <w:t>-T3).........................132</w:t>
                            </w:r>
                          </w:p>
                          <w:p w:rsidR="007B1397" w:rsidRDefault="007B1397" w:rsidP="006933C4">
                            <w:pPr>
                              <w:rPr>
                                <w:rFonts w:ascii="Arial" w:hAnsi="Arial"/>
                                <w:sz w:val="22"/>
                              </w:rPr>
                            </w:pPr>
                            <w:r w:rsidRPr="005D3E21">
                              <w:rPr>
                                <w:rFonts w:ascii="BlairMdITC TT-Medium" w:hAnsi="BlairMdITC TT-Medium"/>
                                <w:sz w:val="22"/>
                              </w:rPr>
                              <w:t>C.</w:t>
                            </w:r>
                            <w:r w:rsidRPr="005D3E21">
                              <w:rPr>
                                <w:rFonts w:ascii="Arial" w:hAnsi="Arial"/>
                                <w:sz w:val="22"/>
                              </w:rPr>
                              <w:t xml:space="preserve"> Zoom sur l’action sociale des services déconcentrés (T2-T3).................1</w:t>
                            </w:r>
                            <w:r>
                              <w:rPr>
                                <w:rFonts w:ascii="Arial" w:hAnsi="Arial"/>
                                <w:sz w:val="22"/>
                              </w:rPr>
                              <w:t>34</w:t>
                            </w:r>
                          </w:p>
                          <w:p w:rsidR="007B1397" w:rsidRPr="005D3E21" w:rsidRDefault="007B1397" w:rsidP="001550AF">
                            <w:pPr>
                              <w:rPr>
                                <w:rFonts w:ascii="Arial" w:hAnsi="Arial"/>
                                <w:sz w:val="22"/>
                              </w:rPr>
                            </w:pPr>
                            <w:r w:rsidRPr="001550AF">
                              <w:rPr>
                                <w:rFonts w:ascii="BlairMdITC TT-Medium" w:hAnsi="BlairMdITC TT-Medium"/>
                                <w:sz w:val="22"/>
                              </w:rPr>
                              <w:t>D.</w:t>
                            </w:r>
                            <w:r>
                              <w:rPr>
                                <w:rFonts w:ascii="Arial" w:hAnsi="Arial"/>
                                <w:sz w:val="22"/>
                              </w:rPr>
                              <w:t xml:space="preserve"> Zoom sur l’action sociale interministérielle bénéficiant aux agents du Ministère de la Culture et de la Communication </w:t>
                            </w:r>
                            <w:r w:rsidRPr="005D3E21">
                              <w:rPr>
                                <w:rFonts w:ascii="Arial" w:hAnsi="Arial"/>
                                <w:sz w:val="22"/>
                              </w:rPr>
                              <w:t>(T2-T3).................</w:t>
                            </w:r>
                            <w:r>
                              <w:rPr>
                                <w:rFonts w:ascii="Arial" w:hAnsi="Arial"/>
                                <w:sz w:val="22"/>
                              </w:rPr>
                              <w:t>..............</w:t>
                            </w:r>
                            <w:r w:rsidRPr="005D3E21">
                              <w:rPr>
                                <w:rFonts w:ascii="Arial" w:hAnsi="Arial"/>
                                <w:sz w:val="22"/>
                              </w:rPr>
                              <w:t>1</w:t>
                            </w:r>
                            <w:r>
                              <w:rPr>
                                <w:rFonts w:ascii="Arial" w:hAnsi="Arial"/>
                                <w:sz w:val="22"/>
                              </w:rPr>
                              <w:t>34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 o:spid="_x0000_s1035" type="#_x0000_t202" style="position:absolute;margin-left:108.05pt;margin-top:13.35pt;width:402.5pt;height:11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" filled="f" stroked="f">
                <v:textbox inset=",7.2pt,,7.2pt">
                  <w:txbxContent>
                    <w:p w:rsidR="007B1397" w:rsidRPr="005D3E21" w:rsidRDefault="007B1397" w:rsidP="006933C4">
                      <w:pPr>
                        <w:rPr>
                          <w:rFonts w:ascii="BlairMdITC TT-Medium" w:hAnsi="BlairMdITC TT-Medium"/>
                          <w:sz w:val="18"/>
                        </w:rPr>
                      </w:pPr>
                      <w:r w:rsidRPr="005D3E21">
                        <w:rPr>
                          <w:rFonts w:ascii="BlairMdITC TT-Medium" w:hAnsi="BlairMdITC TT-Medium"/>
                          <w:b/>
                        </w:rPr>
                        <w:t>AUTRES CONDITIONS DE VIE AU TRAVAIL L’ACTION SOCIALE</w:t>
                      </w:r>
                      <w:r w:rsidRPr="005D3E21">
                        <w:rPr>
                          <w:rFonts w:ascii="Arial" w:hAnsi="Arial"/>
                          <w:sz w:val="22"/>
                        </w:rPr>
                        <w:t>....................................................................................</w:t>
                      </w:r>
                      <w:r>
                        <w:rPr>
                          <w:rFonts w:ascii="Arial" w:hAnsi="Arial"/>
                          <w:sz w:val="22"/>
                        </w:rPr>
                        <w:t>..................124</w:t>
                      </w:r>
                    </w:p>
                    <w:p w:rsidR="007B1397" w:rsidRPr="005D3E21" w:rsidRDefault="007B1397" w:rsidP="006933C4">
                      <w:pPr>
                        <w:rPr>
                          <w:rFonts w:ascii="Arial" w:hAnsi="Arial"/>
                          <w:sz w:val="22"/>
                        </w:rPr>
                      </w:pPr>
                      <w:r w:rsidRPr="005D3E21">
                        <w:rPr>
                          <w:rFonts w:ascii="BlairMdITC TT-Medium" w:hAnsi="BlairMdITC TT-Medium"/>
                          <w:sz w:val="22"/>
                        </w:rPr>
                        <w:t>A.</w:t>
                      </w:r>
                      <w:r w:rsidRPr="005D3E21">
                        <w:rPr>
                          <w:rFonts w:ascii="Arial" w:hAnsi="Arial"/>
                          <w:sz w:val="22"/>
                        </w:rPr>
                        <w:t xml:space="preserve"> Bilan financier de l’action sociale (SD et AC) (T2-T3).</w:t>
                      </w:r>
                      <w:r>
                        <w:rPr>
                          <w:rFonts w:ascii="Arial" w:hAnsi="Arial"/>
                          <w:sz w:val="22"/>
                        </w:rPr>
                        <w:t>.............................128</w:t>
                      </w:r>
                    </w:p>
                    <w:p w:rsidR="007B1397" w:rsidRPr="005D3E21" w:rsidRDefault="007B1397" w:rsidP="006933C4">
                      <w:pPr>
                        <w:rPr>
                          <w:rFonts w:ascii="Arial" w:hAnsi="Arial"/>
                          <w:sz w:val="22"/>
                        </w:rPr>
                      </w:pPr>
                      <w:r w:rsidRPr="005D3E21">
                        <w:rPr>
                          <w:rFonts w:ascii="BlairMdITC TT-Medium" w:hAnsi="BlairMdITC TT-Medium"/>
                          <w:sz w:val="22"/>
                        </w:rPr>
                        <w:t>B.</w:t>
                      </w:r>
                      <w:r w:rsidRPr="005D3E21">
                        <w:rPr>
                          <w:rFonts w:ascii="Arial" w:hAnsi="Arial"/>
                          <w:sz w:val="22"/>
                        </w:rPr>
                        <w:t xml:space="preserve"> Zoom sur l’action sociale des services centraux (T2</w:t>
                      </w:r>
                      <w:r>
                        <w:rPr>
                          <w:rFonts w:ascii="Arial" w:hAnsi="Arial"/>
                          <w:sz w:val="22"/>
                        </w:rPr>
                        <w:t>-T3).........................132</w:t>
                      </w:r>
                    </w:p>
                    <w:p w:rsidR="007B1397" w:rsidRDefault="007B1397" w:rsidP="006933C4">
                      <w:pPr>
                        <w:rPr>
                          <w:rFonts w:ascii="Arial" w:hAnsi="Arial"/>
                          <w:sz w:val="22"/>
                        </w:rPr>
                      </w:pPr>
                      <w:r w:rsidRPr="005D3E21">
                        <w:rPr>
                          <w:rFonts w:ascii="BlairMdITC TT-Medium" w:hAnsi="BlairMdITC TT-Medium"/>
                          <w:sz w:val="22"/>
                        </w:rPr>
                        <w:t>C.</w:t>
                      </w:r>
                      <w:r w:rsidRPr="005D3E21">
                        <w:rPr>
                          <w:rFonts w:ascii="Arial" w:hAnsi="Arial"/>
                          <w:sz w:val="22"/>
                        </w:rPr>
                        <w:t xml:space="preserve"> Zoom sur l’action sociale des services déconcentrés (T2-T3).................1</w:t>
                      </w:r>
                      <w:r>
                        <w:rPr>
                          <w:rFonts w:ascii="Arial" w:hAnsi="Arial"/>
                          <w:sz w:val="22"/>
                        </w:rPr>
                        <w:t>34</w:t>
                      </w:r>
                    </w:p>
                    <w:p w:rsidR="007B1397" w:rsidRPr="005D3E21" w:rsidRDefault="007B1397" w:rsidP="001550AF">
                      <w:pPr>
                        <w:rPr>
                          <w:rFonts w:ascii="Arial" w:hAnsi="Arial"/>
                          <w:sz w:val="22"/>
                        </w:rPr>
                      </w:pPr>
                      <w:r w:rsidRPr="001550AF">
                        <w:rPr>
                          <w:rFonts w:ascii="BlairMdITC TT-Medium" w:hAnsi="BlairMdITC TT-Medium"/>
                          <w:sz w:val="22"/>
                        </w:rPr>
                        <w:t>D.</w:t>
                      </w:r>
                      <w:r>
                        <w:rPr>
                          <w:rFonts w:ascii="Arial" w:hAnsi="Arial"/>
                          <w:sz w:val="22"/>
                        </w:rPr>
                        <w:t xml:space="preserve"> Zoom sur l’action sociale interministérielle bénéficiant aux agents du Ministère de la Culture et de la Communication </w:t>
                      </w:r>
                      <w:r w:rsidRPr="005D3E21">
                        <w:rPr>
                          <w:rFonts w:ascii="Arial" w:hAnsi="Arial"/>
                          <w:sz w:val="22"/>
                        </w:rPr>
                        <w:t>(T2-T3).................</w:t>
                      </w:r>
                      <w:r>
                        <w:rPr>
                          <w:rFonts w:ascii="Arial" w:hAnsi="Arial"/>
                          <w:sz w:val="22"/>
                        </w:rPr>
                        <w:t>..............</w:t>
                      </w:r>
                      <w:r w:rsidRPr="005D3E21">
                        <w:rPr>
                          <w:rFonts w:ascii="Arial" w:hAnsi="Arial"/>
                          <w:sz w:val="22"/>
                        </w:rPr>
                        <w:t>1</w:t>
                      </w:r>
                      <w:r>
                        <w:rPr>
                          <w:rFonts w:ascii="Arial" w:hAnsi="Arial"/>
                          <w:sz w:val="22"/>
                        </w:rPr>
                        <w:t>34</w:t>
                      </w:r>
                    </w:p>
                  </w:txbxContent>
                </v:textbox>
                <w10:wrap type="tight"/>
              </v:shape>
            </w:pict>
          </mc:Fallback>
        </mc:AlternateContent>
      </w:r>
      <w:r>
        <w:rPr>
          <w:rFonts w:ascii="Arial Unicode MS" w:hAnsi="Arial Unicode MS"/>
          <w:noProof/>
          <w:sz w:val="28"/>
          <w:lang w:eastAsia="fr-FR"/>
        </w:rPr>
        <mc:AlternateContent>
          <mc:Choice Requires="wps">
            <w:drawing>
              <wp:anchor distT="0" distB="0" distL="114300" distR="114300" simplePos="0" relativeHeight="251666432" behindDoc="0" locked="0" layoutInCell="1" allowOverlap="1">
                <wp:simplePos x="0" y="0"/>
                <wp:positionH relativeFrom="column">
                  <wp:posOffset>228600</wp:posOffset>
                </wp:positionH>
                <wp:positionV relativeFrom="paragraph">
                  <wp:posOffset>3380740</wp:posOffset>
                </wp:positionV>
                <wp:extent cx="904875" cy="904875"/>
                <wp:effectExtent l="5715" t="2540" r="3810" b="6985"/>
                <wp:wrapNone/>
                <wp:docPr id="11" name="Ellips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904875"/>
                        </a:xfrm>
                        <a:prstGeom prst="ellipse">
                          <a:avLst/>
                        </a:prstGeom>
                        <a:solidFill>
                          <a:srgbClr val="008080"/>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061632" id="Ellipse 11" o:spid="_x0000_s1026" style="position:absolute;margin-left:18pt;margin-top:266.2pt;width:71.25pt;height:7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" fillcolor="teal" stroked="f" strokecolor="#4a7ebb" strokeweight="1.5pt">
                <v:shadow opacity="22938f" offset="0"/>
                <v:textbox inset=",7.2pt,,7.2pt"/>
              </v:oval>
            </w:pict>
          </mc:Fallback>
        </mc:AlternateContent>
      </w:r>
      <w:r>
        <w:rPr>
          <w:rFonts w:ascii="Arial Unicode MS" w:hAnsi="Arial Unicode MS"/>
          <w:noProof/>
          <w:sz w:val="28"/>
          <w:lang w:eastAsia="fr-FR"/>
        </w:rPr>
        <mc:AlternateContent>
          <mc:Choice Requires="wps">
            <w:drawing>
              <wp:anchor distT="0" distB="0" distL="114300" distR="114300" simplePos="0" relativeHeight="251673600" behindDoc="0" locked="0" layoutInCell="1" allowOverlap="1">
                <wp:simplePos x="0" y="0"/>
                <wp:positionH relativeFrom="column">
                  <wp:posOffset>457200</wp:posOffset>
                </wp:positionH>
                <wp:positionV relativeFrom="paragraph">
                  <wp:posOffset>3609340</wp:posOffset>
                </wp:positionV>
                <wp:extent cx="457200" cy="457200"/>
                <wp:effectExtent l="0" t="2540" r="3810" b="0"/>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 o:spid="_x0000_s1036" type="#_x0000_t202" style="position:absolute;margin-left:36pt;margin-top:284.2pt;width:36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" filled="f" stroked="f">
                <v:textbox inset=",7.2pt,,7.2pt">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7</w:t>
                      </w:r>
                    </w:p>
                  </w:txbxContent>
                </v:textbox>
              </v:shape>
            </w:pict>
          </mc:Fallback>
        </mc:AlternateContent>
      </w:r>
      <w:r>
        <w:rPr>
          <w:rFonts w:ascii="Arial Unicode MS" w:hAnsi="Arial Unicode MS"/>
          <w:noProof/>
          <w:sz w:val="28"/>
          <w:lang w:eastAsia="fr-FR"/>
        </w:rPr>
        <mc:AlternateContent>
          <mc:Choice Requires="wps">
            <w:drawing>
              <wp:anchor distT="0" distB="0" distL="114300" distR="114300" simplePos="0" relativeHeight="251665408" behindDoc="0" locked="0" layoutInCell="1" allowOverlap="1">
                <wp:simplePos x="0" y="0"/>
                <wp:positionH relativeFrom="column">
                  <wp:posOffset>228600</wp:posOffset>
                </wp:positionH>
                <wp:positionV relativeFrom="paragraph">
                  <wp:posOffset>1780540</wp:posOffset>
                </wp:positionV>
                <wp:extent cx="914400" cy="914400"/>
                <wp:effectExtent l="5715" t="2540" r="3810" b="6985"/>
                <wp:wrapNone/>
                <wp:docPr id="9" name="Ellips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CC66FF"/>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E0DAF0" id="Ellipse 9" o:spid="_x0000_s1026" style="position:absolute;margin-left:18pt;margin-top:140.2pt;width:1in;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" fillcolor="#c6f" stroked="f" strokecolor="#4a7ebb" strokeweight="1.5pt">
                <v:shadow opacity="22938f" offset="0"/>
                <v:textbox inset=",7.2pt,,7.2pt"/>
              </v:oval>
            </w:pict>
          </mc:Fallback>
        </mc:AlternateContent>
      </w:r>
      <w:r>
        <w:rPr>
          <w:rFonts w:ascii="Arial Unicode MS" w:hAnsi="Arial Unicode MS"/>
          <w:noProof/>
          <w:sz w:val="28"/>
          <w:lang w:eastAsia="fr-FR"/>
        </w:rPr>
        <mc:AlternateContent>
          <mc:Choice Requires="wps">
            <w:drawing>
              <wp:anchor distT="0" distB="0" distL="114300" distR="114300" simplePos="0" relativeHeight="251672576" behindDoc="0" locked="0" layoutInCell="1" allowOverlap="1">
                <wp:simplePos x="0" y="0"/>
                <wp:positionH relativeFrom="column">
                  <wp:posOffset>457200</wp:posOffset>
                </wp:positionH>
                <wp:positionV relativeFrom="paragraph">
                  <wp:posOffset>2009140</wp:posOffset>
                </wp:positionV>
                <wp:extent cx="457200" cy="457200"/>
                <wp:effectExtent l="0" t="2540" r="3810" b="0"/>
                <wp:wrapTight wrapText="bothSides">
                  <wp:wrapPolygon edited="0">
                    <wp:start x="0" y="0"/>
                    <wp:lineTo x="21600" y="0"/>
                    <wp:lineTo x="21600" y="21600"/>
                    <wp:lineTo x="0" y="21600"/>
                    <wp:lineTo x="0" y="0"/>
                  </wp:wrapPolygon>
                </wp:wrapTight>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 o:spid="_x0000_s1037" type="#_x0000_t202" style="position:absolute;margin-left:36pt;margin-top:158.2pt;width:36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" filled="f" stroked="f">
                <v:textbox inset=",7.2pt,,7.2pt">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6</w:t>
                      </w:r>
                    </w:p>
                  </w:txbxContent>
                </v:textbox>
                <w10:wrap type="tight"/>
              </v:shape>
            </w:pict>
          </mc:Fallback>
        </mc:AlternateContent>
      </w:r>
    </w:p>
    <w:p w:rsidR="006933C4" w:rsidRDefault="006933C4" w:rsidP="006933C4">
      <w:pPr>
        <w:tabs>
          <w:tab w:val="left" w:pos="1700"/>
        </w:tabs>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64384" behindDoc="0" locked="0" layoutInCell="1" allowOverlap="1">
                <wp:simplePos x="0" y="0"/>
                <wp:positionH relativeFrom="column">
                  <wp:posOffset>228600</wp:posOffset>
                </wp:positionH>
                <wp:positionV relativeFrom="paragraph">
                  <wp:posOffset>-57785</wp:posOffset>
                </wp:positionV>
                <wp:extent cx="914400" cy="914400"/>
                <wp:effectExtent l="15240" t="17145" r="13335" b="11430"/>
                <wp:wrapNone/>
                <wp:docPr id="7" name="Ellips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8000"/>
                        </a:solidFill>
                        <a:ln w="19050">
                          <a:solidFill>
                            <a:srgbClr val="FF8000"/>
                          </a:solidFill>
                          <a:round/>
                          <a:headEnd/>
                          <a:tailEnd/>
                        </a:ln>
                        <a:effectLst/>
                        <a:extLs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8F2505" id="Ellipse 7" o:spid="_x0000_s1026" style="position:absolute;margin-left:18pt;margin-top:-4.55pt;width:1in;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" fillcolor="#ff8000" strokecolor="#ff8000" strokeweight="1.5pt">
                <v:shadow opacity="22938f" offset="0"/>
                <v:textbox inset=",7.2pt,,7.2pt"/>
              </v:oval>
            </w:pict>
          </mc:Fallback>
        </mc:AlternateContent>
      </w:r>
      <w:r>
        <w:rPr>
          <w:rFonts w:ascii="Arial Unicode MS" w:hAnsi="Arial Unicode MS"/>
          <w:noProof/>
          <w:sz w:val="28"/>
          <w:lang w:eastAsia="fr-FR"/>
        </w:rPr>
        <mc:AlternateContent>
          <mc:Choice Requires="wps">
            <w:drawing>
              <wp:anchor distT="0" distB="0" distL="114300" distR="114300" simplePos="0" relativeHeight="251671552" behindDoc="0" locked="0" layoutInCell="1" allowOverlap="1">
                <wp:simplePos x="0" y="0"/>
                <wp:positionH relativeFrom="column">
                  <wp:posOffset>457200</wp:posOffset>
                </wp:positionH>
                <wp:positionV relativeFrom="paragraph">
                  <wp:posOffset>170815</wp:posOffset>
                </wp:positionV>
                <wp:extent cx="457200" cy="457200"/>
                <wp:effectExtent l="0" t="0" r="3810" b="1905"/>
                <wp:wrapTight wrapText="bothSides">
                  <wp:wrapPolygon edited="0">
                    <wp:start x="0" y="0"/>
                    <wp:lineTo x="21600" y="0"/>
                    <wp:lineTo x="21600" y="21600"/>
                    <wp:lineTo x="0" y="21600"/>
                    <wp:lineTo x="0" y="0"/>
                  </wp:wrapPolygon>
                </wp:wrapTight>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 o:spid="_x0000_s1038" type="#_x0000_t202" style="position:absolute;margin-left:36pt;margin-top:13.45pt;width:36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" filled="f" stroked="f">
                <v:textbox inset=",7.2pt,,7.2pt">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5</w:t>
                      </w:r>
                    </w:p>
                  </w:txbxContent>
                </v:textbox>
                <w10:wrap type="tight"/>
              </v:shape>
            </w:pict>
          </mc:Fallback>
        </mc:AlternateContent>
      </w: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p>
    <w:p w:rsidR="006933C4" w:rsidRDefault="006933C4" w:rsidP="006933C4">
      <w:pPr>
        <w:tabs>
          <w:tab w:val="left" w:pos="1700"/>
        </w:tabs>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79744" behindDoc="0" locked="0" layoutInCell="1" allowOverlap="1">
                <wp:simplePos x="0" y="0"/>
                <wp:positionH relativeFrom="column">
                  <wp:posOffset>1386205</wp:posOffset>
                </wp:positionH>
                <wp:positionV relativeFrom="paragraph">
                  <wp:posOffset>208915</wp:posOffset>
                </wp:positionV>
                <wp:extent cx="5036820" cy="1485900"/>
                <wp:effectExtent l="0" t="0" r="0" b="0"/>
                <wp:wrapTight wrapText="bothSides">
                  <wp:wrapPolygon edited="0">
                    <wp:start x="163" y="831"/>
                    <wp:lineTo x="163" y="20769"/>
                    <wp:lineTo x="21322" y="20769"/>
                    <wp:lineTo x="21322" y="831"/>
                    <wp:lineTo x="163" y="831"/>
                  </wp:wrapPolygon>
                </wp:wrapTight>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82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5D3E21" w:rsidRDefault="007B1397" w:rsidP="006933C4">
                            <w:pPr>
                              <w:rPr>
                                <w:rFonts w:ascii="BlairMdITC TT-Medium" w:hAnsi="BlairMdITC TT-Medium"/>
                                <w:b/>
                              </w:rPr>
                            </w:pPr>
                            <w:r w:rsidRPr="005D3E21">
                              <w:rPr>
                                <w:rFonts w:ascii="BlairMdITC TT-Medium" w:hAnsi="BlairMdITC TT-Medium"/>
                                <w:b/>
                              </w:rPr>
                              <w:t>FORMATION</w:t>
                            </w:r>
                            <w:r w:rsidRPr="005D3E21">
                              <w:rPr>
                                <w:rFonts w:ascii="Arial" w:hAnsi="Arial"/>
                                <w:sz w:val="22"/>
                              </w:rPr>
                              <w:t>...............................................................................................</w:t>
                            </w:r>
                            <w:r>
                              <w:rPr>
                                <w:rFonts w:ascii="Arial" w:hAnsi="Arial"/>
                                <w:sz w:val="22"/>
                              </w:rPr>
                              <w:t>..135</w:t>
                            </w:r>
                          </w:p>
                          <w:p w:rsidR="007B1397" w:rsidRPr="005D3E21" w:rsidRDefault="007B1397" w:rsidP="006933C4">
                            <w:pPr>
                              <w:rPr>
                                <w:rFonts w:ascii="Arial" w:hAnsi="Arial"/>
                                <w:sz w:val="22"/>
                              </w:rPr>
                            </w:pPr>
                            <w:r w:rsidRPr="005D3E21">
                              <w:rPr>
                                <w:rFonts w:ascii="BlairMdITC TT-Medium" w:hAnsi="BlairMdITC TT-Medium"/>
                                <w:sz w:val="22"/>
                              </w:rPr>
                              <w:t>A.</w:t>
                            </w:r>
                            <w:r w:rsidRPr="005D3E21">
                              <w:rPr>
                                <w:rFonts w:ascii="Arial" w:hAnsi="Arial"/>
                                <w:sz w:val="22"/>
                              </w:rPr>
                              <w:t xml:space="preserve"> Evolution des principaux indicateurs (T2-T3).......................................</w:t>
                            </w:r>
                            <w:r>
                              <w:rPr>
                                <w:rFonts w:ascii="Arial" w:hAnsi="Arial"/>
                                <w:sz w:val="22"/>
                              </w:rPr>
                              <w:t>...137</w:t>
                            </w:r>
                          </w:p>
                          <w:p w:rsidR="007B1397" w:rsidRPr="005D3E21" w:rsidRDefault="007B1397" w:rsidP="00853FDF">
                            <w:pPr>
                              <w:ind w:left="284" w:hanging="284"/>
                              <w:rPr>
                                <w:rFonts w:ascii="Arial" w:hAnsi="Arial"/>
                                <w:sz w:val="22"/>
                              </w:rPr>
                            </w:pPr>
                            <w:r w:rsidRPr="005D3E21">
                              <w:rPr>
                                <w:rFonts w:ascii="BlairMdITC TT-Medium" w:hAnsi="BlairMdITC TT-Medium"/>
                                <w:sz w:val="22"/>
                              </w:rPr>
                              <w:t>B.</w:t>
                            </w:r>
                            <w:r w:rsidRPr="005D3E21">
                              <w:rPr>
                                <w:rFonts w:ascii="Arial" w:hAnsi="Arial"/>
                                <w:sz w:val="22"/>
                              </w:rPr>
                              <w:t xml:space="preserve"> Répartition des actions par type de formation et par catégories d'agents (T2-T3)..................................................................................................</w:t>
                            </w:r>
                            <w:r>
                              <w:rPr>
                                <w:rFonts w:ascii="Arial" w:hAnsi="Arial"/>
                                <w:sz w:val="22"/>
                              </w:rPr>
                              <w:t>...142</w:t>
                            </w:r>
                          </w:p>
                          <w:p w:rsidR="007B1397" w:rsidRPr="005D3E21" w:rsidRDefault="007B1397" w:rsidP="006933C4">
                            <w:pPr>
                              <w:rPr>
                                <w:rFonts w:ascii="Arial" w:hAnsi="Arial"/>
                                <w:sz w:val="22"/>
                              </w:rPr>
                            </w:pPr>
                            <w:r w:rsidRPr="005D3E21">
                              <w:rPr>
                                <w:rFonts w:ascii="BlairMdITC TT-Medium" w:hAnsi="BlairMdITC TT-Medium"/>
                                <w:sz w:val="22"/>
                              </w:rPr>
                              <w:t>C.</w:t>
                            </w:r>
                            <w:r w:rsidRPr="005D3E21">
                              <w:rPr>
                                <w:rFonts w:ascii="Arial" w:hAnsi="Arial"/>
                                <w:sz w:val="22"/>
                              </w:rPr>
                              <w:t xml:space="preserve"> Dispositifs particuliers de formation (T2-T3)...........................................</w:t>
                            </w:r>
                            <w:r>
                              <w:rPr>
                                <w:rFonts w:ascii="Arial" w:hAnsi="Arial"/>
                                <w:sz w:val="22"/>
                              </w:rPr>
                              <w:t>.143</w:t>
                            </w:r>
                          </w:p>
                          <w:p w:rsidR="007B1397" w:rsidRPr="005D3E21" w:rsidRDefault="007B1397" w:rsidP="006933C4">
                            <w:pPr>
                              <w:rPr>
                                <w:rFonts w:ascii="Arial" w:hAnsi="Arial"/>
                                <w:sz w:val="22"/>
                              </w:rPr>
                            </w:pPr>
                            <w:r w:rsidRPr="005D3E21">
                              <w:rPr>
                                <w:rFonts w:ascii="BlairMdITC TT-Medium" w:hAnsi="BlairMdITC TT-Medium"/>
                                <w:sz w:val="22"/>
                              </w:rPr>
                              <w:t>D.</w:t>
                            </w:r>
                            <w:r w:rsidRPr="005D3E21">
                              <w:rPr>
                                <w:rFonts w:ascii="Arial" w:hAnsi="Arial"/>
                                <w:sz w:val="22"/>
                              </w:rPr>
                              <w:t xml:space="preserve"> Dépenses directes de formation (T2-T3)</w:t>
                            </w:r>
                            <w:r>
                              <w:rPr>
                                <w:rFonts w:ascii="Arial" w:hAnsi="Arial"/>
                                <w:sz w:val="22"/>
                              </w:rPr>
                              <w:t>..</w:t>
                            </w:r>
                            <w:r w:rsidRPr="005D3E21">
                              <w:rPr>
                                <w:rFonts w:ascii="Arial" w:hAnsi="Arial"/>
                                <w:sz w:val="22"/>
                              </w:rPr>
                              <w:t>.................</w:t>
                            </w:r>
                            <w:r>
                              <w:rPr>
                                <w:rFonts w:ascii="Arial" w:hAnsi="Arial"/>
                                <w:sz w:val="22"/>
                              </w:rPr>
                              <w:t>..............................145</w:t>
                            </w:r>
                          </w:p>
                          <w:p w:rsidR="007B1397" w:rsidRPr="005D3E21" w:rsidRDefault="007B1397" w:rsidP="006933C4">
                            <w:r w:rsidRPr="005D3E21">
                              <w:rPr>
                                <w:rFonts w:ascii="BlairMdITC TT-Medium" w:hAnsi="BlairMdITC TT-Medium"/>
                                <w:sz w:val="22"/>
                              </w:rPr>
                              <w:t>E.</w:t>
                            </w:r>
                            <w:r w:rsidRPr="005D3E21">
                              <w:rPr>
                                <w:rFonts w:ascii="Arial" w:hAnsi="Arial"/>
                                <w:sz w:val="22"/>
                              </w:rPr>
                              <w:t xml:space="preserve"> Récapitulatif financier (T2-T3)................................................................</w:t>
                            </w:r>
                            <w:r>
                              <w:rPr>
                                <w:rFonts w:ascii="Arial" w:hAnsi="Arial"/>
                                <w:sz w:val="22"/>
                              </w:rPr>
                              <w:t>.149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 o:spid="_x0000_s1039" type="#_x0000_t202" style="position:absolute;margin-left:109.15pt;margin-top:16.45pt;width:396.6pt;height:1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" filled="f" stroked="f">
                <v:textbox inset=",7.2pt,,7.2pt">
                  <w:txbxContent>
                    <w:p w:rsidR="007B1397" w:rsidRPr="005D3E21" w:rsidRDefault="007B1397" w:rsidP="006933C4">
                      <w:pPr>
                        <w:rPr>
                          <w:rFonts w:ascii="BlairMdITC TT-Medium" w:hAnsi="BlairMdITC TT-Medium"/>
                          <w:b/>
                        </w:rPr>
                      </w:pPr>
                      <w:r w:rsidRPr="005D3E21">
                        <w:rPr>
                          <w:rFonts w:ascii="BlairMdITC TT-Medium" w:hAnsi="BlairMdITC TT-Medium"/>
                          <w:b/>
                        </w:rPr>
                        <w:t>FORMATION</w:t>
                      </w:r>
                      <w:r w:rsidRPr="005D3E21">
                        <w:rPr>
                          <w:rFonts w:ascii="Arial" w:hAnsi="Arial"/>
                          <w:sz w:val="22"/>
                        </w:rPr>
                        <w:t>...............................................................................................</w:t>
                      </w:r>
                      <w:r>
                        <w:rPr>
                          <w:rFonts w:ascii="Arial" w:hAnsi="Arial"/>
                          <w:sz w:val="22"/>
                        </w:rPr>
                        <w:t>..135</w:t>
                      </w:r>
                    </w:p>
                    <w:p w:rsidR="007B1397" w:rsidRPr="005D3E21" w:rsidRDefault="007B1397" w:rsidP="006933C4">
                      <w:pPr>
                        <w:rPr>
                          <w:rFonts w:ascii="Arial" w:hAnsi="Arial"/>
                          <w:sz w:val="22"/>
                        </w:rPr>
                      </w:pPr>
                      <w:r w:rsidRPr="005D3E21">
                        <w:rPr>
                          <w:rFonts w:ascii="BlairMdITC TT-Medium" w:hAnsi="BlairMdITC TT-Medium"/>
                          <w:sz w:val="22"/>
                        </w:rPr>
                        <w:t>A.</w:t>
                      </w:r>
                      <w:r w:rsidRPr="005D3E21">
                        <w:rPr>
                          <w:rFonts w:ascii="Arial" w:hAnsi="Arial"/>
                          <w:sz w:val="22"/>
                        </w:rPr>
                        <w:t xml:space="preserve"> Evolution des principaux indicateurs (T2-T3).......................................</w:t>
                      </w:r>
                      <w:r>
                        <w:rPr>
                          <w:rFonts w:ascii="Arial" w:hAnsi="Arial"/>
                          <w:sz w:val="22"/>
                        </w:rPr>
                        <w:t>...137</w:t>
                      </w:r>
                    </w:p>
                    <w:p w:rsidR="007B1397" w:rsidRPr="005D3E21" w:rsidRDefault="007B1397" w:rsidP="00853FDF">
                      <w:pPr>
                        <w:ind w:left="284" w:hanging="284"/>
                        <w:rPr>
                          <w:rFonts w:ascii="Arial" w:hAnsi="Arial"/>
                          <w:sz w:val="22"/>
                        </w:rPr>
                      </w:pPr>
                      <w:r w:rsidRPr="005D3E21">
                        <w:rPr>
                          <w:rFonts w:ascii="BlairMdITC TT-Medium" w:hAnsi="BlairMdITC TT-Medium"/>
                          <w:sz w:val="22"/>
                        </w:rPr>
                        <w:t>B.</w:t>
                      </w:r>
                      <w:r w:rsidRPr="005D3E21">
                        <w:rPr>
                          <w:rFonts w:ascii="Arial" w:hAnsi="Arial"/>
                          <w:sz w:val="22"/>
                        </w:rPr>
                        <w:t xml:space="preserve"> Répartition des actions par type de formation et par catégories d'agents (T2-T3)..................................................................................................</w:t>
                      </w:r>
                      <w:r>
                        <w:rPr>
                          <w:rFonts w:ascii="Arial" w:hAnsi="Arial"/>
                          <w:sz w:val="22"/>
                        </w:rPr>
                        <w:t>...142</w:t>
                      </w:r>
                    </w:p>
                    <w:p w:rsidR="007B1397" w:rsidRPr="005D3E21" w:rsidRDefault="007B1397" w:rsidP="006933C4">
                      <w:pPr>
                        <w:rPr>
                          <w:rFonts w:ascii="Arial" w:hAnsi="Arial"/>
                          <w:sz w:val="22"/>
                        </w:rPr>
                      </w:pPr>
                      <w:r w:rsidRPr="005D3E21">
                        <w:rPr>
                          <w:rFonts w:ascii="BlairMdITC TT-Medium" w:hAnsi="BlairMdITC TT-Medium"/>
                          <w:sz w:val="22"/>
                        </w:rPr>
                        <w:t>C.</w:t>
                      </w:r>
                      <w:r w:rsidRPr="005D3E21">
                        <w:rPr>
                          <w:rFonts w:ascii="Arial" w:hAnsi="Arial"/>
                          <w:sz w:val="22"/>
                        </w:rPr>
                        <w:t xml:space="preserve"> Dispositifs particuliers de formation (T2-T3)...........................................</w:t>
                      </w:r>
                      <w:r>
                        <w:rPr>
                          <w:rFonts w:ascii="Arial" w:hAnsi="Arial"/>
                          <w:sz w:val="22"/>
                        </w:rPr>
                        <w:t>.143</w:t>
                      </w:r>
                    </w:p>
                    <w:p w:rsidR="007B1397" w:rsidRPr="005D3E21" w:rsidRDefault="007B1397" w:rsidP="006933C4">
                      <w:pPr>
                        <w:rPr>
                          <w:rFonts w:ascii="Arial" w:hAnsi="Arial"/>
                          <w:sz w:val="22"/>
                        </w:rPr>
                      </w:pPr>
                      <w:r w:rsidRPr="005D3E21">
                        <w:rPr>
                          <w:rFonts w:ascii="BlairMdITC TT-Medium" w:hAnsi="BlairMdITC TT-Medium"/>
                          <w:sz w:val="22"/>
                        </w:rPr>
                        <w:t>D.</w:t>
                      </w:r>
                      <w:r w:rsidRPr="005D3E21">
                        <w:rPr>
                          <w:rFonts w:ascii="Arial" w:hAnsi="Arial"/>
                          <w:sz w:val="22"/>
                        </w:rPr>
                        <w:t xml:space="preserve"> Dépenses directes de formation (T2-T3)</w:t>
                      </w:r>
                      <w:r>
                        <w:rPr>
                          <w:rFonts w:ascii="Arial" w:hAnsi="Arial"/>
                          <w:sz w:val="22"/>
                        </w:rPr>
                        <w:t>..</w:t>
                      </w:r>
                      <w:r w:rsidRPr="005D3E21">
                        <w:rPr>
                          <w:rFonts w:ascii="Arial" w:hAnsi="Arial"/>
                          <w:sz w:val="22"/>
                        </w:rPr>
                        <w:t>.................</w:t>
                      </w:r>
                      <w:r>
                        <w:rPr>
                          <w:rFonts w:ascii="Arial" w:hAnsi="Arial"/>
                          <w:sz w:val="22"/>
                        </w:rPr>
                        <w:t>..............................145</w:t>
                      </w:r>
                    </w:p>
                    <w:p w:rsidR="007B1397" w:rsidRPr="005D3E21" w:rsidRDefault="007B1397" w:rsidP="006933C4">
                      <w:r w:rsidRPr="005D3E21">
                        <w:rPr>
                          <w:rFonts w:ascii="BlairMdITC TT-Medium" w:hAnsi="BlairMdITC TT-Medium"/>
                          <w:sz w:val="22"/>
                        </w:rPr>
                        <w:t>E.</w:t>
                      </w:r>
                      <w:r w:rsidRPr="005D3E21">
                        <w:rPr>
                          <w:rFonts w:ascii="Arial" w:hAnsi="Arial"/>
                          <w:sz w:val="22"/>
                        </w:rPr>
                        <w:t xml:space="preserve"> Récapitulatif financier (T2-T3)................................................................</w:t>
                      </w:r>
                      <w:r>
                        <w:rPr>
                          <w:rFonts w:ascii="Arial" w:hAnsi="Arial"/>
                          <w:sz w:val="22"/>
                        </w:rPr>
                        <w:t>.149</w:t>
                      </w:r>
                    </w:p>
                  </w:txbxContent>
                </v:textbox>
                <w10:wrap type="tight"/>
              </v:shape>
            </w:pict>
          </mc:Fallback>
        </mc:AlternateContent>
      </w:r>
    </w:p>
    <w:p w:rsidR="006933C4" w:rsidRDefault="006933C4" w:rsidP="006933C4">
      <w:pPr>
        <w:tabs>
          <w:tab w:val="left" w:pos="1700"/>
        </w:tabs>
        <w:rPr>
          <w:rFonts w:ascii="Arial Unicode MS" w:hAnsi="Arial Unicode MS"/>
          <w:sz w:val="28"/>
        </w:rPr>
      </w:pPr>
    </w:p>
    <w:p w:rsidR="006933C4" w:rsidRPr="001A5BD6" w:rsidRDefault="006933C4" w:rsidP="006933C4">
      <w:pPr>
        <w:tabs>
          <w:tab w:val="left" w:pos="1700"/>
        </w:tabs>
        <w:rPr>
          <w:rFonts w:ascii="Arial Unicode MS" w:hAnsi="Arial Unicode MS"/>
          <w:sz w:val="28"/>
        </w:rPr>
      </w:pPr>
    </w:p>
    <w:p w:rsidR="006933C4" w:rsidRPr="00970EE3" w:rsidRDefault="006933C4" w:rsidP="006933C4">
      <w:pPr>
        <w:rPr>
          <w:rFonts w:ascii="Arial Unicode MS" w:hAnsi="Arial Unicode MS"/>
          <w:sz w:val="28"/>
        </w:rPr>
      </w:pPr>
    </w:p>
    <w:p w:rsidR="006933C4" w:rsidRPr="00970EE3" w:rsidRDefault="006933C4" w:rsidP="006933C4">
      <w:pPr>
        <w:rPr>
          <w:rFonts w:ascii="Arial Unicode MS" w:hAnsi="Arial Unicode MS"/>
          <w:sz w:val="28"/>
        </w:rPr>
      </w:pPr>
    </w:p>
    <w:p w:rsidR="006933C4" w:rsidRPr="00970EE3" w:rsidRDefault="006933C4" w:rsidP="006933C4">
      <w:pPr>
        <w:rPr>
          <w:rFonts w:ascii="Arial Unicode MS" w:hAnsi="Arial Unicode MS"/>
          <w:sz w:val="28"/>
        </w:rPr>
      </w:pPr>
    </w:p>
    <w:p w:rsidR="006933C4" w:rsidRPr="00970EE3" w:rsidRDefault="006933C4" w:rsidP="006933C4">
      <w:pPr>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81792" behindDoc="0" locked="0" layoutInCell="1" allowOverlap="1">
                <wp:simplePos x="0" y="0"/>
                <wp:positionH relativeFrom="column">
                  <wp:posOffset>1424305</wp:posOffset>
                </wp:positionH>
                <wp:positionV relativeFrom="paragraph">
                  <wp:posOffset>93980</wp:posOffset>
                </wp:positionV>
                <wp:extent cx="5029200" cy="1092200"/>
                <wp:effectExtent l="0" t="0" r="0" b="0"/>
                <wp:wrapTight wrapText="bothSides">
                  <wp:wrapPolygon edited="0">
                    <wp:start x="164" y="1130"/>
                    <wp:lineTo x="164" y="20344"/>
                    <wp:lineTo x="21355" y="20344"/>
                    <wp:lineTo x="21355" y="1130"/>
                    <wp:lineTo x="164" y="1130"/>
                  </wp:wrapPolygon>
                </wp:wrapTight>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09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3C2267" w:rsidRDefault="007B1397" w:rsidP="006933C4">
                            <w:pPr>
                              <w:rPr>
                                <w:rFonts w:ascii="BlairMdITC TT-Medium" w:hAnsi="BlairMdITC TT-Medium"/>
                                <w:b/>
                              </w:rPr>
                            </w:pPr>
                            <w:r w:rsidRPr="003C2267">
                              <w:rPr>
                                <w:rFonts w:ascii="BlairMdITC TT-Medium" w:hAnsi="BlairMdITC TT-Medium"/>
                                <w:b/>
                              </w:rPr>
                              <w:t>RELATIONS SOCIALES</w:t>
                            </w:r>
                            <w:r w:rsidRPr="003C2267">
                              <w:rPr>
                                <w:rFonts w:ascii="Arial" w:hAnsi="Arial"/>
                                <w:sz w:val="22"/>
                              </w:rPr>
                              <w:t>............................................</w:t>
                            </w:r>
                            <w:r>
                              <w:rPr>
                                <w:rFonts w:ascii="Arial" w:hAnsi="Arial"/>
                                <w:sz w:val="22"/>
                              </w:rPr>
                              <w:t>.............................150</w:t>
                            </w:r>
                          </w:p>
                          <w:p w:rsidR="007B1397" w:rsidRPr="003C2267" w:rsidRDefault="007B1397" w:rsidP="006933C4">
                            <w:pPr>
                              <w:rPr>
                                <w:rFonts w:ascii="Arial" w:hAnsi="Arial"/>
                                <w:sz w:val="22"/>
                              </w:rPr>
                            </w:pPr>
                            <w:r w:rsidRPr="003C2267">
                              <w:rPr>
                                <w:rFonts w:ascii="BlairMdITC TT-Medium" w:hAnsi="BlairMdITC TT-Medium"/>
                                <w:sz w:val="22"/>
                              </w:rPr>
                              <w:t>A.</w:t>
                            </w:r>
                            <w:r w:rsidRPr="003C2267">
                              <w:rPr>
                                <w:rFonts w:ascii="Arial" w:hAnsi="Arial"/>
                                <w:sz w:val="22"/>
                              </w:rPr>
                              <w:t xml:space="preserve"> Instances consultatives...........................................</w:t>
                            </w:r>
                            <w:r>
                              <w:rPr>
                                <w:rFonts w:ascii="Arial" w:hAnsi="Arial"/>
                                <w:sz w:val="22"/>
                              </w:rPr>
                              <w:t>..............................151</w:t>
                            </w:r>
                          </w:p>
                          <w:p w:rsidR="007B1397" w:rsidRPr="003C2267" w:rsidRDefault="007B1397" w:rsidP="006933C4">
                            <w:pPr>
                              <w:rPr>
                                <w:rFonts w:ascii="Arial" w:hAnsi="Arial"/>
                                <w:sz w:val="22"/>
                              </w:rPr>
                            </w:pPr>
                            <w:r w:rsidRPr="003C2267">
                              <w:rPr>
                                <w:rFonts w:ascii="BlairMdITC TT-Medium" w:hAnsi="BlairMdITC TT-Medium"/>
                                <w:sz w:val="22"/>
                              </w:rPr>
                              <w:t>B.</w:t>
                            </w:r>
                            <w:r w:rsidRPr="003C2267">
                              <w:rPr>
                                <w:rFonts w:ascii="Arial" w:hAnsi="Arial"/>
                                <w:sz w:val="22"/>
                              </w:rPr>
                              <w:t xml:space="preserve"> Bilan des mouvements sociaux au MCC..............................................1</w:t>
                            </w:r>
                            <w:r>
                              <w:rPr>
                                <w:rFonts w:ascii="Arial" w:hAnsi="Arial"/>
                                <w:sz w:val="22"/>
                              </w:rPr>
                              <w:t>67</w:t>
                            </w:r>
                          </w:p>
                          <w:p w:rsidR="007B1397" w:rsidRPr="003C2267" w:rsidRDefault="007B1397" w:rsidP="006933C4">
                            <w:pPr>
                              <w:rPr>
                                <w:rFonts w:ascii="Arial" w:hAnsi="Arial"/>
                                <w:sz w:val="22"/>
                              </w:rPr>
                            </w:pPr>
                            <w:r w:rsidRPr="003C2267">
                              <w:rPr>
                                <w:rFonts w:ascii="BlairMdITC TT-Medium" w:hAnsi="BlairMdITC TT-Medium"/>
                                <w:sz w:val="22"/>
                              </w:rPr>
                              <w:t>c.</w:t>
                            </w:r>
                            <w:r w:rsidRPr="003C2267">
                              <w:rPr>
                                <w:rFonts w:ascii="Arial" w:hAnsi="Arial"/>
                                <w:sz w:val="22"/>
                              </w:rPr>
                              <w:t xml:space="preserve"> Les accords négociés...........................................................................1</w:t>
                            </w:r>
                            <w:r>
                              <w:rPr>
                                <w:rFonts w:ascii="Arial" w:hAnsi="Arial"/>
                                <w:sz w:val="22"/>
                              </w:rPr>
                              <w:t>69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 o:spid="_x0000_s1040" type="#_x0000_t202" style="position:absolute;margin-left:112.15pt;margin-top:7.4pt;width:396pt;height: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" filled="f" stroked="f">
                <v:textbox inset=",7.2pt,,7.2pt">
                  <w:txbxContent>
                    <w:p w:rsidR="007B1397" w:rsidRPr="003C2267" w:rsidRDefault="007B1397" w:rsidP="006933C4">
                      <w:pPr>
                        <w:rPr>
                          <w:rFonts w:ascii="BlairMdITC TT-Medium" w:hAnsi="BlairMdITC TT-Medium"/>
                          <w:b/>
                        </w:rPr>
                      </w:pPr>
                      <w:r w:rsidRPr="003C2267">
                        <w:rPr>
                          <w:rFonts w:ascii="BlairMdITC TT-Medium" w:hAnsi="BlairMdITC TT-Medium"/>
                          <w:b/>
                        </w:rPr>
                        <w:t>RELATIONS SOCIALES</w:t>
                      </w:r>
                      <w:r w:rsidRPr="003C2267">
                        <w:rPr>
                          <w:rFonts w:ascii="Arial" w:hAnsi="Arial"/>
                          <w:sz w:val="22"/>
                        </w:rPr>
                        <w:t>............................................</w:t>
                      </w:r>
                      <w:r>
                        <w:rPr>
                          <w:rFonts w:ascii="Arial" w:hAnsi="Arial"/>
                          <w:sz w:val="22"/>
                        </w:rPr>
                        <w:t>.............................150</w:t>
                      </w:r>
                    </w:p>
                    <w:p w:rsidR="007B1397" w:rsidRPr="003C2267" w:rsidRDefault="007B1397" w:rsidP="006933C4">
                      <w:pPr>
                        <w:rPr>
                          <w:rFonts w:ascii="Arial" w:hAnsi="Arial"/>
                          <w:sz w:val="22"/>
                        </w:rPr>
                      </w:pPr>
                      <w:r w:rsidRPr="003C2267">
                        <w:rPr>
                          <w:rFonts w:ascii="BlairMdITC TT-Medium" w:hAnsi="BlairMdITC TT-Medium"/>
                          <w:sz w:val="22"/>
                        </w:rPr>
                        <w:t>A.</w:t>
                      </w:r>
                      <w:r w:rsidRPr="003C2267">
                        <w:rPr>
                          <w:rFonts w:ascii="Arial" w:hAnsi="Arial"/>
                          <w:sz w:val="22"/>
                        </w:rPr>
                        <w:t xml:space="preserve"> Instances consultatives...........................................</w:t>
                      </w:r>
                      <w:r>
                        <w:rPr>
                          <w:rFonts w:ascii="Arial" w:hAnsi="Arial"/>
                          <w:sz w:val="22"/>
                        </w:rPr>
                        <w:t>..............................151</w:t>
                      </w:r>
                    </w:p>
                    <w:p w:rsidR="007B1397" w:rsidRPr="003C2267" w:rsidRDefault="007B1397" w:rsidP="006933C4">
                      <w:pPr>
                        <w:rPr>
                          <w:rFonts w:ascii="Arial" w:hAnsi="Arial"/>
                          <w:sz w:val="22"/>
                        </w:rPr>
                      </w:pPr>
                      <w:r w:rsidRPr="003C2267">
                        <w:rPr>
                          <w:rFonts w:ascii="BlairMdITC TT-Medium" w:hAnsi="BlairMdITC TT-Medium"/>
                          <w:sz w:val="22"/>
                        </w:rPr>
                        <w:t>B.</w:t>
                      </w:r>
                      <w:r w:rsidRPr="003C2267">
                        <w:rPr>
                          <w:rFonts w:ascii="Arial" w:hAnsi="Arial"/>
                          <w:sz w:val="22"/>
                        </w:rPr>
                        <w:t xml:space="preserve"> Bilan des mouvements sociaux au MCC..............................................1</w:t>
                      </w:r>
                      <w:r>
                        <w:rPr>
                          <w:rFonts w:ascii="Arial" w:hAnsi="Arial"/>
                          <w:sz w:val="22"/>
                        </w:rPr>
                        <w:t>67</w:t>
                      </w:r>
                    </w:p>
                    <w:p w:rsidR="007B1397" w:rsidRPr="003C2267" w:rsidRDefault="007B1397" w:rsidP="006933C4">
                      <w:pPr>
                        <w:rPr>
                          <w:rFonts w:ascii="Arial" w:hAnsi="Arial"/>
                          <w:sz w:val="22"/>
                        </w:rPr>
                      </w:pPr>
                      <w:r w:rsidRPr="003C2267">
                        <w:rPr>
                          <w:rFonts w:ascii="BlairMdITC TT-Medium" w:hAnsi="BlairMdITC TT-Medium"/>
                          <w:sz w:val="22"/>
                        </w:rPr>
                        <w:t>c.</w:t>
                      </w:r>
                      <w:r w:rsidRPr="003C2267">
                        <w:rPr>
                          <w:rFonts w:ascii="Arial" w:hAnsi="Arial"/>
                          <w:sz w:val="22"/>
                        </w:rPr>
                        <w:t xml:space="preserve"> Les accords négociés...........................................................................1</w:t>
                      </w:r>
                      <w:r>
                        <w:rPr>
                          <w:rFonts w:ascii="Arial" w:hAnsi="Arial"/>
                          <w:sz w:val="22"/>
                        </w:rPr>
                        <w:t>69</w:t>
                      </w:r>
                    </w:p>
                  </w:txbxContent>
                </v:textbox>
                <w10:wrap type="tight"/>
              </v:shape>
            </w:pict>
          </mc:Fallback>
        </mc:AlternateContent>
      </w:r>
    </w:p>
    <w:p w:rsidR="006933C4" w:rsidRPr="00970EE3" w:rsidRDefault="006933C4" w:rsidP="006933C4">
      <w:pPr>
        <w:rPr>
          <w:rFonts w:ascii="Arial Unicode MS" w:hAnsi="Arial Unicode MS"/>
          <w:sz w:val="28"/>
        </w:rPr>
      </w:pPr>
    </w:p>
    <w:p w:rsidR="006933C4" w:rsidRPr="00970EE3" w:rsidRDefault="006933C4" w:rsidP="006933C4">
      <w:pPr>
        <w:rPr>
          <w:rFonts w:ascii="Arial Unicode MS" w:hAnsi="Arial Unicode MS"/>
          <w:sz w:val="28"/>
        </w:rPr>
      </w:pPr>
    </w:p>
    <w:p w:rsidR="006933C4" w:rsidRPr="00970EE3" w:rsidRDefault="006933C4" w:rsidP="006933C4">
      <w:pPr>
        <w:rPr>
          <w:rFonts w:ascii="Arial Unicode MS" w:hAnsi="Arial Unicode MS"/>
          <w:sz w:val="28"/>
        </w:rPr>
      </w:pPr>
    </w:p>
    <w:p w:rsidR="006933C4" w:rsidRPr="00970EE3" w:rsidRDefault="006933C4" w:rsidP="006933C4">
      <w:pPr>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82816" behindDoc="0" locked="0" layoutInCell="1" allowOverlap="1">
                <wp:simplePos x="0" y="0"/>
                <wp:positionH relativeFrom="column">
                  <wp:posOffset>1372235</wp:posOffset>
                </wp:positionH>
                <wp:positionV relativeFrom="paragraph">
                  <wp:posOffset>180340</wp:posOffset>
                </wp:positionV>
                <wp:extent cx="5029200" cy="1398905"/>
                <wp:effectExtent l="0" t="0" r="0" b="0"/>
                <wp:wrapTight wrapText="bothSides">
                  <wp:wrapPolygon edited="0">
                    <wp:start x="164" y="882"/>
                    <wp:lineTo x="164" y="20590"/>
                    <wp:lineTo x="21355" y="20590"/>
                    <wp:lineTo x="21355" y="882"/>
                    <wp:lineTo x="164" y="882"/>
                  </wp:wrapPolygon>
                </wp:wrapTight>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39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3C2267" w:rsidRDefault="007B1397" w:rsidP="006933C4">
                            <w:pPr>
                              <w:rPr>
                                <w:rFonts w:ascii="BlairMdITC TT-Medium" w:hAnsi="BlairMdITC TT-Medium"/>
                                <w:sz w:val="18"/>
                              </w:rPr>
                            </w:pPr>
                            <w:r w:rsidRPr="003C2267">
                              <w:rPr>
                                <w:rFonts w:ascii="BlairMdITC TT-Medium" w:hAnsi="BlairMdITC TT-Medium"/>
                                <w:b/>
                              </w:rPr>
                              <w:t>ANNEXES</w:t>
                            </w:r>
                            <w:r w:rsidRPr="003C2267">
                              <w:rPr>
                                <w:rFonts w:ascii="Arial" w:hAnsi="Arial"/>
                                <w:sz w:val="22"/>
                              </w:rPr>
                              <w:t>.....................................................................</w:t>
                            </w:r>
                            <w:r>
                              <w:rPr>
                                <w:rFonts w:ascii="Arial" w:hAnsi="Arial"/>
                                <w:sz w:val="22"/>
                              </w:rPr>
                              <w:t>..............................170</w:t>
                            </w:r>
                          </w:p>
                          <w:p w:rsidR="007B1397" w:rsidRPr="003C2267" w:rsidRDefault="007B1397" w:rsidP="006933C4">
                            <w:pPr>
                              <w:rPr>
                                <w:rFonts w:ascii="Arial" w:hAnsi="Arial"/>
                                <w:sz w:val="22"/>
                              </w:rPr>
                            </w:pPr>
                            <w:r w:rsidRPr="003C2267">
                              <w:rPr>
                                <w:rFonts w:ascii="BlairMdITC TT-Medium" w:hAnsi="BlairMdITC TT-Medium"/>
                                <w:sz w:val="22"/>
                              </w:rPr>
                              <w:t>A.</w:t>
                            </w:r>
                            <w:r w:rsidRPr="003C2267">
                              <w:rPr>
                                <w:rFonts w:ascii="Arial" w:hAnsi="Arial"/>
                                <w:sz w:val="22"/>
                              </w:rPr>
                              <w:t xml:space="preserve"> Sanctions disciplinaires par filière et par groupe</w:t>
                            </w:r>
                            <w:r>
                              <w:rPr>
                                <w:rFonts w:ascii="Arial" w:hAnsi="Arial"/>
                                <w:sz w:val="22"/>
                              </w:rPr>
                              <w:t xml:space="preserve"> (T2-T3)......................171</w:t>
                            </w:r>
                          </w:p>
                          <w:p w:rsidR="007B1397" w:rsidRPr="003C2267" w:rsidRDefault="007B1397" w:rsidP="00FB45C6">
                            <w:pPr>
                              <w:rPr>
                                <w:rFonts w:ascii="Arial" w:hAnsi="Arial"/>
                                <w:sz w:val="22"/>
                              </w:rPr>
                            </w:pPr>
                            <w:r w:rsidRPr="003C2267">
                              <w:rPr>
                                <w:rFonts w:ascii="BlairMdITC TT-Medium" w:hAnsi="BlairMdITC TT-Medium"/>
                                <w:sz w:val="22"/>
                              </w:rPr>
                              <w:t>B.</w:t>
                            </w:r>
                            <w:r w:rsidRPr="003C2267">
                              <w:rPr>
                                <w:rFonts w:ascii="Arial" w:hAnsi="Arial"/>
                                <w:sz w:val="22"/>
                              </w:rPr>
                              <w:t xml:space="preserve"> Les congés pour évènements familiaux (T2-T3).................</w:t>
                            </w:r>
                            <w:r>
                              <w:rPr>
                                <w:rFonts w:ascii="Arial" w:hAnsi="Arial"/>
                                <w:sz w:val="22"/>
                              </w:rPr>
                              <w:t>..................172</w:t>
                            </w:r>
                          </w:p>
                          <w:p w:rsidR="007B1397" w:rsidRPr="003C2267" w:rsidRDefault="007B1397" w:rsidP="006933C4">
                            <w:pPr>
                              <w:rPr>
                                <w:rFonts w:ascii="Arial" w:hAnsi="Arial"/>
                                <w:sz w:val="22"/>
                              </w:rPr>
                            </w:pPr>
                            <w:r w:rsidRPr="003C2267">
                              <w:rPr>
                                <w:rFonts w:ascii="BlairMdITC TT-Medium" w:hAnsi="BlairMdITC TT-Medium"/>
                                <w:sz w:val="22"/>
                              </w:rPr>
                              <w:t>C.</w:t>
                            </w:r>
                            <w:r w:rsidRPr="003C2267">
                              <w:rPr>
                                <w:rFonts w:ascii="Arial" w:hAnsi="Arial"/>
                                <w:sz w:val="22"/>
                              </w:rPr>
                              <w:t xml:space="preserve"> Le compte épargne temps (T2)…………..............................................</w:t>
                            </w:r>
                            <w:r>
                              <w:rPr>
                                <w:rFonts w:ascii="Arial" w:hAnsi="Arial"/>
                                <w:sz w:val="22"/>
                              </w:rPr>
                              <w:t>.175</w:t>
                            </w:r>
                          </w:p>
                          <w:p w:rsidR="007B1397" w:rsidRPr="003C2267" w:rsidRDefault="007B1397" w:rsidP="006933C4">
                            <w:pPr>
                              <w:rPr>
                                <w:rFonts w:ascii="Arial" w:hAnsi="Arial"/>
                                <w:sz w:val="22"/>
                              </w:rPr>
                            </w:pPr>
                            <w:r w:rsidRPr="003C2267">
                              <w:rPr>
                                <w:rFonts w:ascii="BlairMdITC TT-Medium" w:hAnsi="BlairMdITC TT-Medium"/>
                                <w:sz w:val="22"/>
                              </w:rPr>
                              <w:t>D.</w:t>
                            </w:r>
                            <w:r w:rsidRPr="003C2267">
                              <w:rPr>
                                <w:rFonts w:ascii="Arial" w:hAnsi="Arial"/>
                                <w:sz w:val="22"/>
                              </w:rPr>
                              <w:t xml:space="preserve"> Plaquette de l’action sociale en 2013...................................................</w:t>
                            </w:r>
                            <w:r>
                              <w:rPr>
                                <w:rFonts w:ascii="Arial" w:hAnsi="Arial"/>
                                <w:sz w:val="22"/>
                              </w:rPr>
                              <w:t>.176</w:t>
                            </w:r>
                          </w:p>
                          <w:p w:rsidR="007B1397" w:rsidRPr="003C2267" w:rsidRDefault="007B1397" w:rsidP="006933C4">
                            <w:pPr>
                              <w:rPr>
                                <w:rFonts w:ascii="Arial" w:hAnsi="Arial"/>
                                <w:sz w:val="22"/>
                              </w:rPr>
                            </w:pPr>
                            <w:r w:rsidRPr="003C2267">
                              <w:rPr>
                                <w:rFonts w:ascii="BlairMdITC TT-Medium" w:hAnsi="BlairMdITC TT-Medium"/>
                                <w:sz w:val="22"/>
                              </w:rPr>
                              <w:t>E.</w:t>
                            </w:r>
                            <w:r w:rsidRPr="003C2267">
                              <w:rPr>
                                <w:rFonts w:ascii="Arial" w:hAnsi="Arial"/>
                                <w:sz w:val="22"/>
                              </w:rPr>
                              <w:t xml:space="preserve"> Notice explicative de l’enquête RH EP.................................................</w:t>
                            </w:r>
                            <w:r>
                              <w:rPr>
                                <w:rFonts w:ascii="Arial" w:hAnsi="Arial"/>
                                <w:sz w:val="22"/>
                              </w:rPr>
                              <w:t>.180</w:t>
                            </w:r>
                          </w:p>
                          <w:p w:rsidR="007B1397" w:rsidRPr="000400D2" w:rsidRDefault="007B1397" w:rsidP="006933C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 o:spid="_x0000_s1041" type="#_x0000_t202" style="position:absolute;margin-left:108.05pt;margin-top:14.2pt;width:396pt;height:110.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" filled="f" stroked="f">
                <v:textbox inset=",7.2pt,,7.2pt">
                  <w:txbxContent>
                    <w:p w:rsidR="007B1397" w:rsidRPr="003C2267" w:rsidRDefault="007B1397" w:rsidP="006933C4">
                      <w:pPr>
                        <w:rPr>
                          <w:rFonts w:ascii="BlairMdITC TT-Medium" w:hAnsi="BlairMdITC TT-Medium"/>
                          <w:sz w:val="18"/>
                        </w:rPr>
                      </w:pPr>
                      <w:r w:rsidRPr="003C2267">
                        <w:rPr>
                          <w:rFonts w:ascii="BlairMdITC TT-Medium" w:hAnsi="BlairMdITC TT-Medium"/>
                          <w:b/>
                        </w:rPr>
                        <w:t>ANNEXES</w:t>
                      </w:r>
                      <w:r w:rsidRPr="003C2267">
                        <w:rPr>
                          <w:rFonts w:ascii="Arial" w:hAnsi="Arial"/>
                          <w:sz w:val="22"/>
                        </w:rPr>
                        <w:t>.....................................................................</w:t>
                      </w:r>
                      <w:r>
                        <w:rPr>
                          <w:rFonts w:ascii="Arial" w:hAnsi="Arial"/>
                          <w:sz w:val="22"/>
                        </w:rPr>
                        <w:t>..............................170</w:t>
                      </w:r>
                    </w:p>
                    <w:p w:rsidR="007B1397" w:rsidRPr="003C2267" w:rsidRDefault="007B1397" w:rsidP="006933C4">
                      <w:pPr>
                        <w:rPr>
                          <w:rFonts w:ascii="Arial" w:hAnsi="Arial"/>
                          <w:sz w:val="22"/>
                        </w:rPr>
                      </w:pPr>
                      <w:r w:rsidRPr="003C2267">
                        <w:rPr>
                          <w:rFonts w:ascii="BlairMdITC TT-Medium" w:hAnsi="BlairMdITC TT-Medium"/>
                          <w:sz w:val="22"/>
                        </w:rPr>
                        <w:t>A.</w:t>
                      </w:r>
                      <w:r w:rsidRPr="003C2267">
                        <w:rPr>
                          <w:rFonts w:ascii="Arial" w:hAnsi="Arial"/>
                          <w:sz w:val="22"/>
                        </w:rPr>
                        <w:t xml:space="preserve"> Sanctions disciplinaires par filière et par groupe</w:t>
                      </w:r>
                      <w:r>
                        <w:rPr>
                          <w:rFonts w:ascii="Arial" w:hAnsi="Arial"/>
                          <w:sz w:val="22"/>
                        </w:rPr>
                        <w:t xml:space="preserve"> (T2-T3)......................171</w:t>
                      </w:r>
                    </w:p>
                    <w:p w:rsidR="007B1397" w:rsidRPr="003C2267" w:rsidRDefault="007B1397" w:rsidP="00FB45C6">
                      <w:pPr>
                        <w:rPr>
                          <w:rFonts w:ascii="Arial" w:hAnsi="Arial"/>
                          <w:sz w:val="22"/>
                        </w:rPr>
                      </w:pPr>
                      <w:r w:rsidRPr="003C2267">
                        <w:rPr>
                          <w:rFonts w:ascii="BlairMdITC TT-Medium" w:hAnsi="BlairMdITC TT-Medium"/>
                          <w:sz w:val="22"/>
                        </w:rPr>
                        <w:t>B.</w:t>
                      </w:r>
                      <w:r w:rsidRPr="003C2267">
                        <w:rPr>
                          <w:rFonts w:ascii="Arial" w:hAnsi="Arial"/>
                          <w:sz w:val="22"/>
                        </w:rPr>
                        <w:t xml:space="preserve"> Les congés pour évènements familiaux (T2-T3).................</w:t>
                      </w:r>
                      <w:r>
                        <w:rPr>
                          <w:rFonts w:ascii="Arial" w:hAnsi="Arial"/>
                          <w:sz w:val="22"/>
                        </w:rPr>
                        <w:t>..................172</w:t>
                      </w:r>
                    </w:p>
                    <w:p w:rsidR="007B1397" w:rsidRPr="003C2267" w:rsidRDefault="007B1397" w:rsidP="006933C4">
                      <w:pPr>
                        <w:rPr>
                          <w:rFonts w:ascii="Arial" w:hAnsi="Arial"/>
                          <w:sz w:val="22"/>
                        </w:rPr>
                      </w:pPr>
                      <w:r w:rsidRPr="003C2267">
                        <w:rPr>
                          <w:rFonts w:ascii="BlairMdITC TT-Medium" w:hAnsi="BlairMdITC TT-Medium"/>
                          <w:sz w:val="22"/>
                        </w:rPr>
                        <w:t>C.</w:t>
                      </w:r>
                      <w:r w:rsidRPr="003C2267">
                        <w:rPr>
                          <w:rFonts w:ascii="Arial" w:hAnsi="Arial"/>
                          <w:sz w:val="22"/>
                        </w:rPr>
                        <w:t xml:space="preserve"> Le compte épargne temps (T2)…………..............................................</w:t>
                      </w:r>
                      <w:r>
                        <w:rPr>
                          <w:rFonts w:ascii="Arial" w:hAnsi="Arial"/>
                          <w:sz w:val="22"/>
                        </w:rPr>
                        <w:t>.175</w:t>
                      </w:r>
                    </w:p>
                    <w:p w:rsidR="007B1397" w:rsidRPr="003C2267" w:rsidRDefault="007B1397" w:rsidP="006933C4">
                      <w:pPr>
                        <w:rPr>
                          <w:rFonts w:ascii="Arial" w:hAnsi="Arial"/>
                          <w:sz w:val="22"/>
                        </w:rPr>
                      </w:pPr>
                      <w:r w:rsidRPr="003C2267">
                        <w:rPr>
                          <w:rFonts w:ascii="BlairMdITC TT-Medium" w:hAnsi="BlairMdITC TT-Medium"/>
                          <w:sz w:val="22"/>
                        </w:rPr>
                        <w:t>D.</w:t>
                      </w:r>
                      <w:r w:rsidRPr="003C2267">
                        <w:rPr>
                          <w:rFonts w:ascii="Arial" w:hAnsi="Arial"/>
                          <w:sz w:val="22"/>
                        </w:rPr>
                        <w:t xml:space="preserve"> Plaquette de l’action sociale en 2013...................................................</w:t>
                      </w:r>
                      <w:r>
                        <w:rPr>
                          <w:rFonts w:ascii="Arial" w:hAnsi="Arial"/>
                          <w:sz w:val="22"/>
                        </w:rPr>
                        <w:t>.176</w:t>
                      </w:r>
                    </w:p>
                    <w:p w:rsidR="007B1397" w:rsidRPr="003C2267" w:rsidRDefault="007B1397" w:rsidP="006933C4">
                      <w:pPr>
                        <w:rPr>
                          <w:rFonts w:ascii="Arial" w:hAnsi="Arial"/>
                          <w:sz w:val="22"/>
                        </w:rPr>
                      </w:pPr>
                      <w:r w:rsidRPr="003C2267">
                        <w:rPr>
                          <w:rFonts w:ascii="BlairMdITC TT-Medium" w:hAnsi="BlairMdITC TT-Medium"/>
                          <w:sz w:val="22"/>
                        </w:rPr>
                        <w:t>E.</w:t>
                      </w:r>
                      <w:r w:rsidRPr="003C2267">
                        <w:rPr>
                          <w:rFonts w:ascii="Arial" w:hAnsi="Arial"/>
                          <w:sz w:val="22"/>
                        </w:rPr>
                        <w:t xml:space="preserve"> Notice explicative de l’enquête RH EP.................................................</w:t>
                      </w:r>
                      <w:r>
                        <w:rPr>
                          <w:rFonts w:ascii="Arial" w:hAnsi="Arial"/>
                          <w:sz w:val="22"/>
                        </w:rPr>
                        <w:t>.180</w:t>
                      </w:r>
                    </w:p>
                    <w:p w:rsidR="007B1397" w:rsidRPr="000400D2" w:rsidRDefault="007B1397" w:rsidP="006933C4"/>
                  </w:txbxContent>
                </v:textbox>
                <w10:wrap type="tight"/>
              </v:shape>
            </w:pict>
          </mc:Fallback>
        </mc:AlternateContent>
      </w:r>
      <w:r>
        <w:rPr>
          <w:rFonts w:ascii="Arial Unicode MS" w:hAnsi="Arial Unicode MS"/>
          <w:noProof/>
          <w:sz w:val="28"/>
          <w:lang w:eastAsia="fr-FR"/>
        </w:rPr>
        <mc:AlternateContent>
          <mc:Choice Requires="wps">
            <w:drawing>
              <wp:anchor distT="0" distB="0" distL="114300" distR="114300" simplePos="0" relativeHeight="251667456" behindDoc="0" locked="0" layoutInCell="1" allowOverlap="1">
                <wp:simplePos x="0" y="0"/>
                <wp:positionH relativeFrom="column">
                  <wp:posOffset>219075</wp:posOffset>
                </wp:positionH>
                <wp:positionV relativeFrom="paragraph">
                  <wp:posOffset>185420</wp:posOffset>
                </wp:positionV>
                <wp:extent cx="914400" cy="914400"/>
                <wp:effectExtent l="5715" t="1270" r="3810" b="8255"/>
                <wp:wrapNone/>
                <wp:docPr id="2" name="Ellips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6FCF"/>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AE9A4C" id="Ellipse 2" o:spid="_x0000_s1026" style="position:absolute;margin-left:17.25pt;margin-top:14.6pt;width:1in;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" fillcolor="#ff6fcf" stroked="f" strokecolor="#4a7ebb" strokeweight="1.5pt">
                <v:shadow opacity="22938f" offset="0"/>
                <v:textbox inset=",7.2pt,,7.2pt"/>
              </v:oval>
            </w:pict>
          </mc:Fallback>
        </mc:AlternateContent>
      </w:r>
    </w:p>
    <w:p w:rsidR="006933C4" w:rsidRPr="00970EE3" w:rsidRDefault="006933C4" w:rsidP="006933C4">
      <w:pPr>
        <w:rPr>
          <w:rFonts w:ascii="Arial Unicode MS" w:hAnsi="Arial Unicode MS"/>
          <w:sz w:val="28"/>
        </w:rPr>
      </w:pPr>
      <w:r>
        <w:rPr>
          <w:rFonts w:ascii="Arial Unicode MS" w:hAnsi="Arial Unicode MS"/>
          <w:noProof/>
          <w:sz w:val="28"/>
          <w:lang w:eastAsia="fr-FR"/>
        </w:rPr>
        <mc:AlternateContent>
          <mc:Choice Requires="wps">
            <w:drawing>
              <wp:anchor distT="0" distB="0" distL="114300" distR="114300" simplePos="0" relativeHeight="251674624" behindDoc="0" locked="0" layoutInCell="1" allowOverlap="1">
                <wp:simplePos x="0" y="0"/>
                <wp:positionH relativeFrom="column">
                  <wp:posOffset>457200</wp:posOffset>
                </wp:positionH>
                <wp:positionV relativeFrom="paragraph">
                  <wp:posOffset>70485</wp:posOffset>
                </wp:positionV>
                <wp:extent cx="457200" cy="457200"/>
                <wp:effectExtent l="0" t="0" r="3810" b="381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 o:spid="_x0000_s1042" type="#_x0000_t202" style="position:absolute;margin-left:36pt;margin-top:5.55pt;width:36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" filled="f" stroked="f">
                <v:textbox inset=",7.2pt,,7.2pt">
                  <w:txbxContent>
                    <w:p w:rsidR="007B1397" w:rsidRPr="006071E8" w:rsidRDefault="007B1397" w:rsidP="006933C4">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8</w:t>
                      </w:r>
                    </w:p>
                  </w:txbxContent>
                </v:textbox>
              </v:shape>
            </w:pict>
          </mc:Fallback>
        </mc:AlternateContent>
      </w:r>
    </w:p>
    <w:p w:rsidR="006933C4" w:rsidRDefault="006933C4" w:rsidP="006933C4">
      <w:pPr>
        <w:rPr>
          <w:rFonts w:ascii="Arial Unicode MS" w:hAnsi="Arial Unicode MS"/>
          <w:sz w:val="28"/>
        </w:rPr>
      </w:pPr>
    </w:p>
    <w:p w:rsidR="006933C4" w:rsidRPr="00970EE3" w:rsidRDefault="006933C4" w:rsidP="006933C4">
      <w:pPr>
        <w:rPr>
          <w:rFonts w:ascii="Arial Unicode MS" w:hAnsi="Arial Unicode MS"/>
          <w:sz w:val="28"/>
        </w:rPr>
      </w:pPr>
    </w:p>
    <w:p w:rsidR="00C8652E" w:rsidRDefault="00C8652E" w:rsidP="00646BCA">
      <w:pPr>
        <w:tabs>
          <w:tab w:val="left" w:pos="1220"/>
        </w:tabs>
        <w:rPr>
          <w:rFonts w:ascii="Arial Unicode MS" w:eastAsia="Cambria" w:hAnsi="Arial Unicode MS" w:cs="Times New Roman"/>
          <w:sz w:val="28"/>
        </w:rPr>
        <w:sectPr w:rsidR="00C8652E" w:rsidSect="00D1704E">
          <w:headerReference w:type="even" r:id="rId20"/>
          <w:footerReference w:type="even" r:id="rId21"/>
          <w:footerReference w:type="default" r:id="rId22"/>
          <w:footerReference w:type="first" r:id="rId23"/>
          <w:pgSz w:w="11906" w:h="16838"/>
          <w:pgMar w:top="1417" w:right="1417" w:bottom="1417" w:left="1417" w:header="709" w:footer="708" w:gutter="0"/>
          <w:cols w:space="708"/>
          <w:titlePg/>
          <w:docGrid w:linePitch="360"/>
        </w:sectPr>
      </w:pPr>
    </w:p>
    <w:p w:rsidR="00646BCA" w:rsidRPr="00C363EE" w:rsidRDefault="00646BCA" w:rsidP="00646BCA">
      <w:pPr>
        <w:tabs>
          <w:tab w:val="left" w:pos="1220"/>
        </w:tabs>
        <w:rPr>
          <w:rFonts w:ascii="Arial Unicode MS" w:eastAsia="Cambria" w:hAnsi="Arial Unicode MS" w:cs="Times New Roman"/>
          <w:sz w:val="28"/>
        </w:rPr>
      </w:pPr>
      <w:r>
        <w:rPr>
          <w:rFonts w:ascii="Arial Unicode MS" w:eastAsia="Cambria" w:hAnsi="Arial Unicode MS" w:cs="Times New Roman"/>
          <w:noProof/>
          <w:sz w:val="28"/>
          <w:lang w:eastAsia="fr-FR"/>
        </w:rPr>
        <w:lastRenderedPageBreak/>
        <mc:AlternateContent>
          <mc:Choice Requires="wps">
            <w:drawing>
              <wp:anchor distT="0" distB="0" distL="114300" distR="114300" simplePos="0" relativeHeight="251696128" behindDoc="0" locked="0" layoutInCell="1" allowOverlap="1" wp14:anchorId="3D1CE570" wp14:editId="189AD6D3">
                <wp:simplePos x="0" y="0"/>
                <wp:positionH relativeFrom="column">
                  <wp:posOffset>199390</wp:posOffset>
                </wp:positionH>
                <wp:positionV relativeFrom="paragraph">
                  <wp:posOffset>8255</wp:posOffset>
                </wp:positionV>
                <wp:extent cx="457200" cy="457200"/>
                <wp:effectExtent l="0" t="0" r="0" b="0"/>
                <wp:wrapTight wrapText="bothSides">
                  <wp:wrapPolygon edited="0">
                    <wp:start x="0" y="0"/>
                    <wp:lineTo x="21600" y="0"/>
                    <wp:lineTo x="21600" y="21600"/>
                    <wp:lineTo x="0" y="21600"/>
                    <wp:lineTo x="0" y="0"/>
                  </wp:wrapPolygon>
                </wp:wrapTight>
                <wp:docPr id="64" name="Zone de text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646BCA">
                            <w:pPr>
                              <w:jc w:val="center"/>
                              <w:rPr>
                                <w:rFonts w:ascii="Apple Casual" w:eastAsia="GB18030 Bitmap" w:hAnsi="Apple Casual"/>
                                <w:b/>
                                <w:color w:val="FFFFFF" w:themeColor="background1"/>
                                <w:sz w:val="48"/>
                              </w:rPr>
                            </w:pPr>
                            <w:r w:rsidRPr="006071E8">
                              <w:rPr>
                                <w:rFonts w:ascii="Apple Casual" w:eastAsia="GB18030 Bitmap" w:hAnsi="Apple Casual"/>
                                <w:b/>
                                <w:color w:val="FFFFFF" w:themeColor="background1"/>
                                <w:sz w:val="48"/>
                              </w:rPr>
                              <w:t>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CE570" id="Zone de texte 64" o:spid="_x0000_s1043" type="#_x0000_t202" style="position:absolute;margin-left:15.7pt;margin-top:.65pt;width:36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" filled="f" stroked="f">
                <v:textbox inset=",7.2pt,,7.2pt">
                  <w:txbxContent>
                    <w:p w:rsidR="007B1397" w:rsidRPr="006071E8" w:rsidRDefault="007B1397" w:rsidP="00646BCA">
                      <w:pPr>
                        <w:jc w:val="center"/>
                        <w:rPr>
                          <w:rFonts w:ascii="Apple Casual" w:eastAsia="GB18030 Bitmap" w:hAnsi="Apple Casual"/>
                          <w:b/>
                          <w:color w:val="FFFFFF" w:themeColor="background1"/>
                          <w:sz w:val="48"/>
                        </w:rPr>
                      </w:pPr>
                      <w:r w:rsidRPr="006071E8">
                        <w:rPr>
                          <w:rFonts w:ascii="Apple Casual" w:eastAsia="GB18030 Bitmap" w:hAnsi="Apple Casual"/>
                          <w:b/>
                          <w:color w:val="FFFFFF" w:themeColor="background1"/>
                          <w:sz w:val="48"/>
                        </w:rPr>
                        <w:t>1</w:t>
                      </w:r>
                    </w:p>
                  </w:txbxContent>
                </v:textbox>
                <w10:wrap type="tight"/>
              </v:shape>
            </w:pict>
          </mc:Fallback>
        </mc:AlternateContent>
      </w:r>
      <w:r>
        <w:rPr>
          <w:rFonts w:ascii="Arial Unicode MS" w:eastAsia="Cambria" w:hAnsi="Arial Unicode MS" w:cs="Times New Roman"/>
          <w:noProof/>
          <w:sz w:val="28"/>
          <w:lang w:eastAsia="fr-FR"/>
        </w:rPr>
        <mc:AlternateContent>
          <mc:Choice Requires="wps">
            <w:drawing>
              <wp:anchor distT="0" distB="0" distL="114300" distR="114300" simplePos="0" relativeHeight="251695104" behindDoc="0" locked="0" layoutInCell="1" allowOverlap="1" wp14:anchorId="2208EB7E" wp14:editId="4B3F1884">
                <wp:simplePos x="0" y="0"/>
                <wp:positionH relativeFrom="column">
                  <wp:posOffset>-32385</wp:posOffset>
                </wp:positionH>
                <wp:positionV relativeFrom="paragraph">
                  <wp:posOffset>-229870</wp:posOffset>
                </wp:positionV>
                <wp:extent cx="904875" cy="904875"/>
                <wp:effectExtent l="0" t="0" r="9525" b="9525"/>
                <wp:wrapNone/>
                <wp:docPr id="63" name="Ellips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904875"/>
                        </a:xfrm>
                        <a:prstGeom prst="ellipse">
                          <a:avLst/>
                        </a:prstGeom>
                        <a:solidFill>
                          <a:srgbClr val="E917DF"/>
                        </a:solidFill>
                        <a:ln>
                          <a:noFill/>
                        </a:ln>
                        <a:effectLst/>
                        <a:extLst/>
                      </wps:spPr>
                      <wps:txbx>
                        <w:txbxContent>
                          <w:p w:rsidR="007B1397" w:rsidRPr="00393932" w:rsidRDefault="007B1397" w:rsidP="00646BCA">
                            <w:pPr>
                              <w:spacing w:line="144" w:lineRule="auto"/>
                              <w:jc w:val="center"/>
                              <w:rPr>
                                <w:color w:val="FF008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08EB7E" id="Ellipse 63" o:spid="_x0000_s1044" style="position:absolute;margin-left:-2.55pt;margin-top:-18.1pt;width:71.25pt;height:7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" fillcolor="#e917df" stroked="f">
                <v:textbox inset=",7.2pt,,7.2pt">
                  <w:txbxContent>
                    <w:p w:rsidR="007B1397" w:rsidRPr="00393932" w:rsidRDefault="007B1397" w:rsidP="00646BCA">
                      <w:pPr>
                        <w:spacing w:line="144" w:lineRule="auto"/>
                        <w:jc w:val="center"/>
                        <w:rPr>
                          <w:color w:val="FF0080"/>
                        </w:rPr>
                      </w:pPr>
                    </w:p>
                  </w:txbxContent>
                </v:textbox>
              </v:oval>
            </w:pict>
          </mc:Fallback>
        </mc:AlternateContent>
      </w:r>
    </w:p>
    <w:p w:rsidR="00646BCA" w:rsidRPr="00C363EE" w:rsidRDefault="00646BCA" w:rsidP="00646BCA">
      <w:pPr>
        <w:tabs>
          <w:tab w:val="left" w:pos="1220"/>
        </w:tabs>
        <w:rPr>
          <w:rFonts w:ascii="Arial Unicode MS" w:eastAsia="Cambria" w:hAnsi="Arial Unicode MS" w:cs="Times New Roman"/>
          <w:sz w:val="28"/>
        </w:rPr>
      </w:pPr>
      <w:r>
        <w:rPr>
          <w:rFonts w:ascii="Arial Unicode MS" w:eastAsia="Cambria" w:hAnsi="Arial Unicode MS" w:cs="Times New Roman"/>
          <w:sz w:val="28"/>
        </w:rPr>
        <w:tab/>
      </w:r>
    </w:p>
    <w:p w:rsidR="00646BCA" w:rsidRPr="00C363EE" w:rsidRDefault="00646BCA" w:rsidP="00646BCA">
      <w:pPr>
        <w:tabs>
          <w:tab w:val="left" w:pos="1220"/>
        </w:tabs>
        <w:rPr>
          <w:rFonts w:ascii="Arial Unicode MS" w:eastAsia="Cambria" w:hAnsi="Arial Unicode MS" w:cs="Times New Roman"/>
          <w:sz w:val="28"/>
        </w:rPr>
      </w:pPr>
    </w:p>
    <w:p w:rsidR="00646BCA" w:rsidRPr="009F6977" w:rsidRDefault="00646BCA" w:rsidP="00646BCA">
      <w:pPr>
        <w:tabs>
          <w:tab w:val="left" w:pos="1220"/>
        </w:tabs>
        <w:rPr>
          <w:rFonts w:ascii="Florencesans Exp" w:eastAsia="Cambria" w:hAnsi="Florencesans Exp" w:cs="Times New Roman"/>
          <w:b/>
          <w:color w:val="E917DF"/>
          <w:sz w:val="60"/>
          <w:szCs w:val="60"/>
        </w:rPr>
      </w:pPr>
      <w:r w:rsidRPr="009F6977">
        <w:rPr>
          <w:rFonts w:ascii="Florencesans Exp" w:eastAsia="Cambria" w:hAnsi="Florencesans Exp" w:cs="Times New Roman"/>
          <w:b/>
          <w:color w:val="E917DF"/>
          <w:sz w:val="60"/>
          <w:szCs w:val="60"/>
        </w:rPr>
        <w:t>EMPLOIS ET EFFECTIFS</w:t>
      </w:r>
    </w:p>
    <w:p w:rsidR="00646BCA" w:rsidRPr="00C363EE" w:rsidRDefault="00646BCA" w:rsidP="00646BCA">
      <w:pPr>
        <w:rPr>
          <w:rFonts w:ascii="Arial Unicode MS" w:eastAsia="Cambria" w:hAnsi="Arial Unicode MS" w:cs="Times New Roman"/>
          <w:sz w:val="28"/>
        </w:rPr>
      </w:pPr>
    </w:p>
    <w:p w:rsidR="00646BCA" w:rsidRPr="00C363EE" w:rsidRDefault="00D3228D" w:rsidP="00646BCA">
      <w:pPr>
        <w:rPr>
          <w:rFonts w:ascii="Arial Unicode MS" w:eastAsia="Cambria" w:hAnsi="Arial Unicode MS" w:cs="Times New Roman"/>
          <w:sz w:val="28"/>
        </w:rPr>
      </w:pPr>
      <w:r w:rsidRPr="00C363EE">
        <w:rPr>
          <w:rFonts w:ascii="Arial Unicode MS" w:eastAsia="Cambria" w:hAnsi="Arial Unicode MS" w:cs="Times New Roman"/>
          <w:noProof/>
          <w:sz w:val="28"/>
          <w:lang w:eastAsia="fr-FR"/>
        </w:rPr>
        <mc:AlternateContent>
          <mc:Choice Requires="wps">
            <w:drawing>
              <wp:anchor distT="0" distB="0" distL="114300" distR="114300" simplePos="0" relativeHeight="251694080" behindDoc="0" locked="0" layoutInCell="1" allowOverlap="1" wp14:anchorId="18F38EA3" wp14:editId="52B3B7AA">
                <wp:simplePos x="0" y="0"/>
                <wp:positionH relativeFrom="margin">
                  <wp:posOffset>151765</wp:posOffset>
                </wp:positionH>
                <wp:positionV relativeFrom="paragraph">
                  <wp:posOffset>269875</wp:posOffset>
                </wp:positionV>
                <wp:extent cx="3200400" cy="6964680"/>
                <wp:effectExtent l="0" t="0" r="0" b="0"/>
                <wp:wrapTight wrapText="bothSides">
                  <wp:wrapPolygon edited="0">
                    <wp:start x="257" y="177"/>
                    <wp:lineTo x="257" y="21387"/>
                    <wp:lineTo x="21214" y="21387"/>
                    <wp:lineTo x="21214" y="177"/>
                    <wp:lineTo x="257" y="177"/>
                  </wp:wrapPolygon>
                </wp:wrapTight>
                <wp:docPr id="61" name="Zone de 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696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Le Ministère de la Culture et de la Communication (MCC) est soumis, comme tous les autres ministères, à la maîtrise de ses effectifs et à la réduction des dépenses de personnel.</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En 2013, et sur le T2 le MCC connaît une baisse des effectifs similaire à celle de 2012 : elle s’élève -0,5%.</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Toutefois, pour compenser les flux de départs, et notamment les départs en retraites (361 ETP en 2013 représentants près de 47 % des sorties), le MCC intègre de nouveaux agents chaque année.</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Concernant les différents modes de recrutement, l’année 2013 est marquée par le fait que les entrées par concours constituent le premier mode d’entrée au sein du MCC, devant les entrées par contrats et retour de situations interruptives. Cette tendance est fortement confirmée en 2014.</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Par ailleurs, le MCC a également intégré 33 agents reconnus en qualité de travailleurs handicapés et a donc respecté son obligation légale (correspondant à 32 recrutements en 2013).</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Les données relatives aux emplois et effectifs des opérateurs du MCC (T3) proviennent d’une enquête spécifique menée par le bureau de l’emploi et de la politique de rémunération (BER), auprès de l’ensemble des établissements publics Les données sont p</w:t>
                            </w:r>
                            <w:r>
                              <w:rPr>
                                <w:rFonts w:ascii="Arial" w:hAnsi="Arial" w:cs="Times"/>
                                <w:sz w:val="22"/>
                                <w:szCs w:val="22"/>
                              </w:rPr>
                              <w:t>résentées de façon partielle, 87</w:t>
                            </w:r>
                            <w:r w:rsidRPr="00014880">
                              <w:rPr>
                                <w:rFonts w:ascii="Arial" w:hAnsi="Arial" w:cs="Times"/>
                                <w:sz w:val="22"/>
                                <w:szCs w:val="22"/>
                              </w:rPr>
                              <w:t>% des opérateurs ont répondu à cette enquête.</w:t>
                            </w:r>
                          </w:p>
                          <w:p w:rsidR="007B1397" w:rsidRDefault="007B1397" w:rsidP="00AE35BC">
                            <w:pPr>
                              <w:spacing w:after="160"/>
                              <w:jc w:val="both"/>
                              <w:rPr>
                                <w:rFonts w:ascii="Arial" w:hAnsi="Arial" w:cs="Times"/>
                                <w:sz w:val="22"/>
                                <w:szCs w:val="22"/>
                              </w:rPr>
                            </w:pPr>
                          </w:p>
                          <w:p w:rsidR="007B1397" w:rsidRPr="00AE35BC" w:rsidRDefault="007B1397" w:rsidP="00AE35BC">
                            <w:pPr>
                              <w:spacing w:after="160"/>
                              <w:jc w:val="both"/>
                              <w:rPr>
                                <w:rFonts w:ascii="Arial" w:hAnsi="Arial" w:cs="Times"/>
                                <w:sz w:val="22"/>
                                <w:szCs w:val="22"/>
                              </w:rPr>
                            </w:pPr>
                            <w:r w:rsidRPr="00AE35BC">
                              <w:rPr>
                                <w:rFonts w:ascii="Arial" w:hAnsi="Arial" w:cs="Times"/>
                                <w:sz w:val="22"/>
                                <w:szCs w:val="22"/>
                              </w:rPr>
                              <w:t>Les unités de dénombrement utilisées pour les effectifs sont l’</w:t>
                            </w:r>
                            <w:r w:rsidRPr="00AE35BC">
                              <w:rPr>
                                <w:rFonts w:ascii="Arial" w:hAnsi="Arial" w:cs="Times"/>
                                <w:b/>
                                <w:sz w:val="22"/>
                                <w:szCs w:val="22"/>
                              </w:rPr>
                              <w:t>ETP</w:t>
                            </w:r>
                            <w:r w:rsidRPr="00AE35BC">
                              <w:rPr>
                                <w:rFonts w:ascii="Arial" w:hAnsi="Arial" w:cs="Times"/>
                                <w:sz w:val="22"/>
                                <w:szCs w:val="22"/>
                              </w:rPr>
                              <w:t xml:space="preserve"> et l’</w:t>
                            </w:r>
                            <w:r w:rsidRPr="00AE35BC">
                              <w:rPr>
                                <w:rFonts w:ascii="Arial" w:hAnsi="Arial" w:cs="Times"/>
                                <w:b/>
                                <w:sz w:val="22"/>
                                <w:szCs w:val="22"/>
                              </w:rPr>
                              <w:t>ETPT</w:t>
                            </w:r>
                            <w:r w:rsidRPr="00AE35BC">
                              <w:rPr>
                                <w:rFonts w:ascii="Arial" w:hAnsi="Arial" w:cs="Times"/>
                                <w:sz w:val="22"/>
                                <w:szCs w:val="22"/>
                              </w:rPr>
                              <w:t>. L’équivalent temps plein est une unité de décompte proportionnelle à l’activité de l’agent, mesurée pa</w:t>
                            </w:r>
                            <w:r>
                              <w:rPr>
                                <w:rFonts w:ascii="Arial" w:hAnsi="Arial" w:cs="Times"/>
                                <w:sz w:val="22"/>
                                <w:szCs w:val="22"/>
                              </w:rPr>
                              <w:t>r sa quotité de temps travaillée</w:t>
                            </w:r>
                            <w:r w:rsidRPr="00AE35BC">
                              <w:rPr>
                                <w:rFonts w:ascii="Arial" w:hAnsi="Arial" w:cs="Times"/>
                                <w:sz w:val="22"/>
                                <w:szCs w:val="22"/>
                              </w:rPr>
                              <w:t>.</w:t>
                            </w:r>
                            <w:r>
                              <w:rPr>
                                <w:rFonts w:ascii="Arial" w:hAnsi="Arial" w:cs="Times"/>
                                <w:sz w:val="22"/>
                                <w:szCs w:val="22"/>
                              </w:rPr>
                              <w:t xml:space="preserve"> </w:t>
                            </w:r>
                            <w:r w:rsidRPr="00AE35BC">
                              <w:rPr>
                                <w:rFonts w:ascii="Arial" w:hAnsi="Arial" w:cs="Times"/>
                                <w:sz w:val="22"/>
                                <w:szCs w:val="22"/>
                              </w:rPr>
                              <w:t>L’équivalent temps plein travaillé est une unité de décompte proportionnelle à l’activité de l’agent, mesurée par sa quotité de temps travaillée et par sa période d’activité dans l’année : Effectifs physiques x Quotité de temps de travail x Période d’activité dans l’année.</w:t>
                            </w:r>
                            <w:r>
                              <w:rPr>
                                <w:rFonts w:ascii="Arial" w:hAnsi="Arial" w:cs="Times"/>
                                <w:sz w:val="22"/>
                                <w:szCs w:val="22"/>
                              </w:rPr>
                              <w:t xml:space="preserve"> </w:t>
                            </w:r>
                          </w:p>
                          <w:p w:rsidR="007B1397" w:rsidRPr="00920C76" w:rsidRDefault="007B1397" w:rsidP="00646BCA">
                            <w:pPr>
                              <w:widowControl w:val="0"/>
                              <w:autoSpaceDE w:val="0"/>
                              <w:autoSpaceDN w:val="0"/>
                              <w:adjustRightInd w:val="0"/>
                              <w:jc w:val="both"/>
                              <w:rPr>
                                <w:rFonts w:ascii="Arial" w:hAnsi="Arial" w:cs="Times"/>
                              </w:rPr>
                            </w:pPr>
                          </w:p>
                          <w:p w:rsidR="007B1397" w:rsidRPr="00920C76" w:rsidRDefault="007B1397" w:rsidP="00646BCA">
                            <w:pPr>
                              <w:jc w:val="both"/>
                              <w:rPr>
                                <w:rFonts w:ascii="Arial" w:hAnsi="Arial"/>
                              </w:rPr>
                            </w:pPr>
                          </w:p>
                          <w:p w:rsidR="007B1397" w:rsidRPr="00920C76" w:rsidRDefault="007B1397" w:rsidP="00646BCA">
                            <w:pPr>
                              <w:jc w:val="both"/>
                              <w:rPr>
                                <w:rFonts w:ascii="Arial" w:hAnsi="Arial"/>
                              </w:rPr>
                            </w:pPr>
                          </w:p>
                          <w:p w:rsidR="007B1397" w:rsidRPr="00920C76" w:rsidRDefault="007B1397" w:rsidP="00646BCA">
                            <w:pPr>
                              <w:jc w:val="both"/>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38EA3" id="Zone de texte 61" o:spid="_x0000_s1045" type="#_x0000_t202" style="position:absolute;margin-left:11.95pt;margin-top:21.25pt;width:252pt;height:548.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" filled="f" stroked="f">
                <v:textbox inset=",7.2pt,,7.2pt">
                  <w:txbxContent>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Le Ministère de la Culture et de la Communication (MCC) est soumis, comme tous les autres ministères, à la maîtrise de ses effectifs et à la réduction des dépenses de personnel.</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En 2013, et sur le T2 le MCC connaît une baisse des effectifs similaire à celle de 2012 : elle s’élève -0,5%.</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Toutefois, pour compenser les flux de départs, et notamment les départs en retraites (361 ETP en 2013 représentants près de 47 % des sorties), le MCC intègre de nouveaux agents chaque année.</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Concernant les différents modes de recrutement, l’année 2013 est marquée par le fait que les entrées par concours constituent le premier mode d’entrée au sein du MCC, devant les entrées par contrats et retour de situations interruptives. Cette tendance est fortement confirmée en 2014.</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Par ailleurs, le MCC a également intégré 33 agents reconnus en qualité de travailleurs handicapés et a donc respecté son obligation légale (correspondant à 32 recrutements en 2013).</w:t>
                      </w:r>
                    </w:p>
                    <w:p w:rsidR="007B1397" w:rsidRPr="00014880" w:rsidRDefault="007B1397" w:rsidP="00646BCA">
                      <w:pPr>
                        <w:widowControl w:val="0"/>
                        <w:autoSpaceDE w:val="0"/>
                        <w:autoSpaceDN w:val="0"/>
                        <w:adjustRightInd w:val="0"/>
                        <w:jc w:val="both"/>
                        <w:rPr>
                          <w:rFonts w:ascii="Arial" w:hAnsi="Arial" w:cs="Times"/>
                          <w:sz w:val="22"/>
                          <w:szCs w:val="22"/>
                        </w:rPr>
                      </w:pPr>
                      <w:r w:rsidRPr="00014880">
                        <w:rPr>
                          <w:rFonts w:ascii="Arial" w:hAnsi="Arial" w:cs="Times"/>
                          <w:sz w:val="22"/>
                          <w:szCs w:val="22"/>
                        </w:rPr>
                        <w:t>Les données relatives aux emplois et effectifs des opérateurs du MCC (T3) proviennent d’une enquête spécifique menée par le bureau de l’emploi et de la politique de rémunération (BER), auprès de l’ensemble des établissements publics Les données sont p</w:t>
                      </w:r>
                      <w:r>
                        <w:rPr>
                          <w:rFonts w:ascii="Arial" w:hAnsi="Arial" w:cs="Times"/>
                          <w:sz w:val="22"/>
                          <w:szCs w:val="22"/>
                        </w:rPr>
                        <w:t>résentées de façon partielle, 87</w:t>
                      </w:r>
                      <w:r w:rsidRPr="00014880">
                        <w:rPr>
                          <w:rFonts w:ascii="Arial" w:hAnsi="Arial" w:cs="Times"/>
                          <w:sz w:val="22"/>
                          <w:szCs w:val="22"/>
                        </w:rPr>
                        <w:t>% des opérateurs ont répondu à cette enquête.</w:t>
                      </w:r>
                    </w:p>
                    <w:p w:rsidR="007B1397" w:rsidRDefault="007B1397" w:rsidP="00AE35BC">
                      <w:pPr>
                        <w:spacing w:after="160"/>
                        <w:jc w:val="both"/>
                        <w:rPr>
                          <w:rFonts w:ascii="Arial" w:hAnsi="Arial" w:cs="Times"/>
                          <w:sz w:val="22"/>
                          <w:szCs w:val="22"/>
                        </w:rPr>
                      </w:pPr>
                    </w:p>
                    <w:p w:rsidR="007B1397" w:rsidRPr="00AE35BC" w:rsidRDefault="007B1397" w:rsidP="00AE35BC">
                      <w:pPr>
                        <w:spacing w:after="160"/>
                        <w:jc w:val="both"/>
                        <w:rPr>
                          <w:rFonts w:ascii="Arial" w:hAnsi="Arial" w:cs="Times"/>
                          <w:sz w:val="22"/>
                          <w:szCs w:val="22"/>
                        </w:rPr>
                      </w:pPr>
                      <w:r w:rsidRPr="00AE35BC">
                        <w:rPr>
                          <w:rFonts w:ascii="Arial" w:hAnsi="Arial" w:cs="Times"/>
                          <w:sz w:val="22"/>
                          <w:szCs w:val="22"/>
                        </w:rPr>
                        <w:t>Les unités de dénombrement utilisées pour les effectifs sont l’</w:t>
                      </w:r>
                      <w:r w:rsidRPr="00AE35BC">
                        <w:rPr>
                          <w:rFonts w:ascii="Arial" w:hAnsi="Arial" w:cs="Times"/>
                          <w:b/>
                          <w:sz w:val="22"/>
                          <w:szCs w:val="22"/>
                        </w:rPr>
                        <w:t>ETP</w:t>
                      </w:r>
                      <w:r w:rsidRPr="00AE35BC">
                        <w:rPr>
                          <w:rFonts w:ascii="Arial" w:hAnsi="Arial" w:cs="Times"/>
                          <w:sz w:val="22"/>
                          <w:szCs w:val="22"/>
                        </w:rPr>
                        <w:t xml:space="preserve"> et l’</w:t>
                      </w:r>
                      <w:r w:rsidRPr="00AE35BC">
                        <w:rPr>
                          <w:rFonts w:ascii="Arial" w:hAnsi="Arial" w:cs="Times"/>
                          <w:b/>
                          <w:sz w:val="22"/>
                          <w:szCs w:val="22"/>
                        </w:rPr>
                        <w:t>ETPT</w:t>
                      </w:r>
                      <w:r w:rsidRPr="00AE35BC">
                        <w:rPr>
                          <w:rFonts w:ascii="Arial" w:hAnsi="Arial" w:cs="Times"/>
                          <w:sz w:val="22"/>
                          <w:szCs w:val="22"/>
                        </w:rPr>
                        <w:t>. L’équivalent temps plein est une unité de décompte proportionnelle à l’activité de l’agent, mesurée pa</w:t>
                      </w:r>
                      <w:r>
                        <w:rPr>
                          <w:rFonts w:ascii="Arial" w:hAnsi="Arial" w:cs="Times"/>
                          <w:sz w:val="22"/>
                          <w:szCs w:val="22"/>
                        </w:rPr>
                        <w:t>r sa quotité de temps travaillée</w:t>
                      </w:r>
                      <w:r w:rsidRPr="00AE35BC">
                        <w:rPr>
                          <w:rFonts w:ascii="Arial" w:hAnsi="Arial" w:cs="Times"/>
                          <w:sz w:val="22"/>
                          <w:szCs w:val="22"/>
                        </w:rPr>
                        <w:t>.</w:t>
                      </w:r>
                      <w:r>
                        <w:rPr>
                          <w:rFonts w:ascii="Arial" w:hAnsi="Arial" w:cs="Times"/>
                          <w:sz w:val="22"/>
                          <w:szCs w:val="22"/>
                        </w:rPr>
                        <w:t xml:space="preserve"> </w:t>
                      </w:r>
                      <w:r w:rsidRPr="00AE35BC">
                        <w:rPr>
                          <w:rFonts w:ascii="Arial" w:hAnsi="Arial" w:cs="Times"/>
                          <w:sz w:val="22"/>
                          <w:szCs w:val="22"/>
                        </w:rPr>
                        <w:t>L’équivalent temps plein travaillé est une unité de décompte proportionnelle à l’activité de l’agent, mesurée par sa quotité de temps travaillée et par sa période d’activité dans l’année : Effectifs physiques x Quotité de temps de travail x Période d’activité dans l’année.</w:t>
                      </w:r>
                      <w:r>
                        <w:rPr>
                          <w:rFonts w:ascii="Arial" w:hAnsi="Arial" w:cs="Times"/>
                          <w:sz w:val="22"/>
                          <w:szCs w:val="22"/>
                        </w:rPr>
                        <w:t xml:space="preserve"> </w:t>
                      </w:r>
                    </w:p>
                    <w:p w:rsidR="007B1397" w:rsidRPr="00920C76" w:rsidRDefault="007B1397" w:rsidP="00646BCA">
                      <w:pPr>
                        <w:widowControl w:val="0"/>
                        <w:autoSpaceDE w:val="0"/>
                        <w:autoSpaceDN w:val="0"/>
                        <w:adjustRightInd w:val="0"/>
                        <w:jc w:val="both"/>
                        <w:rPr>
                          <w:rFonts w:ascii="Arial" w:hAnsi="Arial" w:cs="Times"/>
                        </w:rPr>
                      </w:pPr>
                    </w:p>
                    <w:p w:rsidR="007B1397" w:rsidRPr="00920C76" w:rsidRDefault="007B1397" w:rsidP="00646BCA">
                      <w:pPr>
                        <w:jc w:val="both"/>
                        <w:rPr>
                          <w:rFonts w:ascii="Arial" w:hAnsi="Arial"/>
                        </w:rPr>
                      </w:pPr>
                    </w:p>
                    <w:p w:rsidR="007B1397" w:rsidRPr="00920C76" w:rsidRDefault="007B1397" w:rsidP="00646BCA">
                      <w:pPr>
                        <w:jc w:val="both"/>
                        <w:rPr>
                          <w:rFonts w:ascii="Arial" w:hAnsi="Arial"/>
                        </w:rPr>
                      </w:pPr>
                    </w:p>
                    <w:p w:rsidR="007B1397" w:rsidRPr="00920C76" w:rsidRDefault="007B1397" w:rsidP="00646BCA">
                      <w:pPr>
                        <w:jc w:val="both"/>
                        <w:rPr>
                          <w:rFonts w:ascii="Arial" w:hAnsi="Arial"/>
                        </w:rPr>
                      </w:pPr>
                    </w:p>
                  </w:txbxContent>
                </v:textbox>
                <w10:wrap type="tight" anchorx="margin"/>
              </v:shape>
            </w:pict>
          </mc:Fallback>
        </mc:AlternateContent>
      </w:r>
      <w:r w:rsidR="003645BD" w:rsidRPr="00C363EE">
        <w:rPr>
          <w:rFonts w:ascii="Arial Unicode MS" w:eastAsia="Cambria" w:hAnsi="Arial Unicode MS" w:cs="Times New Roman"/>
          <w:noProof/>
          <w:sz w:val="28"/>
          <w:lang w:eastAsia="fr-FR"/>
        </w:rPr>
        <mc:AlternateContent>
          <mc:Choice Requires="wps">
            <w:drawing>
              <wp:anchor distT="0" distB="0" distL="114300" distR="114300" simplePos="0" relativeHeight="251693056" behindDoc="0" locked="0" layoutInCell="1" allowOverlap="1" wp14:anchorId="1010FB1F" wp14:editId="767E9C1D">
                <wp:simplePos x="0" y="0"/>
                <wp:positionH relativeFrom="column">
                  <wp:posOffset>3421380</wp:posOffset>
                </wp:positionH>
                <wp:positionV relativeFrom="page">
                  <wp:posOffset>2941955</wp:posOffset>
                </wp:positionV>
                <wp:extent cx="2943225" cy="7056755"/>
                <wp:effectExtent l="0" t="0" r="28575" b="10795"/>
                <wp:wrapTight wrapText="bothSides">
                  <wp:wrapPolygon edited="0">
                    <wp:start x="0" y="0"/>
                    <wp:lineTo x="0" y="21575"/>
                    <wp:lineTo x="21670" y="21575"/>
                    <wp:lineTo x="21670" y="0"/>
                    <wp:lineTo x="0" y="0"/>
                  </wp:wrapPolygon>
                </wp:wrapTight>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7056755"/>
                        </a:xfrm>
                        <a:prstGeom prst="rect">
                          <a:avLst/>
                        </a:prstGeom>
                        <a:noFill/>
                        <a:ln w="19050">
                          <a:solidFill>
                            <a:srgbClr val="808080"/>
                          </a:solidFill>
                          <a:miter lim="800000"/>
                          <a:headEnd/>
                          <a:tailEnd/>
                        </a:ln>
                        <a:effectLst/>
                        <a:extLst>
                          <a:ext uri="{909E8E84-426E-40DD-AFC4-6F175D3DCCD1}">
                            <a14:hiddenFill xmlns:a14="http://schemas.microsoft.com/office/drawing/2010/main">
                              <a:solidFill>
                                <a:srgbClr val="008080">
                                  <a:alpha val="39999"/>
                                </a:srgbClr>
                              </a:soli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7B1397" w:rsidRPr="00E772B8" w:rsidRDefault="007B1397" w:rsidP="00646BCA">
                            <w:pPr>
                              <w:jc w:val="center"/>
                              <w:rPr>
                                <w:b/>
                                <w:sz w:val="18"/>
                              </w:rPr>
                            </w:pPr>
                          </w:p>
                          <w:p w:rsidR="007B1397" w:rsidRPr="0022082C" w:rsidRDefault="007B1397" w:rsidP="00646BCA">
                            <w:pPr>
                              <w:jc w:val="center"/>
                              <w:rPr>
                                <w:rFonts w:ascii="Arial" w:hAnsi="Arial"/>
                                <w:b/>
                                <w:color w:val="E917DF"/>
                                <w:sz w:val="32"/>
                              </w:rPr>
                            </w:pPr>
                            <w:r w:rsidRPr="0022082C">
                              <w:rPr>
                                <w:rFonts w:ascii="Arial" w:hAnsi="Arial"/>
                                <w:b/>
                                <w:color w:val="E917DF"/>
                                <w:sz w:val="32"/>
                              </w:rPr>
                              <w:t>Chiffres clés</w:t>
                            </w:r>
                          </w:p>
                          <w:p w:rsidR="007B1397" w:rsidRDefault="007B1397" w:rsidP="005A5F27">
                            <w:pPr>
                              <w:rPr>
                                <w:rFonts w:ascii="Arial" w:hAnsi="Arial"/>
                                <w:b/>
                              </w:rPr>
                            </w:pPr>
                          </w:p>
                          <w:p w:rsidR="007B1397" w:rsidRDefault="007B1397" w:rsidP="00646BCA">
                            <w:pPr>
                              <w:rPr>
                                <w:rFonts w:ascii="Arial" w:hAnsi="Arial"/>
                                <w:b/>
                              </w:rPr>
                            </w:pPr>
                            <w:r>
                              <w:rPr>
                                <w:rFonts w:ascii="Arial" w:hAnsi="Arial"/>
                                <w:b/>
                              </w:rPr>
                              <w:t>Sur le T2 et le T3 :</w:t>
                            </w:r>
                            <w:r>
                              <w:rPr>
                                <w:rFonts w:ascii="Arial" w:hAnsi="Arial"/>
                                <w:b/>
                              </w:rPr>
                              <w:tab/>
                              <w:t xml:space="preserve"> </w:t>
                            </w:r>
                          </w:p>
                          <w:p w:rsidR="007B1397" w:rsidRDefault="007B1397" w:rsidP="00F43203">
                            <w:pPr>
                              <w:ind w:firstLine="708"/>
                              <w:rPr>
                                <w:rFonts w:ascii="Arial" w:hAnsi="Arial"/>
                                <w:b/>
                              </w:rPr>
                            </w:pPr>
                            <w:r w:rsidRPr="00F43203">
                              <w:rPr>
                                <w:rFonts w:ascii="Arial" w:hAnsi="Arial"/>
                                <w:b/>
                                <w:color w:val="E917DF"/>
                                <w:sz w:val="32"/>
                              </w:rPr>
                              <w:t>29 131</w:t>
                            </w:r>
                            <w:r>
                              <w:rPr>
                                <w:rFonts w:ascii="Arial" w:hAnsi="Arial"/>
                                <w:b/>
                              </w:rPr>
                              <w:t xml:space="preserve"> ETPT présents au cours de l’année 2013</w:t>
                            </w:r>
                          </w:p>
                          <w:p w:rsidR="007B1397" w:rsidRDefault="007B1397" w:rsidP="00F43203">
                            <w:pPr>
                              <w:ind w:firstLine="708"/>
                              <w:rPr>
                                <w:rFonts w:ascii="Arial" w:hAnsi="Arial"/>
                                <w:b/>
                              </w:rPr>
                            </w:pPr>
                            <w:r w:rsidRPr="003645BD">
                              <w:rPr>
                                <w:rFonts w:ascii="Arial" w:hAnsi="Arial"/>
                                <w:b/>
                                <w:color w:val="E917DF"/>
                                <w:sz w:val="32"/>
                              </w:rPr>
                              <w:t>52%</w:t>
                            </w:r>
                            <w:r>
                              <w:rPr>
                                <w:rFonts w:ascii="Arial" w:hAnsi="Arial"/>
                                <w:b/>
                              </w:rPr>
                              <w:t xml:space="preserve"> des agents sont des femmes</w:t>
                            </w:r>
                          </w:p>
                          <w:p w:rsidR="007B1397" w:rsidRDefault="007B1397" w:rsidP="00646BCA">
                            <w:pPr>
                              <w:rPr>
                                <w:rFonts w:ascii="Arial" w:hAnsi="Arial"/>
                                <w:b/>
                              </w:rPr>
                            </w:pPr>
                          </w:p>
                          <w:p w:rsidR="007B1397" w:rsidRDefault="007B1397" w:rsidP="00F43203">
                            <w:pPr>
                              <w:rPr>
                                <w:rFonts w:ascii="Arial" w:hAnsi="Arial"/>
                                <w:b/>
                              </w:rPr>
                            </w:pPr>
                            <w:r>
                              <w:rPr>
                                <w:rFonts w:ascii="Arial" w:hAnsi="Arial"/>
                                <w:b/>
                              </w:rPr>
                              <w:t>Sur le T2 :</w:t>
                            </w:r>
                          </w:p>
                          <w:p w:rsidR="007B1397" w:rsidRDefault="007B1397" w:rsidP="00F43203">
                            <w:pPr>
                              <w:ind w:firstLine="708"/>
                              <w:rPr>
                                <w:rFonts w:ascii="Arial" w:hAnsi="Arial"/>
                                <w:b/>
                              </w:rPr>
                            </w:pPr>
                            <w:r w:rsidRPr="0022082C">
                              <w:rPr>
                                <w:rFonts w:ascii="Arial" w:hAnsi="Arial"/>
                                <w:b/>
                                <w:color w:val="E917DF"/>
                                <w:sz w:val="32"/>
                              </w:rPr>
                              <w:t>10 760</w:t>
                            </w:r>
                            <w:r w:rsidRPr="0022082C">
                              <w:rPr>
                                <w:rFonts w:ascii="Arial" w:hAnsi="Arial"/>
                                <w:b/>
                                <w:color w:val="E917DF"/>
                              </w:rPr>
                              <w:t xml:space="preserve"> </w:t>
                            </w:r>
                            <w:r>
                              <w:rPr>
                                <w:rFonts w:ascii="Arial" w:hAnsi="Arial"/>
                                <w:b/>
                              </w:rPr>
                              <w:t xml:space="preserve">agents du MCC en </w:t>
                            </w:r>
                            <w:r w:rsidRPr="00621F1A">
                              <w:rPr>
                                <w:rFonts w:ascii="Arial" w:hAnsi="Arial"/>
                                <w:b/>
                              </w:rPr>
                              <w:t>ETP</w:t>
                            </w:r>
                          </w:p>
                          <w:p w:rsidR="007B1397" w:rsidRDefault="007B1397" w:rsidP="00F43203">
                            <w:pPr>
                              <w:spacing w:after="120"/>
                              <w:ind w:firstLine="708"/>
                              <w:rPr>
                                <w:rFonts w:ascii="Arial" w:hAnsi="Arial"/>
                                <w:b/>
                              </w:rPr>
                            </w:pPr>
                            <w:r w:rsidRPr="0022082C">
                              <w:rPr>
                                <w:rFonts w:ascii="Arial" w:hAnsi="Arial"/>
                                <w:b/>
                                <w:color w:val="E917DF"/>
                                <w:sz w:val="32"/>
                              </w:rPr>
                              <w:t>9 368</w:t>
                            </w:r>
                            <w:r w:rsidRPr="0022082C">
                              <w:rPr>
                                <w:rFonts w:ascii="Arial" w:hAnsi="Arial"/>
                                <w:b/>
                                <w:color w:val="E917DF"/>
                              </w:rPr>
                              <w:t xml:space="preserve"> </w:t>
                            </w:r>
                            <w:r>
                              <w:rPr>
                                <w:rFonts w:ascii="Arial" w:hAnsi="Arial"/>
                                <w:b/>
                              </w:rPr>
                              <w:t>titulaires, soit </w:t>
                            </w:r>
                            <w:r w:rsidRPr="0022082C">
                              <w:rPr>
                                <w:rFonts w:ascii="Arial" w:hAnsi="Arial"/>
                                <w:b/>
                                <w:color w:val="E917DF"/>
                                <w:sz w:val="32"/>
                              </w:rPr>
                              <w:t>87%</w:t>
                            </w:r>
                          </w:p>
                          <w:p w:rsidR="007B1397" w:rsidRDefault="007B1397" w:rsidP="00F43203">
                            <w:pPr>
                              <w:spacing w:after="120"/>
                              <w:ind w:firstLine="708"/>
                              <w:rPr>
                                <w:rFonts w:ascii="Arial" w:hAnsi="Arial"/>
                                <w:b/>
                              </w:rPr>
                            </w:pPr>
                            <w:r w:rsidRPr="0022082C">
                              <w:rPr>
                                <w:rFonts w:ascii="Arial" w:hAnsi="Arial"/>
                                <w:b/>
                                <w:color w:val="E917DF"/>
                                <w:sz w:val="32"/>
                              </w:rPr>
                              <w:t>48,6 ans</w:t>
                            </w:r>
                            <w:r w:rsidRPr="0022082C">
                              <w:rPr>
                                <w:rFonts w:ascii="Arial" w:hAnsi="Arial"/>
                                <w:b/>
                                <w:color w:val="E917DF"/>
                              </w:rPr>
                              <w:t xml:space="preserve"> </w:t>
                            </w:r>
                            <w:r>
                              <w:rPr>
                                <w:rFonts w:ascii="Arial" w:hAnsi="Arial"/>
                                <w:b/>
                              </w:rPr>
                              <w:t xml:space="preserve">= </w:t>
                            </w:r>
                            <w:r w:rsidRPr="00920C76">
                              <w:rPr>
                                <w:rFonts w:ascii="Arial" w:hAnsi="Arial"/>
                                <w:b/>
                              </w:rPr>
                              <w:t>âg</w:t>
                            </w:r>
                            <w:r>
                              <w:rPr>
                                <w:rFonts w:ascii="Arial" w:hAnsi="Arial"/>
                                <w:b/>
                              </w:rPr>
                              <w:t>e moyen de la population du MCC</w:t>
                            </w:r>
                          </w:p>
                          <w:p w:rsidR="007B1397" w:rsidRDefault="007B1397" w:rsidP="00F43203">
                            <w:pPr>
                              <w:spacing w:after="120"/>
                              <w:ind w:firstLine="708"/>
                              <w:rPr>
                                <w:rFonts w:ascii="Arial" w:hAnsi="Arial"/>
                                <w:b/>
                              </w:rPr>
                            </w:pPr>
                            <w:r w:rsidRPr="0022082C">
                              <w:rPr>
                                <w:rFonts w:ascii="Arial" w:hAnsi="Arial"/>
                                <w:b/>
                                <w:color w:val="E917DF"/>
                                <w:sz w:val="32"/>
                              </w:rPr>
                              <w:t>41%</w:t>
                            </w:r>
                            <w:r>
                              <w:rPr>
                                <w:rFonts w:ascii="Arial" w:hAnsi="Arial"/>
                                <w:b/>
                                <w:color w:val="FF0080"/>
                                <w:sz w:val="28"/>
                              </w:rPr>
                              <w:t xml:space="preserve"> </w:t>
                            </w:r>
                            <w:r>
                              <w:rPr>
                                <w:rFonts w:ascii="Arial" w:hAnsi="Arial"/>
                                <w:b/>
                              </w:rPr>
                              <w:t>des agents travaillent en établissements publics</w:t>
                            </w:r>
                          </w:p>
                          <w:p w:rsidR="007B1397" w:rsidRDefault="007B1397" w:rsidP="00F43203">
                            <w:pPr>
                              <w:spacing w:after="120"/>
                              <w:rPr>
                                <w:rFonts w:ascii="Arial" w:hAnsi="Arial"/>
                                <w:b/>
                              </w:rPr>
                            </w:pPr>
                            <w:r>
                              <w:rPr>
                                <w:rFonts w:ascii="Arial" w:hAnsi="Arial"/>
                                <w:b/>
                                <w:color w:val="E917DF"/>
                                <w:sz w:val="32"/>
                              </w:rPr>
                              <w:tab/>
                            </w:r>
                            <w:r w:rsidRPr="0022082C">
                              <w:rPr>
                                <w:rFonts w:ascii="Arial" w:hAnsi="Arial"/>
                                <w:b/>
                                <w:color w:val="E917DF"/>
                                <w:sz w:val="32"/>
                              </w:rPr>
                              <w:t>60%</w:t>
                            </w:r>
                            <w:r>
                              <w:rPr>
                                <w:rFonts w:ascii="Arial" w:hAnsi="Arial"/>
                                <w:b/>
                              </w:rPr>
                              <w:t xml:space="preserve"> des agents travaillent en Ile-de-France</w:t>
                            </w:r>
                          </w:p>
                          <w:p w:rsidR="007B1397" w:rsidRPr="00E203EB" w:rsidRDefault="007B1397" w:rsidP="00F43203">
                            <w:pPr>
                              <w:spacing w:after="120"/>
                              <w:ind w:firstLine="708"/>
                              <w:rPr>
                                <w:rFonts w:ascii="Arial" w:hAnsi="Arial"/>
                                <w:b/>
                              </w:rPr>
                            </w:pPr>
                            <w:r w:rsidRPr="00E203EB">
                              <w:rPr>
                                <w:rFonts w:ascii="Arial" w:hAnsi="Arial"/>
                                <w:b/>
                                <w:color w:val="E917DF"/>
                                <w:sz w:val="32"/>
                              </w:rPr>
                              <w:t>12%</w:t>
                            </w:r>
                            <w:r w:rsidRPr="00E203EB">
                              <w:rPr>
                                <w:rFonts w:ascii="Arial" w:hAnsi="Arial"/>
                                <w:b/>
                                <w:color w:val="FF0000"/>
                                <w:sz w:val="32"/>
                              </w:rPr>
                              <w:t xml:space="preserve"> </w:t>
                            </w:r>
                            <w:r w:rsidRPr="00E203EB">
                              <w:rPr>
                                <w:rFonts w:ascii="Arial" w:hAnsi="Arial"/>
                                <w:b/>
                              </w:rPr>
                              <w:t>des agents travaillent à temps partiel dont 76% de femmes</w:t>
                            </w:r>
                          </w:p>
                          <w:p w:rsidR="007B1397" w:rsidRPr="00E772B8" w:rsidRDefault="007B1397" w:rsidP="00646BCA">
                            <w:pPr>
                              <w:spacing w:after="120"/>
                              <w:rPr>
                                <w:rFonts w:ascii="Arial" w:hAnsi="Arial"/>
                                <w:b/>
                                <w:sz w:val="18"/>
                              </w:rPr>
                            </w:pPr>
                          </w:p>
                          <w:p w:rsidR="007B1397" w:rsidRDefault="007B1397" w:rsidP="00646BCA">
                            <w:pPr>
                              <w:spacing w:after="120"/>
                              <w:rPr>
                                <w:rFonts w:ascii="Arial" w:hAnsi="Arial"/>
                                <w:b/>
                              </w:rPr>
                            </w:pPr>
                            <w:r>
                              <w:rPr>
                                <w:rFonts w:ascii="Arial" w:hAnsi="Arial"/>
                                <w:b/>
                              </w:rPr>
                              <w:t>Sur le T3 :</w:t>
                            </w:r>
                          </w:p>
                          <w:p w:rsidR="007B1397" w:rsidRDefault="007B1397" w:rsidP="009B2206">
                            <w:pPr>
                              <w:ind w:firstLine="708"/>
                              <w:rPr>
                                <w:rFonts w:ascii="Arial" w:hAnsi="Arial"/>
                                <w:b/>
                              </w:rPr>
                            </w:pPr>
                            <w:r w:rsidRPr="009B2206">
                              <w:rPr>
                                <w:rFonts w:ascii="Arial" w:hAnsi="Arial"/>
                                <w:b/>
                                <w:color w:val="E917DF"/>
                                <w:sz w:val="32"/>
                              </w:rPr>
                              <w:t>42,9 ans</w:t>
                            </w:r>
                            <w:r>
                              <w:rPr>
                                <w:rFonts w:ascii="Arial" w:hAnsi="Arial"/>
                                <w:b/>
                              </w:rPr>
                              <w:t xml:space="preserve"> = âge moyen des agents rémunérés sur le titre 3</w:t>
                            </w:r>
                          </w:p>
                          <w:p w:rsidR="007B1397" w:rsidRDefault="007B1397" w:rsidP="009B2206">
                            <w:pPr>
                              <w:ind w:firstLine="708"/>
                              <w:rPr>
                                <w:rFonts w:ascii="Arial" w:hAnsi="Arial"/>
                                <w:b/>
                              </w:rPr>
                            </w:pPr>
                            <w:r>
                              <w:rPr>
                                <w:rFonts w:ascii="Arial" w:hAnsi="Arial"/>
                                <w:b/>
                                <w:color w:val="E917DF"/>
                                <w:sz w:val="32"/>
                              </w:rPr>
                              <w:t>68</w:t>
                            </w:r>
                            <w:r w:rsidRPr="007721B2">
                              <w:rPr>
                                <w:rFonts w:ascii="Arial" w:hAnsi="Arial"/>
                                <w:b/>
                                <w:color w:val="E917DF"/>
                                <w:sz w:val="32"/>
                              </w:rPr>
                              <w:t>%</w:t>
                            </w:r>
                            <w:r>
                              <w:rPr>
                                <w:rFonts w:ascii="Arial" w:hAnsi="Arial"/>
                                <w:b/>
                              </w:rPr>
                              <w:t xml:space="preserve"> des agents du titre 3 travaillent dans un établissement public administratif</w:t>
                            </w:r>
                          </w:p>
                          <w:p w:rsidR="007B1397" w:rsidRPr="00621F1A" w:rsidRDefault="007B1397" w:rsidP="009B2206">
                            <w:pPr>
                              <w:ind w:firstLine="708"/>
                              <w:rPr>
                                <w:rFonts w:ascii="Arial" w:hAnsi="Arial"/>
                                <w:b/>
                              </w:rPr>
                            </w:pPr>
                            <w:r w:rsidRPr="007721B2">
                              <w:rPr>
                                <w:rFonts w:ascii="Arial" w:hAnsi="Arial"/>
                                <w:b/>
                                <w:color w:val="E917DF"/>
                                <w:sz w:val="32"/>
                              </w:rPr>
                              <w:t>78%</w:t>
                            </w:r>
                            <w:r>
                              <w:rPr>
                                <w:rFonts w:ascii="Arial" w:hAnsi="Arial"/>
                                <w:b/>
                              </w:rPr>
                              <w:t xml:space="preserve"> des agents du titre 3 sont des agents non titulaires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0FB1F" id="Rectangle 62" o:spid="_x0000_s1046" style="position:absolute;margin-left:269.4pt;margin-top:231.65pt;width:231.75pt;height:555.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" filled="f" fillcolor="teal" strokecolor="gray" strokeweight="1.5pt">
                <v:fill opacity="26214f"/>
                <v:shadow opacity="22938f" offset="0"/>
                <v:textbox inset=",7.2pt,,7.2pt">
                  <w:txbxContent>
                    <w:p w:rsidR="007B1397" w:rsidRPr="00E772B8" w:rsidRDefault="007B1397" w:rsidP="00646BCA">
                      <w:pPr>
                        <w:jc w:val="center"/>
                        <w:rPr>
                          <w:b/>
                          <w:sz w:val="18"/>
                        </w:rPr>
                      </w:pPr>
                    </w:p>
                    <w:p w:rsidR="007B1397" w:rsidRPr="0022082C" w:rsidRDefault="007B1397" w:rsidP="00646BCA">
                      <w:pPr>
                        <w:jc w:val="center"/>
                        <w:rPr>
                          <w:rFonts w:ascii="Arial" w:hAnsi="Arial"/>
                          <w:b/>
                          <w:color w:val="E917DF"/>
                          <w:sz w:val="32"/>
                        </w:rPr>
                      </w:pPr>
                      <w:r w:rsidRPr="0022082C">
                        <w:rPr>
                          <w:rFonts w:ascii="Arial" w:hAnsi="Arial"/>
                          <w:b/>
                          <w:color w:val="E917DF"/>
                          <w:sz w:val="32"/>
                        </w:rPr>
                        <w:t>Chiffres clés</w:t>
                      </w:r>
                    </w:p>
                    <w:p w:rsidR="007B1397" w:rsidRDefault="007B1397" w:rsidP="005A5F27">
                      <w:pPr>
                        <w:rPr>
                          <w:rFonts w:ascii="Arial" w:hAnsi="Arial"/>
                          <w:b/>
                        </w:rPr>
                      </w:pPr>
                    </w:p>
                    <w:p w:rsidR="007B1397" w:rsidRDefault="007B1397" w:rsidP="00646BCA">
                      <w:pPr>
                        <w:rPr>
                          <w:rFonts w:ascii="Arial" w:hAnsi="Arial"/>
                          <w:b/>
                        </w:rPr>
                      </w:pPr>
                      <w:r>
                        <w:rPr>
                          <w:rFonts w:ascii="Arial" w:hAnsi="Arial"/>
                          <w:b/>
                        </w:rPr>
                        <w:t>Sur le T2 et le T3 :</w:t>
                      </w:r>
                      <w:r>
                        <w:rPr>
                          <w:rFonts w:ascii="Arial" w:hAnsi="Arial"/>
                          <w:b/>
                        </w:rPr>
                        <w:tab/>
                        <w:t xml:space="preserve"> </w:t>
                      </w:r>
                    </w:p>
                    <w:p w:rsidR="007B1397" w:rsidRDefault="007B1397" w:rsidP="00F43203">
                      <w:pPr>
                        <w:ind w:firstLine="708"/>
                        <w:rPr>
                          <w:rFonts w:ascii="Arial" w:hAnsi="Arial"/>
                          <w:b/>
                        </w:rPr>
                      </w:pPr>
                      <w:r w:rsidRPr="00F43203">
                        <w:rPr>
                          <w:rFonts w:ascii="Arial" w:hAnsi="Arial"/>
                          <w:b/>
                          <w:color w:val="E917DF"/>
                          <w:sz w:val="32"/>
                        </w:rPr>
                        <w:t>29 131</w:t>
                      </w:r>
                      <w:r>
                        <w:rPr>
                          <w:rFonts w:ascii="Arial" w:hAnsi="Arial"/>
                          <w:b/>
                        </w:rPr>
                        <w:t xml:space="preserve"> ETPT présents au cours de l’année 2013</w:t>
                      </w:r>
                    </w:p>
                    <w:p w:rsidR="007B1397" w:rsidRDefault="007B1397" w:rsidP="00F43203">
                      <w:pPr>
                        <w:ind w:firstLine="708"/>
                        <w:rPr>
                          <w:rFonts w:ascii="Arial" w:hAnsi="Arial"/>
                          <w:b/>
                        </w:rPr>
                      </w:pPr>
                      <w:r w:rsidRPr="003645BD">
                        <w:rPr>
                          <w:rFonts w:ascii="Arial" w:hAnsi="Arial"/>
                          <w:b/>
                          <w:color w:val="E917DF"/>
                          <w:sz w:val="32"/>
                        </w:rPr>
                        <w:t>52%</w:t>
                      </w:r>
                      <w:r>
                        <w:rPr>
                          <w:rFonts w:ascii="Arial" w:hAnsi="Arial"/>
                          <w:b/>
                        </w:rPr>
                        <w:t xml:space="preserve"> des agents sont des femmes</w:t>
                      </w:r>
                    </w:p>
                    <w:p w:rsidR="007B1397" w:rsidRDefault="007B1397" w:rsidP="00646BCA">
                      <w:pPr>
                        <w:rPr>
                          <w:rFonts w:ascii="Arial" w:hAnsi="Arial"/>
                          <w:b/>
                        </w:rPr>
                      </w:pPr>
                    </w:p>
                    <w:p w:rsidR="007B1397" w:rsidRDefault="007B1397" w:rsidP="00F43203">
                      <w:pPr>
                        <w:rPr>
                          <w:rFonts w:ascii="Arial" w:hAnsi="Arial"/>
                          <w:b/>
                        </w:rPr>
                      </w:pPr>
                      <w:r>
                        <w:rPr>
                          <w:rFonts w:ascii="Arial" w:hAnsi="Arial"/>
                          <w:b/>
                        </w:rPr>
                        <w:t>Sur le T2 :</w:t>
                      </w:r>
                    </w:p>
                    <w:p w:rsidR="007B1397" w:rsidRDefault="007B1397" w:rsidP="00F43203">
                      <w:pPr>
                        <w:ind w:firstLine="708"/>
                        <w:rPr>
                          <w:rFonts w:ascii="Arial" w:hAnsi="Arial"/>
                          <w:b/>
                        </w:rPr>
                      </w:pPr>
                      <w:r w:rsidRPr="0022082C">
                        <w:rPr>
                          <w:rFonts w:ascii="Arial" w:hAnsi="Arial"/>
                          <w:b/>
                          <w:color w:val="E917DF"/>
                          <w:sz w:val="32"/>
                        </w:rPr>
                        <w:t>10 760</w:t>
                      </w:r>
                      <w:r w:rsidRPr="0022082C">
                        <w:rPr>
                          <w:rFonts w:ascii="Arial" w:hAnsi="Arial"/>
                          <w:b/>
                          <w:color w:val="E917DF"/>
                        </w:rPr>
                        <w:t xml:space="preserve"> </w:t>
                      </w:r>
                      <w:r>
                        <w:rPr>
                          <w:rFonts w:ascii="Arial" w:hAnsi="Arial"/>
                          <w:b/>
                        </w:rPr>
                        <w:t xml:space="preserve">agents du MCC en </w:t>
                      </w:r>
                      <w:r w:rsidRPr="00621F1A">
                        <w:rPr>
                          <w:rFonts w:ascii="Arial" w:hAnsi="Arial"/>
                          <w:b/>
                        </w:rPr>
                        <w:t>ETP</w:t>
                      </w:r>
                    </w:p>
                    <w:p w:rsidR="007B1397" w:rsidRDefault="007B1397" w:rsidP="00F43203">
                      <w:pPr>
                        <w:spacing w:after="120"/>
                        <w:ind w:firstLine="708"/>
                        <w:rPr>
                          <w:rFonts w:ascii="Arial" w:hAnsi="Arial"/>
                          <w:b/>
                        </w:rPr>
                      </w:pPr>
                      <w:r w:rsidRPr="0022082C">
                        <w:rPr>
                          <w:rFonts w:ascii="Arial" w:hAnsi="Arial"/>
                          <w:b/>
                          <w:color w:val="E917DF"/>
                          <w:sz w:val="32"/>
                        </w:rPr>
                        <w:t>9 368</w:t>
                      </w:r>
                      <w:r w:rsidRPr="0022082C">
                        <w:rPr>
                          <w:rFonts w:ascii="Arial" w:hAnsi="Arial"/>
                          <w:b/>
                          <w:color w:val="E917DF"/>
                        </w:rPr>
                        <w:t xml:space="preserve"> </w:t>
                      </w:r>
                      <w:r>
                        <w:rPr>
                          <w:rFonts w:ascii="Arial" w:hAnsi="Arial"/>
                          <w:b/>
                        </w:rPr>
                        <w:t>titulaires, soit </w:t>
                      </w:r>
                      <w:r w:rsidRPr="0022082C">
                        <w:rPr>
                          <w:rFonts w:ascii="Arial" w:hAnsi="Arial"/>
                          <w:b/>
                          <w:color w:val="E917DF"/>
                          <w:sz w:val="32"/>
                        </w:rPr>
                        <w:t>87%</w:t>
                      </w:r>
                    </w:p>
                    <w:p w:rsidR="007B1397" w:rsidRDefault="007B1397" w:rsidP="00F43203">
                      <w:pPr>
                        <w:spacing w:after="120"/>
                        <w:ind w:firstLine="708"/>
                        <w:rPr>
                          <w:rFonts w:ascii="Arial" w:hAnsi="Arial"/>
                          <w:b/>
                        </w:rPr>
                      </w:pPr>
                      <w:r w:rsidRPr="0022082C">
                        <w:rPr>
                          <w:rFonts w:ascii="Arial" w:hAnsi="Arial"/>
                          <w:b/>
                          <w:color w:val="E917DF"/>
                          <w:sz w:val="32"/>
                        </w:rPr>
                        <w:t>48,6 ans</w:t>
                      </w:r>
                      <w:r w:rsidRPr="0022082C">
                        <w:rPr>
                          <w:rFonts w:ascii="Arial" w:hAnsi="Arial"/>
                          <w:b/>
                          <w:color w:val="E917DF"/>
                        </w:rPr>
                        <w:t xml:space="preserve"> </w:t>
                      </w:r>
                      <w:r>
                        <w:rPr>
                          <w:rFonts w:ascii="Arial" w:hAnsi="Arial"/>
                          <w:b/>
                        </w:rPr>
                        <w:t xml:space="preserve">= </w:t>
                      </w:r>
                      <w:r w:rsidRPr="00920C76">
                        <w:rPr>
                          <w:rFonts w:ascii="Arial" w:hAnsi="Arial"/>
                          <w:b/>
                        </w:rPr>
                        <w:t>âg</w:t>
                      </w:r>
                      <w:r>
                        <w:rPr>
                          <w:rFonts w:ascii="Arial" w:hAnsi="Arial"/>
                          <w:b/>
                        </w:rPr>
                        <w:t>e moyen de la population du MCC</w:t>
                      </w:r>
                    </w:p>
                    <w:p w:rsidR="007B1397" w:rsidRDefault="007B1397" w:rsidP="00F43203">
                      <w:pPr>
                        <w:spacing w:after="120"/>
                        <w:ind w:firstLine="708"/>
                        <w:rPr>
                          <w:rFonts w:ascii="Arial" w:hAnsi="Arial"/>
                          <w:b/>
                        </w:rPr>
                      </w:pPr>
                      <w:r w:rsidRPr="0022082C">
                        <w:rPr>
                          <w:rFonts w:ascii="Arial" w:hAnsi="Arial"/>
                          <w:b/>
                          <w:color w:val="E917DF"/>
                          <w:sz w:val="32"/>
                        </w:rPr>
                        <w:t>41%</w:t>
                      </w:r>
                      <w:r>
                        <w:rPr>
                          <w:rFonts w:ascii="Arial" w:hAnsi="Arial"/>
                          <w:b/>
                          <w:color w:val="FF0080"/>
                          <w:sz w:val="28"/>
                        </w:rPr>
                        <w:t xml:space="preserve"> </w:t>
                      </w:r>
                      <w:r>
                        <w:rPr>
                          <w:rFonts w:ascii="Arial" w:hAnsi="Arial"/>
                          <w:b/>
                        </w:rPr>
                        <w:t>des agents travaillent en établissements publics</w:t>
                      </w:r>
                    </w:p>
                    <w:p w:rsidR="007B1397" w:rsidRDefault="007B1397" w:rsidP="00F43203">
                      <w:pPr>
                        <w:spacing w:after="120"/>
                        <w:rPr>
                          <w:rFonts w:ascii="Arial" w:hAnsi="Arial"/>
                          <w:b/>
                        </w:rPr>
                      </w:pPr>
                      <w:r>
                        <w:rPr>
                          <w:rFonts w:ascii="Arial" w:hAnsi="Arial"/>
                          <w:b/>
                          <w:color w:val="E917DF"/>
                          <w:sz w:val="32"/>
                        </w:rPr>
                        <w:tab/>
                      </w:r>
                      <w:r w:rsidRPr="0022082C">
                        <w:rPr>
                          <w:rFonts w:ascii="Arial" w:hAnsi="Arial"/>
                          <w:b/>
                          <w:color w:val="E917DF"/>
                          <w:sz w:val="32"/>
                        </w:rPr>
                        <w:t>60%</w:t>
                      </w:r>
                      <w:r>
                        <w:rPr>
                          <w:rFonts w:ascii="Arial" w:hAnsi="Arial"/>
                          <w:b/>
                        </w:rPr>
                        <w:t xml:space="preserve"> des agents travaillent en Ile-de-France</w:t>
                      </w:r>
                    </w:p>
                    <w:p w:rsidR="007B1397" w:rsidRPr="00E203EB" w:rsidRDefault="007B1397" w:rsidP="00F43203">
                      <w:pPr>
                        <w:spacing w:after="120"/>
                        <w:ind w:firstLine="708"/>
                        <w:rPr>
                          <w:rFonts w:ascii="Arial" w:hAnsi="Arial"/>
                          <w:b/>
                        </w:rPr>
                      </w:pPr>
                      <w:r w:rsidRPr="00E203EB">
                        <w:rPr>
                          <w:rFonts w:ascii="Arial" w:hAnsi="Arial"/>
                          <w:b/>
                          <w:color w:val="E917DF"/>
                          <w:sz w:val="32"/>
                        </w:rPr>
                        <w:t>12%</w:t>
                      </w:r>
                      <w:r w:rsidRPr="00E203EB">
                        <w:rPr>
                          <w:rFonts w:ascii="Arial" w:hAnsi="Arial"/>
                          <w:b/>
                          <w:color w:val="FF0000"/>
                          <w:sz w:val="32"/>
                        </w:rPr>
                        <w:t xml:space="preserve"> </w:t>
                      </w:r>
                      <w:r w:rsidRPr="00E203EB">
                        <w:rPr>
                          <w:rFonts w:ascii="Arial" w:hAnsi="Arial"/>
                          <w:b/>
                        </w:rPr>
                        <w:t>des agents travaillent à temps partiel dont 76% de femmes</w:t>
                      </w:r>
                    </w:p>
                    <w:p w:rsidR="007B1397" w:rsidRPr="00E772B8" w:rsidRDefault="007B1397" w:rsidP="00646BCA">
                      <w:pPr>
                        <w:spacing w:after="120"/>
                        <w:rPr>
                          <w:rFonts w:ascii="Arial" w:hAnsi="Arial"/>
                          <w:b/>
                          <w:sz w:val="18"/>
                        </w:rPr>
                      </w:pPr>
                    </w:p>
                    <w:p w:rsidR="007B1397" w:rsidRDefault="007B1397" w:rsidP="00646BCA">
                      <w:pPr>
                        <w:spacing w:after="120"/>
                        <w:rPr>
                          <w:rFonts w:ascii="Arial" w:hAnsi="Arial"/>
                          <w:b/>
                        </w:rPr>
                      </w:pPr>
                      <w:r>
                        <w:rPr>
                          <w:rFonts w:ascii="Arial" w:hAnsi="Arial"/>
                          <w:b/>
                        </w:rPr>
                        <w:t>Sur le T3 :</w:t>
                      </w:r>
                    </w:p>
                    <w:p w:rsidR="007B1397" w:rsidRDefault="007B1397" w:rsidP="009B2206">
                      <w:pPr>
                        <w:ind w:firstLine="708"/>
                        <w:rPr>
                          <w:rFonts w:ascii="Arial" w:hAnsi="Arial"/>
                          <w:b/>
                        </w:rPr>
                      </w:pPr>
                      <w:r w:rsidRPr="009B2206">
                        <w:rPr>
                          <w:rFonts w:ascii="Arial" w:hAnsi="Arial"/>
                          <w:b/>
                          <w:color w:val="E917DF"/>
                          <w:sz w:val="32"/>
                        </w:rPr>
                        <w:t>42,9 ans</w:t>
                      </w:r>
                      <w:r>
                        <w:rPr>
                          <w:rFonts w:ascii="Arial" w:hAnsi="Arial"/>
                          <w:b/>
                        </w:rPr>
                        <w:t xml:space="preserve"> = âge moyen des agents rémunérés sur le titre 3</w:t>
                      </w:r>
                    </w:p>
                    <w:p w:rsidR="007B1397" w:rsidRDefault="007B1397" w:rsidP="009B2206">
                      <w:pPr>
                        <w:ind w:firstLine="708"/>
                        <w:rPr>
                          <w:rFonts w:ascii="Arial" w:hAnsi="Arial"/>
                          <w:b/>
                        </w:rPr>
                      </w:pPr>
                      <w:r>
                        <w:rPr>
                          <w:rFonts w:ascii="Arial" w:hAnsi="Arial"/>
                          <w:b/>
                          <w:color w:val="E917DF"/>
                          <w:sz w:val="32"/>
                        </w:rPr>
                        <w:t>68</w:t>
                      </w:r>
                      <w:r w:rsidRPr="007721B2">
                        <w:rPr>
                          <w:rFonts w:ascii="Arial" w:hAnsi="Arial"/>
                          <w:b/>
                          <w:color w:val="E917DF"/>
                          <w:sz w:val="32"/>
                        </w:rPr>
                        <w:t>%</w:t>
                      </w:r>
                      <w:r>
                        <w:rPr>
                          <w:rFonts w:ascii="Arial" w:hAnsi="Arial"/>
                          <w:b/>
                        </w:rPr>
                        <w:t xml:space="preserve"> des agents du titre 3 travaillent dans un établissement public administratif</w:t>
                      </w:r>
                    </w:p>
                    <w:p w:rsidR="007B1397" w:rsidRPr="00621F1A" w:rsidRDefault="007B1397" w:rsidP="009B2206">
                      <w:pPr>
                        <w:ind w:firstLine="708"/>
                        <w:rPr>
                          <w:rFonts w:ascii="Arial" w:hAnsi="Arial"/>
                          <w:b/>
                        </w:rPr>
                      </w:pPr>
                      <w:r w:rsidRPr="007721B2">
                        <w:rPr>
                          <w:rFonts w:ascii="Arial" w:hAnsi="Arial"/>
                          <w:b/>
                          <w:color w:val="E917DF"/>
                          <w:sz w:val="32"/>
                        </w:rPr>
                        <w:t>78%</w:t>
                      </w:r>
                      <w:r>
                        <w:rPr>
                          <w:rFonts w:ascii="Arial" w:hAnsi="Arial"/>
                          <w:b/>
                        </w:rPr>
                        <w:t xml:space="preserve"> des agents du titre 3 sont des agents non titulaires </w:t>
                      </w:r>
                    </w:p>
                  </w:txbxContent>
                </v:textbox>
                <w10:wrap type="tight" anchory="page"/>
              </v:rect>
            </w:pict>
          </mc:Fallback>
        </mc:AlternateContent>
      </w:r>
    </w:p>
    <w:p w:rsidR="00646BCA" w:rsidRPr="00C363EE" w:rsidRDefault="00646BCA" w:rsidP="00646BCA">
      <w:pPr>
        <w:rPr>
          <w:rFonts w:ascii="Arial Unicode MS" w:eastAsia="Cambria" w:hAnsi="Arial Unicode MS" w:cs="Times New Roman"/>
          <w:sz w:val="28"/>
        </w:rPr>
      </w:pPr>
    </w:p>
    <w:p w:rsidR="00646BCA" w:rsidRPr="00771114" w:rsidRDefault="00646BCA" w:rsidP="00646BCA">
      <w:pPr>
        <w:tabs>
          <w:tab w:val="left" w:pos="1220"/>
        </w:tabs>
        <w:jc w:val="center"/>
        <w:rPr>
          <w:rFonts w:ascii="Florencesans Exp" w:eastAsia="Cambria" w:hAnsi="Florencesans Exp" w:cs="Times New Roman"/>
          <w:color w:val="E917DF"/>
        </w:rPr>
      </w:pPr>
      <w:r w:rsidRPr="00771114">
        <w:rPr>
          <w:rFonts w:ascii="Florencesans Exp" w:eastAsia="Cambria" w:hAnsi="Florencesans Exp" w:cs="Times New Roman"/>
          <w:color w:val="E917DF"/>
        </w:rPr>
        <w:t>TABLEAU DE SYNTHESE DES EFFECTIFS DU MCC EN 2013</w:t>
      </w:r>
    </w:p>
    <w:p w:rsidR="00646BCA" w:rsidRPr="00C363EE" w:rsidRDefault="00646BCA" w:rsidP="00646BCA">
      <w:pPr>
        <w:tabs>
          <w:tab w:val="left" w:pos="1220"/>
        </w:tabs>
        <w:rPr>
          <w:rFonts w:ascii="BlairMdITC TT-Medium" w:eastAsia="Cambria" w:hAnsi="BlairMdITC TT-Medium" w:cs="Times New Roman"/>
        </w:rPr>
      </w:pPr>
    </w:p>
    <w:p w:rsidR="00646BCA" w:rsidRPr="00C363EE" w:rsidRDefault="00646BCA" w:rsidP="00646BCA">
      <w:pPr>
        <w:tabs>
          <w:tab w:val="left" w:pos="1220"/>
        </w:tabs>
        <w:rPr>
          <w:rFonts w:ascii="BlairMdITC TT-Medium" w:eastAsia="Cambria" w:hAnsi="BlairMdITC TT-Medium" w:cs="Times New Roman"/>
          <w:b/>
          <w:color w:val="FF0080"/>
          <w:sz w:val="28"/>
        </w:rPr>
      </w:pPr>
      <w:r w:rsidRPr="00072130">
        <w:rPr>
          <w:noProof/>
          <w:lang w:eastAsia="fr-FR"/>
        </w:rPr>
        <w:drawing>
          <wp:anchor distT="0" distB="0" distL="114300" distR="114300" simplePos="0" relativeHeight="251702272" behindDoc="1" locked="0" layoutInCell="1" allowOverlap="1" wp14:anchorId="656A29FD" wp14:editId="34D9BE7B">
            <wp:simplePos x="0" y="0"/>
            <wp:positionH relativeFrom="margin">
              <wp:align>center</wp:align>
            </wp:positionH>
            <wp:positionV relativeFrom="paragraph">
              <wp:posOffset>217170</wp:posOffset>
            </wp:positionV>
            <wp:extent cx="6414135" cy="3454400"/>
            <wp:effectExtent l="0" t="0" r="5715" b="0"/>
            <wp:wrapTight wrapText="bothSides">
              <wp:wrapPolygon edited="0">
                <wp:start x="0" y="0"/>
                <wp:lineTo x="0" y="21441"/>
                <wp:lineTo x="21555" y="21441"/>
                <wp:lineTo x="21555" y="17629"/>
                <wp:lineTo x="19631" y="17153"/>
                <wp:lineTo x="21555" y="16915"/>
                <wp:lineTo x="21555" y="16557"/>
                <wp:lineTo x="20978" y="15247"/>
                <wp:lineTo x="21555" y="14413"/>
                <wp:lineTo x="21555" y="13937"/>
                <wp:lineTo x="19631" y="13341"/>
                <wp:lineTo x="21555" y="13103"/>
                <wp:lineTo x="21555" y="11435"/>
                <wp:lineTo x="19631" y="11435"/>
                <wp:lineTo x="21106" y="10721"/>
                <wp:lineTo x="21106" y="10006"/>
                <wp:lineTo x="19631" y="9529"/>
                <wp:lineTo x="21555" y="9529"/>
                <wp:lineTo x="21555" y="7624"/>
                <wp:lineTo x="19631" y="7624"/>
                <wp:lineTo x="21555" y="7028"/>
                <wp:lineTo x="21555" y="0"/>
                <wp:lineTo x="0" y="0"/>
              </wp:wrapPolygon>
            </wp:wrapTight>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14135" cy="345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554A4" w:rsidRDefault="00F554A4" w:rsidP="00646BCA">
      <w:pPr>
        <w:tabs>
          <w:tab w:val="left" w:pos="1220"/>
        </w:tabs>
        <w:rPr>
          <w:rFonts w:ascii="BlairMdITC TT-Medium" w:eastAsia="Cambria" w:hAnsi="BlairMdITC TT-Medium" w:cs="Times New Roman"/>
          <w:sz w:val="20"/>
        </w:rPr>
      </w:pPr>
    </w:p>
    <w:p w:rsidR="00646BCA" w:rsidRPr="00C363EE" w:rsidRDefault="00646BCA" w:rsidP="00F554A4">
      <w:pPr>
        <w:tabs>
          <w:tab w:val="left" w:pos="1220"/>
        </w:tabs>
        <w:jc w:val="right"/>
        <w:rPr>
          <w:rFonts w:ascii="BlairMdITC TT-Medium" w:eastAsia="Cambria" w:hAnsi="BlairMdITC TT-Medium" w:cs="Times New Roman"/>
          <w:sz w:val="20"/>
        </w:rPr>
      </w:pPr>
      <w:r>
        <w:rPr>
          <w:rFonts w:ascii="BlairMdITC TT-Medium" w:eastAsia="Cambria" w:hAnsi="BlairMdITC TT-Medium" w:cs="Times New Roman"/>
          <w:sz w:val="20"/>
        </w:rPr>
        <w:t>*</w:t>
      </w:r>
      <w:r w:rsidRPr="00C363EE">
        <w:rPr>
          <w:rFonts w:ascii="Arial" w:eastAsia="Cambria" w:hAnsi="Arial" w:cs="Times New Roman"/>
          <w:sz w:val="20"/>
        </w:rPr>
        <w:t>TB MCC au 31/12/201</w:t>
      </w:r>
      <w:r>
        <w:rPr>
          <w:rFonts w:ascii="Arial" w:eastAsia="Cambria" w:hAnsi="Arial" w:cs="Times New Roman"/>
          <w:sz w:val="20"/>
        </w:rPr>
        <w:t>3</w:t>
      </w:r>
      <w:r w:rsidRPr="00C363EE">
        <w:rPr>
          <w:rFonts w:ascii="Arial" w:eastAsia="Cambria" w:hAnsi="Arial" w:cs="Times New Roman"/>
          <w:sz w:val="20"/>
        </w:rPr>
        <w:t>. Moyenne annuelle des ETP mensuels.</w:t>
      </w:r>
    </w:p>
    <w:p w:rsidR="00646BCA" w:rsidRPr="00C363EE" w:rsidRDefault="00646BCA" w:rsidP="00F554A4">
      <w:pPr>
        <w:tabs>
          <w:tab w:val="left" w:pos="1220"/>
        </w:tabs>
        <w:jc w:val="right"/>
        <w:rPr>
          <w:rFonts w:ascii="BlairMdITC TT-Medium" w:eastAsia="Cambria" w:hAnsi="BlairMdITC TT-Medium" w:cs="Times New Roman"/>
          <w:sz w:val="20"/>
        </w:rPr>
      </w:pPr>
    </w:p>
    <w:p w:rsidR="00646BCA" w:rsidRDefault="00646BCA" w:rsidP="004E38C1">
      <w:pPr>
        <w:tabs>
          <w:tab w:val="left" w:pos="1220"/>
        </w:tabs>
        <w:jc w:val="both"/>
        <w:rPr>
          <w:rFonts w:ascii="Arial" w:eastAsia="Cambria" w:hAnsi="Arial" w:cs="Times New Roman"/>
          <w:sz w:val="20"/>
        </w:rPr>
      </w:pPr>
      <w:r>
        <w:rPr>
          <w:rFonts w:ascii="Arial" w:eastAsia="Cambria" w:hAnsi="Arial" w:cs="Times New Roman"/>
          <w:sz w:val="20"/>
        </w:rPr>
        <w:t>Les données en exécution du Titre 2 sont affichées hors vacations (111 ETPT) et hors transferts des agents de l’équipement (32 ETPT). La vacance de postes s’élève donc à 138 ETPT.</w:t>
      </w:r>
    </w:p>
    <w:p w:rsidR="004E38C1" w:rsidRDefault="004E38C1" w:rsidP="004E38C1">
      <w:pPr>
        <w:tabs>
          <w:tab w:val="left" w:pos="1220"/>
        </w:tabs>
        <w:jc w:val="both"/>
        <w:rPr>
          <w:rFonts w:ascii="Arial" w:eastAsia="Cambria" w:hAnsi="Arial" w:cs="Times New Roman"/>
          <w:sz w:val="20"/>
        </w:rPr>
      </w:pPr>
    </w:p>
    <w:p w:rsidR="004E38C1" w:rsidRDefault="004E38C1" w:rsidP="004E38C1">
      <w:pPr>
        <w:tabs>
          <w:tab w:val="left" w:pos="1220"/>
        </w:tabs>
        <w:jc w:val="both"/>
        <w:rPr>
          <w:rFonts w:ascii="Arial" w:eastAsia="Cambria" w:hAnsi="Arial" w:cs="Times New Roman"/>
          <w:sz w:val="20"/>
        </w:rPr>
      </w:pPr>
    </w:p>
    <w:p w:rsidR="004E38C1" w:rsidRPr="004E38C1" w:rsidRDefault="004E38C1" w:rsidP="004E38C1">
      <w:pPr>
        <w:tabs>
          <w:tab w:val="left" w:pos="1220"/>
        </w:tabs>
        <w:jc w:val="center"/>
        <w:rPr>
          <w:rFonts w:ascii="Arial" w:eastAsia="Cambria" w:hAnsi="Arial" w:cs="Times New Roman"/>
          <w:b/>
          <w:sz w:val="22"/>
        </w:rPr>
      </w:pPr>
      <w:r w:rsidRPr="004E38C1">
        <w:rPr>
          <w:rFonts w:ascii="Arial" w:eastAsia="Cambria" w:hAnsi="Arial" w:cs="Times New Roman"/>
          <w:b/>
          <w:sz w:val="22"/>
          <w:u w:val="single"/>
        </w:rPr>
        <w:t>Pour information</w:t>
      </w:r>
      <w:r w:rsidRPr="004E38C1">
        <w:rPr>
          <w:rFonts w:ascii="Arial" w:eastAsia="Cambria" w:hAnsi="Arial" w:cs="Times New Roman"/>
          <w:b/>
          <w:sz w:val="22"/>
        </w:rPr>
        <w:t> : Répartition des agents titulaires et non titulaires (T2 –T3)</w:t>
      </w:r>
    </w:p>
    <w:p w:rsidR="004E38C1" w:rsidRDefault="004E38C1" w:rsidP="004E38C1">
      <w:pPr>
        <w:tabs>
          <w:tab w:val="left" w:pos="1220"/>
        </w:tabs>
        <w:jc w:val="both"/>
        <w:rPr>
          <w:rFonts w:ascii="BlairMdITC TT-Medium" w:eastAsia="Cambria" w:hAnsi="BlairMdITC TT-Medium" w:cs="Times New Roman"/>
          <w:b/>
          <w:color w:val="FF0080"/>
          <w:sz w:val="28"/>
        </w:rPr>
      </w:pPr>
    </w:p>
    <w:p w:rsidR="00646BCA" w:rsidRPr="00C363EE" w:rsidRDefault="008952F5" w:rsidP="00CC54C1">
      <w:pPr>
        <w:tabs>
          <w:tab w:val="left" w:pos="1220"/>
        </w:tabs>
        <w:jc w:val="center"/>
        <w:rPr>
          <w:rFonts w:ascii="BlairMdITC TT-Medium" w:eastAsia="Cambria" w:hAnsi="BlairMdITC TT-Medium" w:cs="Times New Roman"/>
          <w:b/>
          <w:color w:val="FF0080"/>
          <w:sz w:val="28"/>
        </w:rPr>
      </w:pPr>
      <w:r w:rsidRPr="008952F5">
        <w:rPr>
          <w:noProof/>
          <w:lang w:eastAsia="fr-FR"/>
        </w:rPr>
        <w:drawing>
          <wp:inline distT="0" distB="0" distL="0" distR="0">
            <wp:extent cx="5760041" cy="3063240"/>
            <wp:effectExtent l="0" t="0" r="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41" cy="3063240"/>
                    </a:xfrm>
                    <a:prstGeom prst="rect">
                      <a:avLst/>
                    </a:prstGeom>
                    <a:noFill/>
                    <a:ln>
                      <a:noFill/>
                    </a:ln>
                  </pic:spPr>
                </pic:pic>
              </a:graphicData>
            </a:graphic>
          </wp:inline>
        </w:drawing>
      </w:r>
    </w:p>
    <w:p w:rsidR="00646BCA" w:rsidRPr="00771114" w:rsidRDefault="00646BCA" w:rsidP="00646BCA">
      <w:pPr>
        <w:tabs>
          <w:tab w:val="left" w:pos="1220"/>
        </w:tabs>
        <w:rPr>
          <w:rFonts w:ascii="Florencesans Exp" w:eastAsia="Cambria" w:hAnsi="Florencesans Exp" w:cs="Times New Roman"/>
          <w:b/>
          <w:color w:val="E917DF"/>
          <w:sz w:val="28"/>
        </w:rPr>
      </w:pPr>
      <w:r w:rsidRPr="00771114">
        <w:rPr>
          <w:rFonts w:ascii="Florencesans Exp" w:eastAsia="Cambria" w:hAnsi="Florencesans Exp" w:cs="Times New Roman"/>
          <w:b/>
          <w:color w:val="E917DF"/>
          <w:sz w:val="28"/>
        </w:rPr>
        <w:lastRenderedPageBreak/>
        <w:t>1. A. EFFECTIFS SUR BUDGET T2</w:t>
      </w:r>
    </w:p>
    <w:p w:rsidR="00646BCA" w:rsidRPr="00C363EE" w:rsidRDefault="00646BCA" w:rsidP="00646BCA">
      <w:pPr>
        <w:widowControl w:val="0"/>
        <w:autoSpaceDE w:val="0"/>
        <w:autoSpaceDN w:val="0"/>
        <w:adjustRightInd w:val="0"/>
        <w:jc w:val="both"/>
        <w:rPr>
          <w:rFonts w:ascii="Times New Roman" w:eastAsia="Cambria" w:hAnsi="Times New Roman" w:cs="Times New Roman"/>
          <w:b/>
          <w:bCs/>
        </w:rPr>
      </w:pPr>
    </w:p>
    <w:p w:rsidR="00646BCA" w:rsidRPr="00771114" w:rsidRDefault="00646BCA" w:rsidP="00646BCA">
      <w:pPr>
        <w:rPr>
          <w:rFonts w:ascii="Florencesans Exp" w:eastAsia="Cambria" w:hAnsi="Florencesans Exp" w:cs="Times New Roman"/>
        </w:rPr>
      </w:pPr>
      <w:r w:rsidRPr="00771114">
        <w:rPr>
          <w:rFonts w:ascii="Florencesans Exp" w:eastAsia="Cambria" w:hAnsi="Florencesans Exp" w:cs="Times New Roman"/>
        </w:rPr>
        <w:t>1. A. 1. DONNEES EN PERSONNES PHYSIQUES</w:t>
      </w:r>
    </w:p>
    <w:p w:rsidR="00646BCA" w:rsidRPr="00C363EE" w:rsidRDefault="00646BCA" w:rsidP="00646BCA">
      <w:pPr>
        <w:rPr>
          <w:rFonts w:ascii="BlairMdITC TT-Medium" w:eastAsia="Cambria" w:hAnsi="BlairMdITC TT-Medium" w:cs="Times New Roman"/>
        </w:rPr>
      </w:pPr>
      <w:r w:rsidRPr="00A12CE5">
        <w:rPr>
          <w:noProof/>
          <w:lang w:eastAsia="fr-FR"/>
        </w:rPr>
        <w:drawing>
          <wp:anchor distT="0" distB="0" distL="114300" distR="114300" simplePos="0" relativeHeight="251703296" behindDoc="1" locked="0" layoutInCell="1" allowOverlap="1" wp14:anchorId="23B9BA8E" wp14:editId="27369335">
            <wp:simplePos x="0" y="0"/>
            <wp:positionH relativeFrom="margin">
              <wp:align>center</wp:align>
            </wp:positionH>
            <wp:positionV relativeFrom="paragraph">
              <wp:posOffset>235585</wp:posOffset>
            </wp:positionV>
            <wp:extent cx="7071995" cy="1564640"/>
            <wp:effectExtent l="0" t="0" r="0" b="0"/>
            <wp:wrapTight wrapText="bothSides">
              <wp:wrapPolygon edited="0">
                <wp:start x="0" y="0"/>
                <wp:lineTo x="0" y="21302"/>
                <wp:lineTo x="21528" y="21302"/>
                <wp:lineTo x="21528"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071995"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Pr="00014880" w:rsidRDefault="00646BCA" w:rsidP="00646BCA">
      <w:pPr>
        <w:rPr>
          <w:rFonts w:ascii="Arial" w:eastAsia="Cambria" w:hAnsi="Arial" w:cs="Arial"/>
          <w:sz w:val="22"/>
          <w:szCs w:val="22"/>
        </w:rPr>
      </w:pPr>
    </w:p>
    <w:p w:rsidR="00646BCA" w:rsidRPr="00014880" w:rsidRDefault="00014880" w:rsidP="00646BCA">
      <w:pPr>
        <w:rPr>
          <w:rFonts w:ascii="Arial" w:hAnsi="Arial" w:cs="Arial"/>
          <w:sz w:val="22"/>
          <w:szCs w:val="22"/>
        </w:rPr>
      </w:pPr>
      <w:r w:rsidRPr="00014880">
        <w:rPr>
          <w:rFonts w:ascii="Arial" w:hAnsi="Arial" w:cs="Arial"/>
          <w:noProof/>
          <w:sz w:val="22"/>
          <w:szCs w:val="22"/>
          <w:lang w:eastAsia="fr-FR"/>
        </w:rPr>
        <w:drawing>
          <wp:anchor distT="0" distB="0" distL="114300" distR="114300" simplePos="0" relativeHeight="251704320" behindDoc="1" locked="0" layoutInCell="1" allowOverlap="1" wp14:anchorId="741A3470" wp14:editId="2C5AAF5D">
            <wp:simplePos x="0" y="0"/>
            <wp:positionH relativeFrom="margin">
              <wp:posOffset>575310</wp:posOffset>
            </wp:positionH>
            <wp:positionV relativeFrom="paragraph">
              <wp:posOffset>7620</wp:posOffset>
            </wp:positionV>
            <wp:extent cx="4239260" cy="3845560"/>
            <wp:effectExtent l="0" t="0" r="8890" b="2540"/>
            <wp:wrapTight wrapText="bothSides">
              <wp:wrapPolygon edited="0">
                <wp:start x="0" y="0"/>
                <wp:lineTo x="0" y="21507"/>
                <wp:lineTo x="21548" y="21507"/>
                <wp:lineTo x="21548" y="19367"/>
                <wp:lineTo x="21451" y="19260"/>
                <wp:lineTo x="20286" y="18832"/>
                <wp:lineTo x="21548" y="18725"/>
                <wp:lineTo x="21548" y="9202"/>
                <wp:lineTo x="20383" y="8667"/>
                <wp:lineTo x="21548" y="8560"/>
                <wp:lineTo x="21548" y="0"/>
                <wp:lineTo x="0" y="0"/>
              </wp:wrapPolygon>
            </wp:wrapTight>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39260" cy="3845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hAnsi="Arial" w:cs="Arial"/>
          <w:sz w:val="22"/>
          <w:szCs w:val="22"/>
        </w:rPr>
      </w:pPr>
    </w:p>
    <w:p w:rsidR="00646BCA" w:rsidRPr="00014880" w:rsidRDefault="00646BCA" w:rsidP="00646BCA">
      <w:pPr>
        <w:rPr>
          <w:rFonts w:ascii="Arial" w:eastAsia="Cambria" w:hAnsi="Arial" w:cs="Arial"/>
          <w:sz w:val="22"/>
          <w:szCs w:val="22"/>
        </w:rPr>
      </w:pPr>
    </w:p>
    <w:p w:rsidR="00646BCA" w:rsidRPr="00014880" w:rsidRDefault="00646BCA" w:rsidP="00646BCA">
      <w:pPr>
        <w:rPr>
          <w:rFonts w:ascii="Arial" w:eastAsia="Cambria" w:hAnsi="Arial" w:cs="Arial"/>
          <w:sz w:val="22"/>
          <w:szCs w:val="22"/>
        </w:rPr>
      </w:pPr>
    </w:p>
    <w:p w:rsidR="00646BCA" w:rsidRDefault="00646BCA" w:rsidP="00646BCA">
      <w:pPr>
        <w:rPr>
          <w:rFonts w:ascii="Arial" w:eastAsia="Cambria" w:hAnsi="Arial" w:cs="Arial"/>
          <w:sz w:val="22"/>
          <w:szCs w:val="22"/>
        </w:rPr>
      </w:pPr>
    </w:p>
    <w:p w:rsidR="00014880" w:rsidRDefault="00014880" w:rsidP="00646BCA">
      <w:pPr>
        <w:rPr>
          <w:rFonts w:ascii="Arial" w:eastAsia="Cambria" w:hAnsi="Arial" w:cs="Arial"/>
          <w:sz w:val="22"/>
          <w:szCs w:val="22"/>
        </w:rPr>
      </w:pPr>
    </w:p>
    <w:p w:rsidR="00646BCA" w:rsidRPr="00014880" w:rsidRDefault="00646BCA" w:rsidP="00646BCA">
      <w:pPr>
        <w:jc w:val="both"/>
        <w:rPr>
          <w:rFonts w:ascii="Arial" w:eastAsia="Cambria" w:hAnsi="Arial" w:cs="Arial"/>
          <w:sz w:val="22"/>
          <w:szCs w:val="22"/>
        </w:rPr>
      </w:pPr>
      <w:r w:rsidRPr="00014880">
        <w:rPr>
          <w:rFonts w:ascii="Arial" w:eastAsia="Cambria" w:hAnsi="Arial" w:cs="Arial"/>
          <w:sz w:val="22"/>
          <w:szCs w:val="22"/>
        </w:rPr>
        <w:t xml:space="preserve">La mise en place d’un socle commun d’indicateurs, pour l’ensemble des bilans sociaux de la fonction publique d’Etat, a fait apparaître un nouvel élément de clé de répartition, en faisant apparaître la </w:t>
      </w:r>
      <w:r w:rsidRPr="00014880">
        <w:rPr>
          <w:rFonts w:ascii="Arial" w:eastAsia="Cambria" w:hAnsi="Arial" w:cs="Arial"/>
          <w:b/>
          <w:sz w:val="22"/>
          <w:szCs w:val="22"/>
        </w:rPr>
        <w:t>catégorie A+.</w:t>
      </w:r>
    </w:p>
    <w:p w:rsidR="00646BCA" w:rsidRPr="00014880" w:rsidRDefault="00646BCA" w:rsidP="00646BCA">
      <w:pPr>
        <w:jc w:val="both"/>
        <w:rPr>
          <w:rFonts w:ascii="Arial" w:eastAsia="Cambria" w:hAnsi="Arial" w:cs="Arial"/>
          <w:sz w:val="22"/>
          <w:szCs w:val="22"/>
        </w:rPr>
      </w:pPr>
    </w:p>
    <w:p w:rsidR="00646BCA" w:rsidRPr="00014880" w:rsidRDefault="00646BCA" w:rsidP="00646BCA">
      <w:pPr>
        <w:jc w:val="both"/>
        <w:rPr>
          <w:rFonts w:ascii="Arial" w:eastAsia="Cambria" w:hAnsi="Arial" w:cs="Arial"/>
          <w:sz w:val="22"/>
          <w:szCs w:val="22"/>
        </w:rPr>
      </w:pPr>
      <w:r w:rsidRPr="00014880">
        <w:rPr>
          <w:rFonts w:ascii="Arial" w:eastAsia="Cambria" w:hAnsi="Arial" w:cs="Arial"/>
          <w:sz w:val="22"/>
          <w:szCs w:val="22"/>
        </w:rPr>
        <w:t xml:space="preserve">Cette catégorie n’a pas de référence juridique, mais fait l’objet de travaux d’harmonisation au sein de la DGAFP. Elle a été définie comme suit : </w:t>
      </w:r>
    </w:p>
    <w:p w:rsidR="00405E26" w:rsidRDefault="00646BCA" w:rsidP="00646BCA">
      <w:pPr>
        <w:jc w:val="both"/>
        <w:rPr>
          <w:rFonts w:ascii="Arial" w:eastAsia="Cambria" w:hAnsi="Arial" w:cs="Arial"/>
          <w:i/>
          <w:sz w:val="22"/>
          <w:szCs w:val="22"/>
        </w:rPr>
      </w:pPr>
      <w:r w:rsidRPr="00014880">
        <w:rPr>
          <w:rFonts w:ascii="Arial" w:eastAsia="Cambria" w:hAnsi="Arial" w:cs="Arial"/>
          <w:i/>
          <w:sz w:val="22"/>
          <w:szCs w:val="22"/>
        </w:rPr>
        <w:t xml:space="preserve">« La catégorie A+ est l’ensemble des corps ou emplois fonctionnels dont l’indice terminal du grade supérieur est au moins égal est au moins égal à la hors échelle B (HEB), c’est-à-dire les corps dont un grade atteint un indice majoré strictement supérieur à 963 […] le corps ou emploi doit être un débouché de la catégorie A (et non B). </w:t>
      </w:r>
    </w:p>
    <w:p w:rsidR="007E2702" w:rsidRDefault="007E2702" w:rsidP="00646BCA">
      <w:pPr>
        <w:jc w:val="both"/>
        <w:rPr>
          <w:rFonts w:ascii="Arial" w:eastAsia="Cambria" w:hAnsi="Arial" w:cs="Arial"/>
          <w:sz w:val="22"/>
          <w:szCs w:val="22"/>
        </w:rPr>
      </w:pPr>
    </w:p>
    <w:p w:rsidR="007E2702" w:rsidRDefault="007E2702" w:rsidP="00646BCA">
      <w:pPr>
        <w:jc w:val="both"/>
        <w:rPr>
          <w:rFonts w:ascii="Arial" w:eastAsia="Cambria" w:hAnsi="Arial" w:cs="Arial"/>
          <w:sz w:val="22"/>
          <w:szCs w:val="22"/>
        </w:rPr>
      </w:pPr>
      <w:r>
        <w:rPr>
          <w:rFonts w:ascii="Arial" w:eastAsia="Cambria" w:hAnsi="Arial" w:cs="Arial"/>
          <w:sz w:val="22"/>
          <w:szCs w:val="22"/>
        </w:rPr>
        <w:t xml:space="preserve">La part des femmes est plus importante que celle des hommes dans la filière administrative, mais plus faible dans la filière scientifique. </w:t>
      </w:r>
    </w:p>
    <w:p w:rsidR="00646BCA" w:rsidRPr="00405E26" w:rsidRDefault="00646BCA" w:rsidP="00646BCA">
      <w:pPr>
        <w:jc w:val="both"/>
        <w:rPr>
          <w:rFonts w:ascii="BlairMdITC TT-Medium" w:eastAsia="Cambria" w:hAnsi="BlairMdITC TT-Medium" w:cs="Times New Roman"/>
        </w:rPr>
      </w:pPr>
      <w:r w:rsidRPr="00405E26">
        <w:rPr>
          <w:rFonts w:ascii="BlairMdITC TT-Medium" w:eastAsia="Cambria" w:hAnsi="BlairMdITC TT-Medium" w:cs="Times New Roman"/>
        </w:rPr>
        <w:br w:type="page"/>
      </w:r>
    </w:p>
    <w:p w:rsidR="001F7977" w:rsidRDefault="001F7977" w:rsidP="00E54322">
      <w:pPr>
        <w:pStyle w:val="Paragraphedeliste"/>
        <w:numPr>
          <w:ilvl w:val="0"/>
          <w:numId w:val="60"/>
        </w:numPr>
        <w:spacing w:after="160" w:line="259" w:lineRule="auto"/>
        <w:rPr>
          <w:rFonts w:ascii="Florencesans Exp" w:eastAsia="Cambria" w:hAnsi="Florencesans Exp" w:cs="Times New Roman"/>
        </w:rPr>
      </w:pPr>
      <w:r w:rsidRPr="00E54322">
        <w:rPr>
          <w:rFonts w:ascii="Florencesans Exp" w:eastAsia="Cambria" w:hAnsi="Florencesans Exp" w:cs="Times New Roman"/>
        </w:rPr>
        <w:lastRenderedPageBreak/>
        <w:t xml:space="preserve">A. 2. REPARTITION DES EFFECTIFS PAR CORPS SELON LA FILIERE </w:t>
      </w:r>
      <w:r w:rsidR="00DC7B99" w:rsidRPr="00E54322">
        <w:rPr>
          <w:rFonts w:ascii="Florencesans Exp" w:eastAsia="Cambria" w:hAnsi="Florencesans Exp" w:cs="Times New Roman"/>
        </w:rPr>
        <w:t>(en personnes physiques</w:t>
      </w:r>
      <w:r w:rsidR="006E7D0E">
        <w:rPr>
          <w:rFonts w:ascii="Florencesans Exp" w:eastAsia="Cambria" w:hAnsi="Florencesans Exp" w:cs="Times New Roman"/>
        </w:rPr>
        <w:t xml:space="preserve"> sur budge</w:t>
      </w:r>
      <w:r w:rsidR="00586D50">
        <w:rPr>
          <w:rFonts w:ascii="Florencesans Exp" w:eastAsia="Cambria" w:hAnsi="Florencesans Exp" w:cs="Times New Roman"/>
        </w:rPr>
        <w:t>t</w:t>
      </w:r>
      <w:r w:rsidR="006E7D0E">
        <w:rPr>
          <w:rFonts w:ascii="Florencesans Exp" w:eastAsia="Cambria" w:hAnsi="Florencesans Exp" w:cs="Times New Roman"/>
        </w:rPr>
        <w:t xml:space="preserve"> T2</w:t>
      </w:r>
      <w:r w:rsidR="00DC7B99" w:rsidRPr="00E54322">
        <w:rPr>
          <w:rFonts w:ascii="Florencesans Exp" w:eastAsia="Cambria" w:hAnsi="Florencesans Exp" w:cs="Times New Roman"/>
        </w:rPr>
        <w:t>)</w:t>
      </w:r>
    </w:p>
    <w:p w:rsidR="00E73FC7" w:rsidRDefault="00E73FC7" w:rsidP="00E73FC7">
      <w:pPr>
        <w:pStyle w:val="Paragraphedeliste"/>
        <w:spacing w:after="160" w:line="259" w:lineRule="auto"/>
        <w:ind w:left="756"/>
        <w:rPr>
          <w:rFonts w:ascii="Florencesans Exp" w:eastAsia="Cambria" w:hAnsi="Florencesans Exp" w:cs="Times New Roman"/>
        </w:rPr>
      </w:pPr>
      <w:r w:rsidRPr="00E73FC7">
        <w:rPr>
          <w:noProof/>
          <w:lang w:eastAsia="fr-FR"/>
        </w:rPr>
        <w:drawing>
          <wp:anchor distT="0" distB="0" distL="114300" distR="114300" simplePos="0" relativeHeight="251918336" behindDoc="1" locked="0" layoutInCell="1" allowOverlap="1" wp14:anchorId="682683BC" wp14:editId="2898A90D">
            <wp:simplePos x="0" y="0"/>
            <wp:positionH relativeFrom="column">
              <wp:posOffset>75565</wp:posOffset>
            </wp:positionH>
            <wp:positionV relativeFrom="paragraph">
              <wp:posOffset>180975</wp:posOffset>
            </wp:positionV>
            <wp:extent cx="5760720" cy="5749290"/>
            <wp:effectExtent l="0" t="0" r="0" b="3810"/>
            <wp:wrapTight wrapText="bothSides">
              <wp:wrapPolygon edited="0">
                <wp:start x="0" y="0"/>
                <wp:lineTo x="0" y="21543"/>
                <wp:lineTo x="21500" y="21543"/>
                <wp:lineTo x="21500" y="19539"/>
                <wp:lineTo x="20857" y="19539"/>
                <wp:lineTo x="21500" y="19252"/>
                <wp:lineTo x="21500" y="9233"/>
                <wp:lineTo x="20429" y="9161"/>
                <wp:lineTo x="21500" y="8875"/>
                <wp:lineTo x="21500" y="8302"/>
                <wp:lineTo x="20357" y="8016"/>
                <wp:lineTo x="21500" y="7944"/>
                <wp:lineTo x="21500"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5749290"/>
                    </a:xfrm>
                    <a:prstGeom prst="rect">
                      <a:avLst/>
                    </a:prstGeom>
                    <a:noFill/>
                    <a:ln>
                      <a:noFill/>
                    </a:ln>
                  </pic:spPr>
                </pic:pic>
              </a:graphicData>
            </a:graphic>
          </wp:anchor>
        </w:drawing>
      </w:r>
    </w:p>
    <w:p w:rsidR="00E73FC7" w:rsidRDefault="00E73FC7" w:rsidP="00E73FC7">
      <w:pPr>
        <w:pStyle w:val="Paragraphedeliste"/>
        <w:spacing w:after="160" w:line="259" w:lineRule="auto"/>
        <w:ind w:left="756"/>
        <w:rPr>
          <w:rFonts w:ascii="Florencesans Exp" w:eastAsia="Cambria" w:hAnsi="Florencesans Exp" w:cs="Times New Roman"/>
        </w:rPr>
      </w:pPr>
    </w:p>
    <w:p w:rsidR="00E73FC7" w:rsidRPr="00E54322" w:rsidRDefault="00E73FC7" w:rsidP="00E73FC7">
      <w:pPr>
        <w:pStyle w:val="Paragraphedeliste"/>
        <w:spacing w:after="160" w:line="259" w:lineRule="auto"/>
        <w:ind w:left="756"/>
        <w:rPr>
          <w:rFonts w:ascii="Florencesans Exp" w:eastAsia="Cambria" w:hAnsi="Florencesans Exp" w:cs="Times New Roman"/>
        </w:rPr>
      </w:pPr>
    </w:p>
    <w:p w:rsidR="00E54322" w:rsidRPr="00E54322" w:rsidRDefault="00E54322" w:rsidP="00E54322">
      <w:pPr>
        <w:pStyle w:val="Paragraphedeliste"/>
        <w:spacing w:after="160" w:line="259" w:lineRule="auto"/>
        <w:ind w:left="756"/>
        <w:rPr>
          <w:rFonts w:ascii="Florencesans Exp" w:eastAsia="Cambria" w:hAnsi="Florencesans Exp" w:cs="Times New Roman"/>
        </w:rPr>
      </w:pPr>
    </w:p>
    <w:p w:rsidR="00CE2172" w:rsidRDefault="00CE2172" w:rsidP="00E73FC7">
      <w:pPr>
        <w:spacing w:after="160" w:line="259" w:lineRule="auto"/>
        <w:jc w:val="both"/>
        <w:rPr>
          <w:rFonts w:ascii="BlairMdITC TT-Medium" w:eastAsia="Cambria" w:hAnsi="BlairMdITC TT-Medium" w:cs="Times New Roman"/>
        </w:rPr>
      </w:pPr>
      <w:r>
        <w:rPr>
          <w:rFonts w:ascii="BlairMdITC TT-Medium" w:eastAsia="Cambria" w:hAnsi="BlairMdITC TT-Medium" w:cs="Times New Roman"/>
        </w:rPr>
        <w:br w:type="page"/>
      </w:r>
    </w:p>
    <w:p w:rsidR="00646BCA" w:rsidRDefault="00646BCA" w:rsidP="00646BCA">
      <w:pPr>
        <w:ind w:left="1134" w:hanging="1134"/>
        <w:jc w:val="both"/>
        <w:rPr>
          <w:rFonts w:ascii="Florencesans Exp" w:eastAsia="Cambria" w:hAnsi="Florencesans Exp" w:cs="Times New Roman"/>
        </w:rPr>
      </w:pPr>
      <w:r w:rsidRPr="00085700">
        <w:rPr>
          <w:noProof/>
          <w:lang w:eastAsia="fr-FR"/>
        </w:rPr>
        <w:lastRenderedPageBreak/>
        <w:drawing>
          <wp:anchor distT="0" distB="0" distL="114300" distR="114300" simplePos="0" relativeHeight="251705344" behindDoc="1" locked="0" layoutInCell="1" allowOverlap="1" wp14:anchorId="1921F9A0" wp14:editId="47722FCA">
            <wp:simplePos x="0" y="0"/>
            <wp:positionH relativeFrom="margin">
              <wp:align>center</wp:align>
            </wp:positionH>
            <wp:positionV relativeFrom="paragraph">
              <wp:posOffset>495935</wp:posOffset>
            </wp:positionV>
            <wp:extent cx="6875145" cy="1206500"/>
            <wp:effectExtent l="0" t="0" r="1905" b="0"/>
            <wp:wrapTight wrapText="bothSides">
              <wp:wrapPolygon edited="0">
                <wp:start x="0" y="0"/>
                <wp:lineTo x="0" y="21145"/>
                <wp:lineTo x="21546" y="21145"/>
                <wp:lineTo x="21546" y="0"/>
                <wp:lineTo x="0" y="0"/>
              </wp:wrapPolygon>
            </wp:wrapTight>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75145"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1114">
        <w:rPr>
          <w:rFonts w:ascii="Florencesans Exp" w:eastAsia="Cambria" w:hAnsi="Florencesans Exp" w:cs="Times New Roman"/>
        </w:rPr>
        <w:t xml:space="preserve">1. A. </w:t>
      </w:r>
      <w:r w:rsidR="001F7977">
        <w:rPr>
          <w:rFonts w:ascii="Florencesans Exp" w:eastAsia="Cambria" w:hAnsi="Florencesans Exp" w:cs="Times New Roman"/>
        </w:rPr>
        <w:t>3</w:t>
      </w:r>
      <w:r w:rsidRPr="00771114">
        <w:rPr>
          <w:rFonts w:ascii="Florencesans Exp" w:eastAsia="Cambria" w:hAnsi="Florencesans Exp" w:cs="Times New Roman"/>
        </w:rPr>
        <w:t>. VENTILATION DES EFFECTIFS PAR STATUT ET TYPE DE STRUCTUR</w:t>
      </w:r>
      <w:r w:rsidRPr="001F7977">
        <w:rPr>
          <w:rFonts w:ascii="Florencesans Exp" w:eastAsia="Cambria" w:hAnsi="Florencesans Exp" w:cs="Times New Roman"/>
        </w:rPr>
        <w:t>E</w:t>
      </w:r>
    </w:p>
    <w:p w:rsidR="001F7977" w:rsidRPr="00C363EE" w:rsidRDefault="001F7977" w:rsidP="00646BCA">
      <w:pPr>
        <w:ind w:left="1134" w:hanging="1134"/>
        <w:jc w:val="both"/>
        <w:rPr>
          <w:rFonts w:ascii="BlairMdITC TT-Medium" w:eastAsia="Cambria" w:hAnsi="BlairMdITC TT-Medium" w:cs="Times New Roman"/>
        </w:rPr>
      </w:pP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r w:rsidRPr="00014880">
        <w:rPr>
          <w:rFonts w:ascii="Arial" w:eastAsia="Cambria" w:hAnsi="Arial" w:cs="Times New Roman"/>
          <w:sz w:val="22"/>
          <w:szCs w:val="22"/>
        </w:rPr>
        <w:t>La répartition structurelle des effectifs sur budget du ministère de la culture et de la communication reste constante par rapport à 2012. Elle montre l'importance du poids des opérateurs (EPA), soit 41% des effectifs.</w:t>
      </w:r>
    </w:p>
    <w:p w:rsidR="00646BCA" w:rsidRPr="00014880" w:rsidRDefault="00646BCA" w:rsidP="00646BCA">
      <w:pPr>
        <w:widowControl w:val="0"/>
        <w:autoSpaceDE w:val="0"/>
        <w:autoSpaceDN w:val="0"/>
        <w:adjustRightInd w:val="0"/>
        <w:jc w:val="both"/>
        <w:rPr>
          <w:rFonts w:ascii="Cambria" w:eastAsia="Cambria" w:hAnsi="Cambria" w:cs="Times New Roman"/>
          <w:sz w:val="22"/>
          <w:szCs w:val="22"/>
        </w:rPr>
      </w:pP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r w:rsidRPr="00014880">
        <w:rPr>
          <w:rFonts w:ascii="Arial" w:eastAsia="Cambria" w:hAnsi="Arial" w:cs="Times New Roman"/>
          <w:sz w:val="22"/>
          <w:szCs w:val="22"/>
        </w:rPr>
        <w:t>Concernant les autres types de structure, 18% des effectifs sont affectés en administration centrale (AC) ; 17% au sein des services à compétence nationale (SCN) ; 22% dans les directions régionales des affaires culturelles (DRAC) ; 2% en archives départementales (AD) et bibliothèques municipales classées (BMC).</w:t>
      </w:r>
    </w:p>
    <w:p w:rsidR="00646BCA" w:rsidRDefault="00646BCA" w:rsidP="00646BCA">
      <w:pPr>
        <w:widowControl w:val="0"/>
        <w:autoSpaceDE w:val="0"/>
        <w:autoSpaceDN w:val="0"/>
        <w:adjustRightInd w:val="0"/>
        <w:jc w:val="center"/>
        <w:rPr>
          <w:rFonts w:ascii="Arial" w:eastAsia="Cambria" w:hAnsi="Arial" w:cs="Times New Roman"/>
        </w:rPr>
      </w:pPr>
      <w:r>
        <w:rPr>
          <w:noProof/>
          <w:lang w:eastAsia="fr-FR"/>
        </w:rPr>
        <w:drawing>
          <wp:inline distT="0" distB="0" distL="0" distR="0" wp14:anchorId="02A028DC" wp14:editId="554C368B">
            <wp:extent cx="4337050" cy="2711450"/>
            <wp:effectExtent l="0" t="0" r="6350" b="0"/>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r w:rsidRPr="00014880">
        <w:rPr>
          <w:rFonts w:ascii="Arial" w:eastAsia="Cambria" w:hAnsi="Arial" w:cs="Times New Roman"/>
          <w:sz w:val="22"/>
          <w:szCs w:val="22"/>
        </w:rPr>
        <w:t>Les agents titulaires représentent 87% des effectifs alors que les agents non-titulaires en constituent 13% dont 28% sont affectés en administration centrale. Ces proportions restent globalement stables comparées à celles de 2012.</w:t>
      </w: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p>
    <w:p w:rsidR="00646BCA" w:rsidRPr="00C363EE" w:rsidRDefault="00646BCA" w:rsidP="00646BCA">
      <w:pPr>
        <w:widowControl w:val="0"/>
        <w:autoSpaceDE w:val="0"/>
        <w:autoSpaceDN w:val="0"/>
        <w:adjustRightInd w:val="0"/>
        <w:jc w:val="center"/>
        <w:rPr>
          <w:rFonts w:ascii="Cambria" w:eastAsia="Cambria" w:hAnsi="Cambria" w:cs="Times New Roman"/>
        </w:rPr>
      </w:pPr>
      <w:r>
        <w:rPr>
          <w:noProof/>
          <w:lang w:eastAsia="fr-FR"/>
        </w:rPr>
        <w:drawing>
          <wp:inline distT="0" distB="0" distL="0" distR="0" wp14:anchorId="67D55C4C" wp14:editId="7F42AC5E">
            <wp:extent cx="4394200" cy="2114550"/>
            <wp:effectExtent l="0" t="0" r="6350" b="0"/>
            <wp:docPr id="65" name="Graphique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771114" w:rsidRDefault="001F7977" w:rsidP="00646BCA">
      <w:pPr>
        <w:widowControl w:val="0"/>
        <w:autoSpaceDE w:val="0"/>
        <w:autoSpaceDN w:val="0"/>
        <w:adjustRightInd w:val="0"/>
        <w:jc w:val="both"/>
        <w:rPr>
          <w:rFonts w:ascii="Florencesans Exp" w:eastAsia="Cambria" w:hAnsi="Florencesans Exp" w:cs="Times New Roman"/>
        </w:rPr>
      </w:pPr>
      <w:r>
        <w:rPr>
          <w:rFonts w:ascii="Florencesans Exp" w:eastAsia="Cambria" w:hAnsi="Florencesans Exp" w:cs="Times New Roman"/>
        </w:rPr>
        <w:lastRenderedPageBreak/>
        <w:t>1. A. 4</w:t>
      </w:r>
      <w:r w:rsidR="00646BCA" w:rsidRPr="00771114">
        <w:rPr>
          <w:rFonts w:ascii="Florencesans Exp" w:eastAsia="Cambria" w:hAnsi="Florencesans Exp" w:cs="Times New Roman"/>
        </w:rPr>
        <w:t>. VENTILATION DES EFFECTIFS PAR FILIERE ET CATEGORIE</w:t>
      </w:r>
    </w:p>
    <w:p w:rsidR="00646BCA" w:rsidRPr="00C363EE" w:rsidRDefault="00646BCA" w:rsidP="00646BCA">
      <w:pPr>
        <w:widowControl w:val="0"/>
        <w:autoSpaceDE w:val="0"/>
        <w:autoSpaceDN w:val="0"/>
        <w:adjustRightInd w:val="0"/>
        <w:jc w:val="both"/>
        <w:rPr>
          <w:rFonts w:ascii="Cambria" w:eastAsia="Cambria" w:hAnsi="Cambria" w:cs="Times"/>
        </w:rPr>
      </w:pPr>
    </w:p>
    <w:p w:rsidR="00646BCA" w:rsidRPr="00C363EE" w:rsidRDefault="00646BCA" w:rsidP="00646BCA">
      <w:pPr>
        <w:widowControl w:val="0"/>
        <w:autoSpaceDE w:val="0"/>
        <w:autoSpaceDN w:val="0"/>
        <w:adjustRightInd w:val="0"/>
        <w:jc w:val="both"/>
        <w:rPr>
          <w:rFonts w:ascii="Cambria" w:eastAsia="Cambria" w:hAnsi="Cambria" w:cs="Times"/>
        </w:rPr>
      </w:pPr>
    </w:p>
    <w:p w:rsidR="00646BCA" w:rsidRPr="00C363EE" w:rsidRDefault="00646BCA" w:rsidP="00646BCA">
      <w:pPr>
        <w:widowControl w:val="0"/>
        <w:autoSpaceDE w:val="0"/>
        <w:autoSpaceDN w:val="0"/>
        <w:adjustRightInd w:val="0"/>
        <w:jc w:val="both"/>
        <w:rPr>
          <w:rFonts w:ascii="Cambria" w:eastAsia="Cambria" w:hAnsi="Cambria" w:cs="Times"/>
        </w:rPr>
      </w:pPr>
      <w:r>
        <w:rPr>
          <w:noProof/>
          <w:lang w:eastAsia="fr-FR"/>
        </w:rPr>
        <w:drawing>
          <wp:inline distT="0" distB="0" distL="0" distR="0" wp14:anchorId="3BDB8D68" wp14:editId="70CCA0FA">
            <wp:extent cx="5749637" cy="3470564"/>
            <wp:effectExtent l="0" t="0" r="3810" b="0"/>
            <wp:docPr id="66" name="Graphique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46BCA" w:rsidRPr="00014880" w:rsidRDefault="00646BCA" w:rsidP="00646BCA">
      <w:pPr>
        <w:widowControl w:val="0"/>
        <w:autoSpaceDE w:val="0"/>
        <w:autoSpaceDN w:val="0"/>
        <w:adjustRightInd w:val="0"/>
        <w:jc w:val="both"/>
        <w:rPr>
          <w:rFonts w:ascii="Arial" w:eastAsia="Cambria" w:hAnsi="Arial" w:cs="Times"/>
          <w:sz w:val="22"/>
          <w:szCs w:val="22"/>
        </w:rPr>
      </w:pPr>
      <w:r w:rsidRPr="00014880">
        <w:rPr>
          <w:rFonts w:ascii="Arial" w:eastAsia="Cambria" w:hAnsi="Arial" w:cs="Times"/>
          <w:sz w:val="22"/>
          <w:szCs w:val="22"/>
        </w:rPr>
        <w:t xml:space="preserve">Chacune des filières administrative et technique et enseignement représente environ un quart des effectifs </w:t>
      </w:r>
      <w:r w:rsidR="00405E26">
        <w:rPr>
          <w:rFonts w:ascii="Arial" w:eastAsia="Cambria" w:hAnsi="Arial" w:cs="Times"/>
          <w:sz w:val="22"/>
          <w:szCs w:val="22"/>
        </w:rPr>
        <w:t>sur le titre 2</w:t>
      </w:r>
      <w:r w:rsidRPr="00014880">
        <w:rPr>
          <w:rFonts w:ascii="Arial" w:eastAsia="Cambria" w:hAnsi="Arial" w:cs="Times"/>
          <w:sz w:val="22"/>
          <w:szCs w:val="22"/>
        </w:rPr>
        <w:t xml:space="preserve">. </w:t>
      </w:r>
    </w:p>
    <w:p w:rsidR="00646BCA" w:rsidRPr="00C363EE" w:rsidRDefault="00646BCA" w:rsidP="00646BCA">
      <w:pPr>
        <w:widowControl w:val="0"/>
        <w:autoSpaceDE w:val="0"/>
        <w:autoSpaceDN w:val="0"/>
        <w:adjustRightInd w:val="0"/>
        <w:jc w:val="both"/>
        <w:rPr>
          <w:rFonts w:ascii="Arial" w:eastAsia="Cambria" w:hAnsi="Arial" w:cs="Times"/>
        </w:rPr>
      </w:pPr>
    </w:p>
    <w:p w:rsidR="00646BCA" w:rsidRPr="00C363EE" w:rsidRDefault="00646BCA" w:rsidP="00646BCA">
      <w:pPr>
        <w:widowControl w:val="0"/>
        <w:autoSpaceDE w:val="0"/>
        <w:autoSpaceDN w:val="0"/>
        <w:adjustRightInd w:val="0"/>
        <w:jc w:val="center"/>
        <w:rPr>
          <w:rFonts w:ascii="Cambria" w:eastAsia="Cambria" w:hAnsi="Cambria" w:cs="Times"/>
        </w:rPr>
      </w:pPr>
      <w:r>
        <w:rPr>
          <w:noProof/>
          <w:lang w:eastAsia="fr-FR"/>
        </w:rPr>
        <w:drawing>
          <wp:inline distT="0" distB="0" distL="0" distR="0" wp14:anchorId="75487A9F" wp14:editId="789523DD">
            <wp:extent cx="5473700" cy="2705100"/>
            <wp:effectExtent l="0" t="0" r="0" b="0"/>
            <wp:docPr id="67" name="Graphique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46BCA" w:rsidRPr="00C363EE" w:rsidRDefault="00646BCA" w:rsidP="00646BCA">
      <w:pPr>
        <w:widowControl w:val="0"/>
        <w:autoSpaceDE w:val="0"/>
        <w:autoSpaceDN w:val="0"/>
        <w:adjustRightInd w:val="0"/>
        <w:jc w:val="both"/>
        <w:rPr>
          <w:rFonts w:ascii="Cambria" w:eastAsia="Cambria" w:hAnsi="Cambria" w:cs="Times"/>
        </w:rPr>
      </w:pPr>
    </w:p>
    <w:p w:rsidR="00646BCA" w:rsidRPr="001C4883" w:rsidRDefault="00646BCA" w:rsidP="00646BCA">
      <w:pPr>
        <w:widowControl w:val="0"/>
        <w:autoSpaceDE w:val="0"/>
        <w:autoSpaceDN w:val="0"/>
        <w:adjustRightInd w:val="0"/>
        <w:jc w:val="both"/>
        <w:rPr>
          <w:rFonts w:ascii="Arial" w:eastAsia="Cambria" w:hAnsi="Arial" w:cs="Arial"/>
        </w:rPr>
      </w:pPr>
    </w:p>
    <w:p w:rsidR="00646BCA" w:rsidRPr="00014880" w:rsidRDefault="00646BCA" w:rsidP="00646BCA">
      <w:pPr>
        <w:widowControl w:val="0"/>
        <w:autoSpaceDE w:val="0"/>
        <w:autoSpaceDN w:val="0"/>
        <w:adjustRightInd w:val="0"/>
        <w:jc w:val="both"/>
        <w:rPr>
          <w:rFonts w:ascii="Arial" w:eastAsia="Cambria" w:hAnsi="Arial" w:cs="Arial"/>
          <w:sz w:val="22"/>
          <w:szCs w:val="22"/>
        </w:rPr>
      </w:pPr>
      <w:r w:rsidRPr="00014880">
        <w:rPr>
          <w:rFonts w:ascii="Arial" w:eastAsia="Cambria" w:hAnsi="Arial" w:cs="Arial"/>
          <w:sz w:val="22"/>
          <w:szCs w:val="22"/>
        </w:rPr>
        <w:t>Comme en 2012, la catégorie A (40%) et la catégorie C (36%) sont les plus représentées au sein du ministère de la</w:t>
      </w:r>
      <w:r w:rsidR="00405E26">
        <w:rPr>
          <w:rFonts w:ascii="Arial" w:eastAsia="Cambria" w:hAnsi="Arial" w:cs="Arial"/>
          <w:sz w:val="22"/>
          <w:szCs w:val="22"/>
        </w:rPr>
        <w:t xml:space="preserve"> culture et de la communication sur le titre 2.</w:t>
      </w:r>
    </w:p>
    <w:p w:rsidR="00646BCA" w:rsidRPr="001C4883" w:rsidRDefault="00646BCA" w:rsidP="00646BCA">
      <w:pPr>
        <w:widowControl w:val="0"/>
        <w:autoSpaceDE w:val="0"/>
        <w:autoSpaceDN w:val="0"/>
        <w:adjustRightInd w:val="0"/>
        <w:jc w:val="both"/>
        <w:rPr>
          <w:rFonts w:ascii="Arial" w:eastAsia="Cambria" w:hAnsi="Arial" w:cs="Arial"/>
        </w:rPr>
      </w:pPr>
    </w:p>
    <w:p w:rsidR="00646BCA" w:rsidRPr="001C4883" w:rsidRDefault="00646BCA" w:rsidP="00646BCA">
      <w:pPr>
        <w:widowControl w:val="0"/>
        <w:autoSpaceDE w:val="0"/>
        <w:autoSpaceDN w:val="0"/>
        <w:adjustRightInd w:val="0"/>
        <w:jc w:val="both"/>
        <w:rPr>
          <w:rFonts w:ascii="Arial" w:eastAsia="Cambria" w:hAnsi="Arial" w:cs="Arial"/>
        </w:rPr>
      </w:pPr>
    </w:p>
    <w:p w:rsidR="00646BCA" w:rsidRPr="001C4883" w:rsidRDefault="00646BCA" w:rsidP="00646BCA">
      <w:pPr>
        <w:widowControl w:val="0"/>
        <w:autoSpaceDE w:val="0"/>
        <w:autoSpaceDN w:val="0"/>
        <w:adjustRightInd w:val="0"/>
        <w:jc w:val="both"/>
        <w:rPr>
          <w:rFonts w:ascii="Arial" w:eastAsia="Cambria" w:hAnsi="Arial" w:cs="Arial"/>
        </w:rPr>
      </w:pPr>
    </w:p>
    <w:p w:rsidR="00646BCA" w:rsidRPr="00C363EE" w:rsidRDefault="00DF103E" w:rsidP="00646BCA">
      <w:pPr>
        <w:widowControl w:val="0"/>
        <w:autoSpaceDE w:val="0"/>
        <w:autoSpaceDN w:val="0"/>
        <w:adjustRightInd w:val="0"/>
        <w:jc w:val="both"/>
        <w:rPr>
          <w:rFonts w:ascii="Cambria" w:eastAsia="Cambria" w:hAnsi="Cambria" w:cs="Times"/>
        </w:rPr>
      </w:pPr>
      <w:r w:rsidRPr="00DF103E">
        <w:rPr>
          <w:noProof/>
          <w:lang w:eastAsia="fr-FR"/>
        </w:rPr>
        <w:lastRenderedPageBreak/>
        <w:drawing>
          <wp:inline distT="0" distB="0" distL="0" distR="0">
            <wp:extent cx="5760720" cy="4601181"/>
            <wp:effectExtent l="0" t="0" r="0" b="952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4601181"/>
                    </a:xfrm>
                    <a:prstGeom prst="rect">
                      <a:avLst/>
                    </a:prstGeom>
                    <a:noFill/>
                    <a:ln>
                      <a:noFill/>
                    </a:ln>
                  </pic:spPr>
                </pic:pic>
              </a:graphicData>
            </a:graphic>
          </wp:inline>
        </w:drawing>
      </w:r>
    </w:p>
    <w:p w:rsidR="00A01D11" w:rsidRDefault="00646BCA" w:rsidP="00646BCA">
      <w:pPr>
        <w:widowControl w:val="0"/>
        <w:autoSpaceDE w:val="0"/>
        <w:autoSpaceDN w:val="0"/>
        <w:adjustRightInd w:val="0"/>
        <w:jc w:val="both"/>
        <w:rPr>
          <w:rFonts w:ascii="Arial" w:eastAsia="Cambria" w:hAnsi="Arial" w:cs="Times"/>
          <w:sz w:val="22"/>
          <w:szCs w:val="22"/>
        </w:rPr>
      </w:pPr>
      <w:r w:rsidRPr="00014880">
        <w:rPr>
          <w:rFonts w:ascii="Arial" w:eastAsia="Cambria" w:hAnsi="Arial" w:cs="Times"/>
          <w:sz w:val="22"/>
          <w:szCs w:val="22"/>
        </w:rPr>
        <w:t>On observe une forte proportion d'agents de catégorie C dans la filière administrative (52%), tandis que les agents de catégorie A prédominent dans les filières scientifique (84%) et technique et enseignement (47%). Les agents non titulair</w:t>
      </w:r>
      <w:r w:rsidR="00A01D11">
        <w:rPr>
          <w:rFonts w:ascii="Arial" w:eastAsia="Cambria" w:hAnsi="Arial" w:cs="Times"/>
          <w:sz w:val="22"/>
          <w:szCs w:val="22"/>
        </w:rPr>
        <w:t>es sont, à 73%, de catégorie A.</w:t>
      </w:r>
    </w:p>
    <w:p w:rsidR="00A01D11" w:rsidRDefault="00A01D11" w:rsidP="00646BCA">
      <w:pPr>
        <w:widowControl w:val="0"/>
        <w:autoSpaceDE w:val="0"/>
        <w:autoSpaceDN w:val="0"/>
        <w:adjustRightInd w:val="0"/>
        <w:jc w:val="both"/>
        <w:rPr>
          <w:rFonts w:ascii="Arial" w:eastAsia="Cambria" w:hAnsi="Arial" w:cs="Times"/>
          <w:sz w:val="22"/>
          <w:szCs w:val="22"/>
        </w:rPr>
      </w:pPr>
    </w:p>
    <w:p w:rsidR="00A01D11" w:rsidRPr="00A01D11" w:rsidRDefault="00A01D11" w:rsidP="00646BCA">
      <w:pPr>
        <w:widowControl w:val="0"/>
        <w:autoSpaceDE w:val="0"/>
        <w:autoSpaceDN w:val="0"/>
        <w:adjustRightInd w:val="0"/>
        <w:jc w:val="both"/>
        <w:rPr>
          <w:rFonts w:ascii="Arial" w:eastAsia="Cambria" w:hAnsi="Arial" w:cs="Times"/>
          <w:sz w:val="22"/>
          <w:szCs w:val="22"/>
        </w:rPr>
      </w:pPr>
      <w:r>
        <w:rPr>
          <w:rFonts w:ascii="Arial" w:eastAsia="Cambria" w:hAnsi="Arial" w:cs="Times"/>
          <w:sz w:val="22"/>
          <w:szCs w:val="22"/>
        </w:rPr>
        <w:t xml:space="preserve">Le nombre d’agents non titulaires du titre 2 reste stable avec une hausse </w:t>
      </w:r>
      <w:r w:rsidR="005A468D">
        <w:rPr>
          <w:rFonts w:ascii="Arial" w:eastAsia="Cambria" w:hAnsi="Arial" w:cs="Times"/>
          <w:sz w:val="22"/>
          <w:szCs w:val="22"/>
        </w:rPr>
        <w:t xml:space="preserve">globale </w:t>
      </w:r>
      <w:r>
        <w:rPr>
          <w:rFonts w:ascii="Arial" w:eastAsia="Cambria" w:hAnsi="Arial" w:cs="Times"/>
          <w:sz w:val="22"/>
          <w:szCs w:val="22"/>
        </w:rPr>
        <w:t xml:space="preserve">des effectifs de 1% entre 2012 et 2013. </w:t>
      </w:r>
    </w:p>
    <w:p w:rsidR="00646BCA" w:rsidRPr="00C363EE" w:rsidRDefault="00646BCA" w:rsidP="00646BCA">
      <w:pPr>
        <w:widowControl w:val="0"/>
        <w:autoSpaceDE w:val="0"/>
        <w:autoSpaceDN w:val="0"/>
        <w:adjustRightInd w:val="0"/>
        <w:jc w:val="center"/>
        <w:rPr>
          <w:rFonts w:ascii="Cambria" w:eastAsia="Cambria" w:hAnsi="Cambria" w:cs="Times"/>
        </w:rPr>
      </w:pPr>
      <w:r>
        <w:rPr>
          <w:noProof/>
          <w:lang w:eastAsia="fr-FR"/>
        </w:rPr>
        <w:drawing>
          <wp:inline distT="0" distB="0" distL="0" distR="0" wp14:anchorId="27457583" wp14:editId="2EB9DA1D">
            <wp:extent cx="5951220" cy="2743200"/>
            <wp:effectExtent l="0" t="0" r="0" b="0"/>
            <wp:docPr id="71" name="Graphique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46BCA" w:rsidRDefault="00646BCA" w:rsidP="00646BCA">
      <w:pPr>
        <w:widowControl w:val="0"/>
        <w:autoSpaceDE w:val="0"/>
        <w:autoSpaceDN w:val="0"/>
        <w:adjustRightInd w:val="0"/>
        <w:rPr>
          <w:rFonts w:ascii="BlairMdITC TT-Medium" w:eastAsia="Cambria" w:hAnsi="BlairMdITC TT-Medium" w:cs="Times New Roman"/>
        </w:rPr>
      </w:pPr>
    </w:p>
    <w:p w:rsidR="00646BCA" w:rsidRDefault="00646BCA" w:rsidP="00646BCA">
      <w:pPr>
        <w:widowControl w:val="0"/>
        <w:autoSpaceDE w:val="0"/>
        <w:autoSpaceDN w:val="0"/>
        <w:adjustRightInd w:val="0"/>
        <w:rPr>
          <w:rFonts w:ascii="BlairMdITC TT-Medium" w:eastAsia="Cambria" w:hAnsi="BlairMdITC TT-Medium" w:cs="Times New Roman"/>
        </w:rPr>
      </w:pPr>
    </w:p>
    <w:p w:rsidR="00646BCA"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311B99" w:rsidRDefault="001F7977" w:rsidP="00646BCA">
      <w:pPr>
        <w:widowControl w:val="0"/>
        <w:autoSpaceDE w:val="0"/>
        <w:autoSpaceDN w:val="0"/>
        <w:adjustRightInd w:val="0"/>
        <w:ind w:left="1134" w:hanging="1134"/>
        <w:jc w:val="both"/>
        <w:rPr>
          <w:rFonts w:ascii="Florencesans Exp" w:eastAsia="Cambria" w:hAnsi="Florencesans Exp" w:cs="Times New Roman"/>
        </w:rPr>
      </w:pPr>
      <w:r>
        <w:rPr>
          <w:rFonts w:ascii="Florencesans Exp" w:eastAsia="Cambria" w:hAnsi="Florencesans Exp" w:cs="Times New Roman"/>
        </w:rPr>
        <w:t>1. A. 5</w:t>
      </w:r>
      <w:r w:rsidR="00646BCA" w:rsidRPr="00311B99">
        <w:rPr>
          <w:rFonts w:ascii="Florencesans Exp" w:eastAsia="Cambria" w:hAnsi="Florencesans Exp" w:cs="Times New Roman"/>
        </w:rPr>
        <w:t>. VENTILATION DES EFFECTIFS PAR TYPE DE STRUCTURE, FILIERE ET CAT</w:t>
      </w:r>
      <w:r w:rsidR="00646BCA">
        <w:rPr>
          <w:rFonts w:ascii="Florencesans Exp" w:eastAsia="Cambria" w:hAnsi="Florencesans Exp" w:cs="Times New Roman"/>
          <w:caps/>
        </w:rPr>
        <w:t>É</w:t>
      </w:r>
      <w:r w:rsidR="00646BCA" w:rsidRPr="00311B99">
        <w:rPr>
          <w:rFonts w:ascii="Florencesans Exp" w:eastAsia="Cambria" w:hAnsi="Florencesans Exp" w:cs="Times New Roman"/>
        </w:rPr>
        <w:t>GORIE</w:t>
      </w:r>
    </w:p>
    <w:p w:rsidR="00646BCA" w:rsidRPr="00A75623" w:rsidRDefault="00646BCA" w:rsidP="00646BCA">
      <w:pPr>
        <w:widowControl w:val="0"/>
        <w:autoSpaceDE w:val="0"/>
        <w:autoSpaceDN w:val="0"/>
        <w:adjustRightInd w:val="0"/>
        <w:jc w:val="both"/>
        <w:rPr>
          <w:rFonts w:ascii="Cambria" w:eastAsia="Cambria" w:hAnsi="Cambria" w:cs="Times New Roman"/>
          <w:sz w:val="16"/>
          <w:szCs w:val="16"/>
        </w:rPr>
      </w:pPr>
      <w:r w:rsidRPr="00A75623">
        <w:rPr>
          <w:noProof/>
          <w:sz w:val="16"/>
          <w:szCs w:val="16"/>
          <w:lang w:eastAsia="fr-FR"/>
        </w:rPr>
        <w:drawing>
          <wp:anchor distT="0" distB="0" distL="114300" distR="114300" simplePos="0" relativeHeight="251706368" behindDoc="1" locked="0" layoutInCell="1" allowOverlap="1" wp14:anchorId="2AF154DE" wp14:editId="07518352">
            <wp:simplePos x="0" y="0"/>
            <wp:positionH relativeFrom="margin">
              <wp:align>center</wp:align>
            </wp:positionH>
            <wp:positionV relativeFrom="paragraph">
              <wp:posOffset>215265</wp:posOffset>
            </wp:positionV>
            <wp:extent cx="6832600" cy="1625600"/>
            <wp:effectExtent l="0" t="0" r="6350" b="0"/>
            <wp:wrapTight wrapText="bothSides">
              <wp:wrapPolygon edited="0">
                <wp:start x="0" y="0"/>
                <wp:lineTo x="0" y="21263"/>
                <wp:lineTo x="21560" y="21263"/>
                <wp:lineTo x="21560" y="0"/>
                <wp:lineTo x="0" y="0"/>
              </wp:wrapPolygon>
            </wp:wrapTight>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32600" cy="162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E3F">
        <w:rPr>
          <w:noProof/>
          <w:sz w:val="16"/>
          <w:szCs w:val="16"/>
          <w:lang w:eastAsia="fr-FR"/>
        </w:rPr>
        <w:t xml:space="preserve">              </w:t>
      </w: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r w:rsidRPr="002A033F">
        <w:rPr>
          <w:noProof/>
          <w:sz w:val="16"/>
          <w:szCs w:val="16"/>
          <w:lang w:eastAsia="fr-FR"/>
        </w:rPr>
        <w:drawing>
          <wp:anchor distT="0" distB="0" distL="114300" distR="114300" simplePos="0" relativeHeight="251707392" behindDoc="1" locked="0" layoutInCell="1" allowOverlap="1" wp14:anchorId="5D279CE1" wp14:editId="53BA5780">
            <wp:simplePos x="0" y="0"/>
            <wp:positionH relativeFrom="margin">
              <wp:align>center</wp:align>
            </wp:positionH>
            <wp:positionV relativeFrom="paragraph">
              <wp:posOffset>8890</wp:posOffset>
            </wp:positionV>
            <wp:extent cx="4902200" cy="2095500"/>
            <wp:effectExtent l="0" t="0" r="0" b="0"/>
            <wp:wrapTight wrapText="bothSides">
              <wp:wrapPolygon edited="0">
                <wp:start x="0" y="0"/>
                <wp:lineTo x="0" y="21404"/>
                <wp:lineTo x="21488" y="21404"/>
                <wp:lineTo x="21488" y="0"/>
                <wp:lineTo x="0" y="0"/>
              </wp:wrapPolygon>
            </wp:wrapTight>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02200" cy="2095500"/>
                    </a:xfrm>
                    <a:prstGeom prst="rect">
                      <a:avLst/>
                    </a:prstGeom>
                    <a:noFill/>
                    <a:ln>
                      <a:noFill/>
                    </a:ln>
                  </pic:spPr>
                </pic:pic>
              </a:graphicData>
            </a:graphic>
          </wp:anchor>
        </w:drawing>
      </w: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Default="00646BCA" w:rsidP="00646BCA">
      <w:pPr>
        <w:widowControl w:val="0"/>
        <w:autoSpaceDE w:val="0"/>
        <w:autoSpaceDN w:val="0"/>
        <w:adjustRightInd w:val="0"/>
        <w:jc w:val="both"/>
        <w:rPr>
          <w:rFonts w:ascii="Cambria" w:eastAsia="Cambria" w:hAnsi="Cambria" w:cs="Times New Roman"/>
          <w:sz w:val="16"/>
          <w:szCs w:val="16"/>
        </w:rPr>
      </w:pPr>
    </w:p>
    <w:p w:rsidR="00646BCA" w:rsidRDefault="00646BCA" w:rsidP="00646BCA">
      <w:pPr>
        <w:widowControl w:val="0"/>
        <w:autoSpaceDE w:val="0"/>
        <w:autoSpaceDN w:val="0"/>
        <w:adjustRightInd w:val="0"/>
        <w:jc w:val="both"/>
        <w:rPr>
          <w:rFonts w:ascii="Cambria" w:eastAsia="Cambria" w:hAnsi="Cambria" w:cs="Times New Roman"/>
          <w:sz w:val="16"/>
          <w:szCs w:val="16"/>
        </w:rPr>
      </w:pPr>
    </w:p>
    <w:p w:rsidR="00646BCA" w:rsidRDefault="00646BCA" w:rsidP="00646BCA">
      <w:pPr>
        <w:widowControl w:val="0"/>
        <w:autoSpaceDE w:val="0"/>
        <w:autoSpaceDN w:val="0"/>
        <w:adjustRightInd w:val="0"/>
        <w:jc w:val="both"/>
        <w:rPr>
          <w:rFonts w:ascii="Cambria" w:eastAsia="Cambria" w:hAnsi="Cambria" w:cs="Times New Roman"/>
          <w:sz w:val="16"/>
          <w:szCs w:val="16"/>
        </w:rPr>
      </w:pPr>
    </w:p>
    <w:p w:rsidR="00646BCA" w:rsidRDefault="00646BCA" w:rsidP="00646BCA">
      <w:pPr>
        <w:widowControl w:val="0"/>
        <w:autoSpaceDE w:val="0"/>
        <w:autoSpaceDN w:val="0"/>
        <w:adjustRightInd w:val="0"/>
        <w:jc w:val="both"/>
        <w:rPr>
          <w:rFonts w:ascii="Cambria" w:eastAsia="Cambria" w:hAnsi="Cambria" w:cs="Times New Roman"/>
          <w:sz w:val="16"/>
          <w:szCs w:val="16"/>
        </w:rPr>
      </w:pPr>
    </w:p>
    <w:p w:rsidR="00646BCA" w:rsidRDefault="00646BCA" w:rsidP="00646BCA">
      <w:pPr>
        <w:widowControl w:val="0"/>
        <w:autoSpaceDE w:val="0"/>
        <w:autoSpaceDN w:val="0"/>
        <w:adjustRightInd w:val="0"/>
        <w:jc w:val="both"/>
        <w:rPr>
          <w:rFonts w:ascii="Cambria" w:eastAsia="Cambria" w:hAnsi="Cambria" w:cs="Times New Roman"/>
          <w:sz w:val="16"/>
          <w:szCs w:val="16"/>
        </w:rPr>
      </w:pPr>
    </w:p>
    <w:p w:rsidR="00646BCA" w:rsidRPr="002A033F" w:rsidRDefault="00646BCA" w:rsidP="00646BCA">
      <w:pPr>
        <w:widowControl w:val="0"/>
        <w:autoSpaceDE w:val="0"/>
        <w:autoSpaceDN w:val="0"/>
        <w:adjustRightInd w:val="0"/>
        <w:jc w:val="both"/>
        <w:rPr>
          <w:rFonts w:ascii="Cambria" w:eastAsia="Cambria" w:hAnsi="Cambria" w:cs="Times New Roman"/>
          <w:sz w:val="16"/>
          <w:szCs w:val="16"/>
        </w:rPr>
      </w:pPr>
    </w:p>
    <w:p w:rsidR="00646BCA" w:rsidRPr="00014880" w:rsidRDefault="00646BCA" w:rsidP="00646BCA">
      <w:pPr>
        <w:widowControl w:val="0"/>
        <w:autoSpaceDE w:val="0"/>
        <w:autoSpaceDN w:val="0"/>
        <w:adjustRightInd w:val="0"/>
        <w:jc w:val="both"/>
        <w:rPr>
          <w:rFonts w:ascii="Arial" w:eastAsia="Cambria" w:hAnsi="Arial" w:cs="Arial"/>
          <w:sz w:val="22"/>
          <w:szCs w:val="22"/>
        </w:rPr>
      </w:pPr>
      <w:r w:rsidRPr="00014880">
        <w:rPr>
          <w:rFonts w:ascii="Arial" w:eastAsia="Cambria" w:hAnsi="Arial" w:cs="Arial"/>
          <w:sz w:val="22"/>
          <w:szCs w:val="22"/>
        </w:rPr>
        <w:t>Les agents affectés en administration centrale (AC) sont, pour près de la moitié (46%) des agents de catégorie A. Dans les mêmes proportions (45%), les agents exerçant leur fonction dans les services à compétence nationales (SCN) relèvent de la catégorie C. Concernant les effectifs des services déconcentrés, directions régionales des affaires culturelles (DRAC) et établissements publics (EP), ce sont les catégories A et C qui prédominent : 41% de catégorie A et 32% de catégorie C pour les DRAC et respectivement 40% et 42% pour les EP.</w:t>
      </w:r>
      <w:r w:rsidRPr="00014880">
        <w:rPr>
          <w:noProof/>
          <w:sz w:val="22"/>
          <w:szCs w:val="22"/>
          <w:lang w:eastAsia="fr-FR"/>
        </w:rPr>
        <w:t xml:space="preserve"> </w:t>
      </w:r>
    </w:p>
    <w:p w:rsidR="00646BCA" w:rsidRPr="00C363EE" w:rsidRDefault="00646BCA" w:rsidP="00646BCA">
      <w:pPr>
        <w:widowControl w:val="0"/>
        <w:autoSpaceDE w:val="0"/>
        <w:autoSpaceDN w:val="0"/>
        <w:adjustRightInd w:val="0"/>
        <w:jc w:val="center"/>
        <w:rPr>
          <w:rFonts w:ascii="Cambria" w:eastAsia="Cambria" w:hAnsi="Cambria" w:cs="Times New Roman"/>
        </w:rPr>
      </w:pPr>
      <w:r>
        <w:rPr>
          <w:noProof/>
          <w:lang w:eastAsia="fr-FR"/>
        </w:rPr>
        <w:drawing>
          <wp:anchor distT="0" distB="0" distL="114300" distR="114300" simplePos="0" relativeHeight="251755520" behindDoc="1" locked="0" layoutInCell="1" allowOverlap="1" wp14:anchorId="2EBBBBB1" wp14:editId="731C483E">
            <wp:simplePos x="0" y="0"/>
            <wp:positionH relativeFrom="margin">
              <wp:align>center</wp:align>
            </wp:positionH>
            <wp:positionV relativeFrom="paragraph">
              <wp:posOffset>231140</wp:posOffset>
            </wp:positionV>
            <wp:extent cx="5276850" cy="2736850"/>
            <wp:effectExtent l="0" t="0" r="0" b="6350"/>
            <wp:wrapTight wrapText="bothSides">
              <wp:wrapPolygon edited="0">
                <wp:start x="0" y="0"/>
                <wp:lineTo x="0" y="21500"/>
                <wp:lineTo x="21522" y="21500"/>
                <wp:lineTo x="21522" y="0"/>
                <wp:lineTo x="0" y="0"/>
              </wp:wrapPolygon>
            </wp:wrapTight>
            <wp:docPr id="75" name="Graphique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rsidR="00646BCA" w:rsidRPr="00C363EE" w:rsidRDefault="00646BCA" w:rsidP="00646BCA">
      <w:pPr>
        <w:widowControl w:val="0"/>
        <w:autoSpaceDE w:val="0"/>
        <w:autoSpaceDN w:val="0"/>
        <w:adjustRightInd w:val="0"/>
        <w:jc w:val="both"/>
        <w:rPr>
          <w:rFonts w:ascii="Cambria" w:eastAsia="Cambria" w:hAnsi="Cambria" w:cs="Times New Roman"/>
        </w:rPr>
      </w:pPr>
    </w:p>
    <w:p w:rsidR="00646BCA" w:rsidRPr="00C363EE" w:rsidRDefault="00646BCA" w:rsidP="00646BCA">
      <w:pPr>
        <w:widowControl w:val="0"/>
        <w:autoSpaceDE w:val="0"/>
        <w:autoSpaceDN w:val="0"/>
        <w:adjustRightInd w:val="0"/>
        <w:jc w:val="center"/>
        <w:rPr>
          <w:rFonts w:ascii="Cambria" w:eastAsia="Cambria" w:hAnsi="Cambria" w:cs="Times New Roman"/>
        </w:rPr>
      </w:pPr>
      <w:r>
        <w:rPr>
          <w:noProof/>
          <w:lang w:eastAsia="fr-FR"/>
        </w:rPr>
        <w:drawing>
          <wp:inline distT="0" distB="0" distL="0" distR="0" wp14:anchorId="1F0C75A6" wp14:editId="3C0A3659">
            <wp:extent cx="6254750" cy="3232150"/>
            <wp:effectExtent l="0" t="0" r="0" b="6350"/>
            <wp:docPr id="76" name="Graphique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46BCA" w:rsidRPr="00C363EE" w:rsidRDefault="00646BCA" w:rsidP="00646BCA">
      <w:pPr>
        <w:widowControl w:val="0"/>
        <w:autoSpaceDE w:val="0"/>
        <w:autoSpaceDN w:val="0"/>
        <w:adjustRightInd w:val="0"/>
        <w:jc w:val="both"/>
        <w:rPr>
          <w:rFonts w:ascii="Cambria" w:eastAsia="Cambria" w:hAnsi="Cambria" w:cs="Times New Roman"/>
        </w:rPr>
      </w:pPr>
    </w:p>
    <w:p w:rsidR="00646BCA" w:rsidRDefault="00646BCA" w:rsidP="00646BCA">
      <w:pPr>
        <w:rPr>
          <w:rFonts w:ascii="Cambria" w:eastAsia="Cambria" w:hAnsi="Cambria" w:cs="Times New Roman"/>
        </w:rPr>
      </w:pPr>
      <w:r>
        <w:rPr>
          <w:rFonts w:ascii="Cambria" w:eastAsia="Cambria" w:hAnsi="Cambria" w:cs="Times New Roman"/>
        </w:rPr>
        <w:br w:type="page"/>
      </w:r>
    </w:p>
    <w:p w:rsidR="00646BCA" w:rsidRPr="00C363EE" w:rsidRDefault="00646BCA" w:rsidP="00646BCA">
      <w:pPr>
        <w:widowControl w:val="0"/>
        <w:autoSpaceDE w:val="0"/>
        <w:autoSpaceDN w:val="0"/>
        <w:adjustRightInd w:val="0"/>
        <w:jc w:val="both"/>
        <w:rPr>
          <w:rFonts w:ascii="Cambria" w:eastAsia="Cambria" w:hAnsi="Cambria" w:cs="Times New Roman"/>
        </w:rPr>
      </w:pPr>
    </w:p>
    <w:p w:rsidR="00646BCA" w:rsidRPr="00311B99" w:rsidRDefault="001F7977" w:rsidP="00646BCA">
      <w:pPr>
        <w:widowControl w:val="0"/>
        <w:autoSpaceDE w:val="0"/>
        <w:autoSpaceDN w:val="0"/>
        <w:adjustRightInd w:val="0"/>
        <w:rPr>
          <w:rFonts w:ascii="Florencesans Exp" w:eastAsia="Cambria" w:hAnsi="Florencesans Exp" w:cs="Times New Roman"/>
        </w:rPr>
      </w:pPr>
      <w:r>
        <w:rPr>
          <w:rFonts w:ascii="Florencesans Exp" w:eastAsia="Cambria" w:hAnsi="Florencesans Exp" w:cs="Times New Roman"/>
        </w:rPr>
        <w:t>1. A. 6</w:t>
      </w:r>
      <w:r w:rsidR="00646BCA" w:rsidRPr="00311B99">
        <w:rPr>
          <w:rFonts w:ascii="Florencesans Exp" w:eastAsia="Cambria" w:hAnsi="Florencesans Exp" w:cs="Times New Roman"/>
        </w:rPr>
        <w:t>. REPARTITION GEOGRAPHIQUE DES EFFECTIFS</w:t>
      </w:r>
    </w:p>
    <w:p w:rsidR="00646BCA" w:rsidRPr="00C363EE" w:rsidRDefault="00646BCA" w:rsidP="00646BCA">
      <w:pPr>
        <w:widowControl w:val="0"/>
        <w:autoSpaceDE w:val="0"/>
        <w:autoSpaceDN w:val="0"/>
        <w:adjustRightInd w:val="0"/>
        <w:jc w:val="both"/>
        <w:rPr>
          <w:rFonts w:ascii="Cambria" w:eastAsia="Cambria" w:hAnsi="Cambria" w:cs="Times New Roman"/>
        </w:rPr>
      </w:pPr>
      <w:r w:rsidRPr="007746F6">
        <w:rPr>
          <w:noProof/>
          <w:lang w:eastAsia="fr-FR"/>
        </w:rPr>
        <w:drawing>
          <wp:anchor distT="0" distB="0" distL="114300" distR="114300" simplePos="0" relativeHeight="251708416" behindDoc="1" locked="0" layoutInCell="1" allowOverlap="1" wp14:anchorId="6ED3D463" wp14:editId="4F87D4EC">
            <wp:simplePos x="0" y="0"/>
            <wp:positionH relativeFrom="margin">
              <wp:posOffset>1202055</wp:posOffset>
            </wp:positionH>
            <wp:positionV relativeFrom="paragraph">
              <wp:posOffset>68580</wp:posOffset>
            </wp:positionV>
            <wp:extent cx="3384550" cy="4800600"/>
            <wp:effectExtent l="0" t="0" r="6350" b="0"/>
            <wp:wrapTight wrapText="bothSides">
              <wp:wrapPolygon edited="0">
                <wp:start x="0" y="0"/>
                <wp:lineTo x="0" y="21514"/>
                <wp:lineTo x="21519" y="21514"/>
                <wp:lineTo x="21519" y="19200"/>
                <wp:lineTo x="19452" y="19200"/>
                <wp:lineTo x="21519" y="18686"/>
                <wp:lineTo x="21519" y="17057"/>
                <wp:lineTo x="19209" y="16457"/>
                <wp:lineTo x="21519" y="16457"/>
                <wp:lineTo x="21519" y="15600"/>
                <wp:lineTo x="19452" y="15086"/>
                <wp:lineTo x="21519" y="15000"/>
                <wp:lineTo x="21519" y="14143"/>
                <wp:lineTo x="19331" y="13714"/>
                <wp:lineTo x="21519" y="13543"/>
                <wp:lineTo x="21519" y="11143"/>
                <wp:lineTo x="19574" y="10971"/>
                <wp:lineTo x="21519" y="10629"/>
                <wp:lineTo x="21519" y="8229"/>
                <wp:lineTo x="19452" y="8229"/>
                <wp:lineTo x="21519" y="7714"/>
                <wp:lineTo x="21519" y="6086"/>
                <wp:lineTo x="19209" y="5486"/>
                <wp:lineTo x="21519" y="5486"/>
                <wp:lineTo x="21519" y="4629"/>
                <wp:lineTo x="19452" y="4114"/>
                <wp:lineTo x="21519" y="4029"/>
                <wp:lineTo x="21519" y="3171"/>
                <wp:lineTo x="19331" y="2743"/>
                <wp:lineTo x="21519" y="2571"/>
                <wp:lineTo x="21519" y="1714"/>
                <wp:lineTo x="19817" y="1371"/>
                <wp:lineTo x="21033" y="1371"/>
                <wp:lineTo x="21519" y="1029"/>
                <wp:lineTo x="21519" y="0"/>
                <wp:lineTo x="0" y="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4550" cy="480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r>
        <w:rPr>
          <w:noProof/>
          <w:lang w:eastAsia="fr-FR"/>
        </w:rPr>
        <w:drawing>
          <wp:anchor distT="0" distB="0" distL="114300" distR="114300" simplePos="0" relativeHeight="251709440" behindDoc="0" locked="0" layoutInCell="1" allowOverlap="1" wp14:anchorId="29003E6C" wp14:editId="0967832A">
            <wp:simplePos x="0" y="0"/>
            <wp:positionH relativeFrom="margin">
              <wp:posOffset>763905</wp:posOffset>
            </wp:positionH>
            <wp:positionV relativeFrom="paragraph">
              <wp:posOffset>5080</wp:posOffset>
            </wp:positionV>
            <wp:extent cx="4356100" cy="2089150"/>
            <wp:effectExtent l="0" t="0" r="6350" b="6350"/>
            <wp:wrapSquare wrapText="bothSides"/>
            <wp:docPr id="78" name="Graphique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Default="00646BCA" w:rsidP="00646BCA">
      <w:pPr>
        <w:widowControl w:val="0"/>
        <w:autoSpaceDE w:val="0"/>
        <w:autoSpaceDN w:val="0"/>
        <w:adjustRightInd w:val="0"/>
        <w:jc w:val="center"/>
        <w:rPr>
          <w:rFonts w:ascii="Cambria" w:eastAsia="Cambria" w:hAnsi="Cambria" w:cs="Times New Roman"/>
        </w:rPr>
      </w:pP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r w:rsidRPr="00014880">
        <w:rPr>
          <w:rFonts w:ascii="Arial" w:eastAsia="Cambria" w:hAnsi="Arial" w:cs="Times New Roman"/>
          <w:sz w:val="22"/>
          <w:szCs w:val="22"/>
        </w:rPr>
        <w:t>Environ deux tiers des agents affectés sur budget de l’État sont en poste en Île-de-France. Ceci s'explique par la forte concentration des grandes institutions culturelles sur Paris et sa région</w:t>
      </w:r>
      <w:r w:rsidRPr="00014880">
        <w:rPr>
          <w:rFonts w:ascii="Arial" w:eastAsia="Cambria" w:hAnsi="Arial" w:cs="Times New Roman"/>
          <w:color w:val="000000"/>
          <w:sz w:val="22"/>
          <w:szCs w:val="22"/>
        </w:rPr>
        <w:t>.</w:t>
      </w: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r w:rsidRPr="00014880">
        <w:rPr>
          <w:rFonts w:ascii="Arial" w:eastAsia="Cambria" w:hAnsi="Arial" w:cs="Times New Roman"/>
          <w:sz w:val="22"/>
          <w:szCs w:val="22"/>
        </w:rPr>
        <w:t>Hors Île-de-France, les agents sont affectés dans les services déconcentrés (directions régionales des affaires culturelles et services territoriaux de l’architecture et du patrimoine), les musées nationaux, les archives départementales, mais aussi dans les nombreux sites et monuments ouverts au public et dispersés sur l’ensemble du territoire.</w:t>
      </w:r>
    </w:p>
    <w:p w:rsidR="00646BCA" w:rsidRDefault="00646BCA" w:rsidP="00646BCA">
      <w:pPr>
        <w:widowControl w:val="0"/>
        <w:autoSpaceDE w:val="0"/>
        <w:autoSpaceDN w:val="0"/>
        <w:adjustRightInd w:val="0"/>
        <w:rPr>
          <w:rFonts w:ascii="Florencesans Exp" w:eastAsia="Cambria" w:hAnsi="Florencesans Exp" w:cs="Times New Roman"/>
        </w:rPr>
      </w:pPr>
    </w:p>
    <w:p w:rsidR="00646BCA" w:rsidRPr="00311B99" w:rsidRDefault="00014880" w:rsidP="00646BCA">
      <w:pPr>
        <w:widowControl w:val="0"/>
        <w:autoSpaceDE w:val="0"/>
        <w:autoSpaceDN w:val="0"/>
        <w:adjustRightInd w:val="0"/>
        <w:rPr>
          <w:rFonts w:ascii="Florencesans Exp" w:eastAsia="Cambria" w:hAnsi="Florencesans Exp" w:cs="Times New Roman"/>
        </w:rPr>
      </w:pPr>
      <w:r>
        <w:rPr>
          <w:noProof/>
          <w:lang w:eastAsia="fr-FR"/>
        </w:rPr>
        <w:lastRenderedPageBreak/>
        <mc:AlternateContent>
          <mc:Choice Requires="wps">
            <w:drawing>
              <wp:anchor distT="0" distB="0" distL="114300" distR="114300" simplePos="0" relativeHeight="251756544" behindDoc="0" locked="0" layoutInCell="1" allowOverlap="1" wp14:anchorId="1387E26B" wp14:editId="5F05E82E">
                <wp:simplePos x="0" y="0"/>
                <wp:positionH relativeFrom="column">
                  <wp:posOffset>-1069340</wp:posOffset>
                </wp:positionH>
                <wp:positionV relativeFrom="paragraph">
                  <wp:posOffset>-576580</wp:posOffset>
                </wp:positionV>
                <wp:extent cx="1828800" cy="1828800"/>
                <wp:effectExtent l="0" t="323850" r="0" b="318770"/>
                <wp:wrapNone/>
                <wp:docPr id="197" name="Zone de texte 1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scene3d>
                          <a:camera prst="isometricRightUp"/>
                          <a:lightRig rig="threePt" dir="t"/>
                        </a:scene3d>
                      </wps:spPr>
                      <wps:txbx>
                        <w:txbxContent>
                          <w:p w:rsidR="007B1397" w:rsidRPr="00D26AC1" w:rsidRDefault="007B1397" w:rsidP="00646BCA">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26AC1">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1387E26B" id="Zone de texte 197" o:spid="_x0000_s1047" type="#_x0000_t202" style="position:absolute;margin-left:-84.2pt;margin-top:-45.4pt;width:2in;height:2in;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" filled="f" stroked="f">
                <v:textbox style="mso-fit-shape-to-text:t">
                  <w:txbxContent>
                    <w:p w:rsidR="007B1397" w:rsidRPr="00D26AC1" w:rsidRDefault="007B1397" w:rsidP="00646BCA">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26AC1">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v:shape>
            </w:pict>
          </mc:Fallback>
        </mc:AlternateContent>
      </w:r>
      <w:r w:rsidR="001F7977">
        <w:rPr>
          <w:rFonts w:ascii="Florencesans Exp" w:eastAsia="Cambria" w:hAnsi="Florencesans Exp" w:cs="Times New Roman"/>
        </w:rPr>
        <w:t>1. A. 7</w:t>
      </w:r>
      <w:r w:rsidR="00646BCA" w:rsidRPr="00A75623">
        <w:rPr>
          <w:rFonts w:ascii="Florencesans Exp" w:eastAsia="Cambria" w:hAnsi="Florencesans Exp" w:cs="Times New Roman"/>
        </w:rPr>
        <w:t>. FOCUS SUR LES AGENTS NON TITU</w:t>
      </w:r>
      <w:r w:rsidR="00FC3CF1">
        <w:rPr>
          <w:rFonts w:ascii="Florencesans Exp" w:eastAsia="Cambria" w:hAnsi="Florencesans Exp" w:cs="Times New Roman"/>
        </w:rPr>
        <w:t>LAIRES</w:t>
      </w:r>
    </w:p>
    <w:p w:rsidR="00646BCA" w:rsidRDefault="00646BCA" w:rsidP="00646BCA">
      <w:pPr>
        <w:widowControl w:val="0"/>
        <w:autoSpaceDE w:val="0"/>
        <w:autoSpaceDN w:val="0"/>
        <w:adjustRightInd w:val="0"/>
        <w:jc w:val="both"/>
        <w:rPr>
          <w:rFonts w:ascii="Arial" w:eastAsia="Cambria" w:hAnsi="Arial" w:cs="Times New Roman"/>
        </w:rPr>
      </w:pPr>
    </w:p>
    <w:p w:rsidR="00D1195A" w:rsidRPr="00D1195A" w:rsidRDefault="00D1195A" w:rsidP="00D1195A">
      <w:pPr>
        <w:widowControl w:val="0"/>
        <w:autoSpaceDE w:val="0"/>
        <w:autoSpaceDN w:val="0"/>
        <w:adjustRightInd w:val="0"/>
        <w:ind w:left="720"/>
        <w:jc w:val="both"/>
        <w:rPr>
          <w:rFonts w:ascii="Arial" w:eastAsia="Cambria" w:hAnsi="Arial" w:cs="Times New Roman"/>
          <w:b/>
        </w:rPr>
      </w:pPr>
      <w:r w:rsidRPr="00D1195A">
        <w:rPr>
          <w:rFonts w:ascii="Arial" w:eastAsia="Cambria" w:hAnsi="Arial" w:cs="Times New Roman"/>
          <w:b/>
          <w:u w:val="single"/>
        </w:rPr>
        <w:t>Périmètre </w:t>
      </w:r>
      <w:r w:rsidRPr="00D1195A">
        <w:rPr>
          <w:rFonts w:ascii="Arial" w:eastAsia="Cambria" w:hAnsi="Arial" w:cs="Times New Roman"/>
          <w:b/>
        </w:rPr>
        <w:t xml:space="preserve"> </w:t>
      </w:r>
    </w:p>
    <w:p w:rsidR="00D1195A" w:rsidRPr="00D1195A" w:rsidRDefault="00D1195A" w:rsidP="00D1195A">
      <w:pPr>
        <w:widowControl w:val="0"/>
        <w:numPr>
          <w:ilvl w:val="0"/>
          <w:numId w:val="58"/>
        </w:numPr>
        <w:autoSpaceDE w:val="0"/>
        <w:autoSpaceDN w:val="0"/>
        <w:adjustRightInd w:val="0"/>
        <w:jc w:val="both"/>
        <w:rPr>
          <w:rFonts w:ascii="Arial" w:eastAsia="Cambria" w:hAnsi="Arial" w:cs="Times New Roman"/>
        </w:rPr>
      </w:pPr>
      <w:r w:rsidRPr="00D1195A">
        <w:rPr>
          <w:rFonts w:ascii="Arial" w:eastAsia="Cambria" w:hAnsi="Arial" w:cs="Times New Roman"/>
        </w:rPr>
        <w:t>Agents non-titulaires payés sur le titre 2 (toutes filières confondues)</w:t>
      </w:r>
    </w:p>
    <w:p w:rsidR="00D1195A" w:rsidRPr="00D1195A" w:rsidRDefault="00D1195A" w:rsidP="00D1195A">
      <w:pPr>
        <w:widowControl w:val="0"/>
        <w:numPr>
          <w:ilvl w:val="0"/>
          <w:numId w:val="58"/>
        </w:numPr>
        <w:autoSpaceDE w:val="0"/>
        <w:autoSpaceDN w:val="0"/>
        <w:adjustRightInd w:val="0"/>
        <w:jc w:val="both"/>
        <w:rPr>
          <w:rFonts w:ascii="Arial" w:eastAsia="Cambria" w:hAnsi="Arial" w:cs="Times New Roman"/>
        </w:rPr>
      </w:pPr>
      <w:r w:rsidRPr="00D1195A">
        <w:rPr>
          <w:rFonts w:ascii="Arial" w:eastAsia="Cambria" w:hAnsi="Arial" w:cs="Times New Roman"/>
        </w:rPr>
        <w:t>Agents non-titulaires d’autre ministère en position normale d’activité (PNA)</w:t>
      </w:r>
    </w:p>
    <w:p w:rsidR="00D1195A" w:rsidRPr="00D1195A" w:rsidRDefault="00D1195A" w:rsidP="00D1195A">
      <w:pPr>
        <w:widowControl w:val="0"/>
        <w:numPr>
          <w:ilvl w:val="0"/>
          <w:numId w:val="58"/>
        </w:numPr>
        <w:autoSpaceDE w:val="0"/>
        <w:autoSpaceDN w:val="0"/>
        <w:adjustRightInd w:val="0"/>
        <w:jc w:val="both"/>
        <w:rPr>
          <w:rFonts w:ascii="Arial" w:eastAsia="Cambria" w:hAnsi="Arial" w:cs="Times New Roman"/>
        </w:rPr>
      </w:pPr>
      <w:r w:rsidRPr="00D1195A">
        <w:rPr>
          <w:rFonts w:ascii="Arial" w:eastAsia="Cambria" w:hAnsi="Arial" w:cs="Times New Roman"/>
        </w:rPr>
        <w:t>Agents non-titulaires CDAPH (commission des droits de l’autonomie des personnes handicapées), ex COTOREP</w:t>
      </w:r>
    </w:p>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Hors périmètre : agents non titulaires sous contrat à durée déterminée (Articles 6 sexies, quater, quinquiès)</w:t>
      </w:r>
    </w:p>
    <w:p w:rsidR="00D1195A" w:rsidRPr="00D1195A" w:rsidRDefault="00D1195A" w:rsidP="00D1195A">
      <w:pPr>
        <w:widowControl w:val="0"/>
        <w:autoSpaceDE w:val="0"/>
        <w:autoSpaceDN w:val="0"/>
        <w:adjustRightInd w:val="0"/>
        <w:jc w:val="both"/>
        <w:rPr>
          <w:rFonts w:ascii="Arial" w:eastAsia="Cambria" w:hAnsi="Arial" w:cs="Times New Roman"/>
        </w:rPr>
      </w:pPr>
    </w:p>
    <w:p w:rsidR="00D1195A" w:rsidRPr="00D1195A" w:rsidRDefault="00D1195A" w:rsidP="00D1195A">
      <w:pPr>
        <w:widowControl w:val="0"/>
        <w:autoSpaceDE w:val="0"/>
        <w:autoSpaceDN w:val="0"/>
        <w:adjustRightInd w:val="0"/>
        <w:ind w:left="720"/>
        <w:jc w:val="both"/>
        <w:rPr>
          <w:rFonts w:ascii="Arial" w:eastAsia="Cambria" w:hAnsi="Arial" w:cs="Times New Roman"/>
        </w:rPr>
      </w:pPr>
      <w:r w:rsidRPr="00D1195A">
        <w:rPr>
          <w:rFonts w:ascii="Arial" w:eastAsia="Cambria" w:hAnsi="Arial" w:cs="Times New Roman"/>
          <w:b/>
          <w:u w:val="single"/>
        </w:rPr>
        <w:t>Cadre de gestion</w:t>
      </w:r>
      <w:r w:rsidRPr="00D1195A">
        <w:rPr>
          <w:rFonts w:ascii="Arial" w:eastAsia="Cambria" w:hAnsi="Arial" w:cs="Times New Roman"/>
          <w:u w:val="single"/>
        </w:rPr>
        <w:t> </w:t>
      </w:r>
      <w:r w:rsidRPr="00D1195A">
        <w:rPr>
          <w:rFonts w:ascii="Arial" w:eastAsia="Cambria" w:hAnsi="Arial" w:cs="Times New Roman"/>
        </w:rPr>
        <w:t>: Circulaire Albanel du 23 juin 2009</w:t>
      </w:r>
    </w:p>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Le ministère s’est doté en 2009 d’un cadre de gestion et de rémunération des agents non-titulaires afin de clarifier et d’harmoniser les règles de gestion de cette population. Ce cadre s’applique aux agents recrutés sur le fondement des articles 4 et 6 alinéa 1</w:t>
      </w:r>
      <w:r w:rsidRPr="00D1195A">
        <w:rPr>
          <w:rFonts w:ascii="Arial" w:eastAsia="Cambria" w:hAnsi="Arial" w:cs="Times New Roman"/>
          <w:vertAlign w:val="superscript"/>
        </w:rPr>
        <w:t>er</w:t>
      </w:r>
      <w:r w:rsidRPr="00D1195A">
        <w:rPr>
          <w:rFonts w:ascii="Arial" w:eastAsia="Cambria" w:hAnsi="Arial" w:cs="Times New Roman"/>
        </w:rPr>
        <w:t xml:space="preserve"> de la loi N°84-16 du 11 janvier 1984 portant dispositions statutaires relative à la fonction publique de l’Etat.</w:t>
      </w:r>
    </w:p>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Ce dispositif ne s’applique pas aux personnels enseignants, aux agents titulaires détachés sur contrat, aux agents recrutés dans le cadre de l’article 34 de la loi du 12 avril 2000 dite « Berkani ».</w:t>
      </w:r>
    </w:p>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Ce nouveau cadre de gestion comporte la constitution de cinq groupes d’emplois auxquels sont rattachés des bornes indiciaires liés notamment à la typologie des missions découlant du niveau de diplôme ou de l’expérience professionnelle équivalente et du niveau de responsabilité. Un sixième groupe d’emplois non indicé est spécifique aux emplois de direction du ministère.</w:t>
      </w:r>
    </w:p>
    <w:p w:rsidR="00D1195A" w:rsidRPr="00D1195A" w:rsidRDefault="00D1195A" w:rsidP="00D1195A">
      <w:pPr>
        <w:widowControl w:val="0"/>
        <w:autoSpaceDE w:val="0"/>
        <w:autoSpaceDN w:val="0"/>
        <w:adjustRightInd w:val="0"/>
        <w:jc w:val="both"/>
        <w:rPr>
          <w:rFonts w:ascii="Arial" w:eastAsia="Cambria" w:hAnsi="Arial" w:cs="Times New Roman"/>
          <w:u w:val="single"/>
        </w:rPr>
      </w:pPr>
    </w:p>
    <w:p w:rsidR="00D1195A" w:rsidRDefault="00D1195A" w:rsidP="00D1195A">
      <w:pPr>
        <w:widowControl w:val="0"/>
        <w:autoSpaceDE w:val="0"/>
        <w:autoSpaceDN w:val="0"/>
        <w:adjustRightInd w:val="0"/>
        <w:ind w:left="720"/>
        <w:jc w:val="both"/>
        <w:rPr>
          <w:rFonts w:ascii="Arial" w:eastAsia="Cambria" w:hAnsi="Arial" w:cs="Times New Roman"/>
          <w:b/>
          <w:u w:val="single"/>
        </w:rPr>
      </w:pPr>
      <w:r w:rsidRPr="00D1195A">
        <w:rPr>
          <w:rFonts w:ascii="Arial" w:eastAsia="Cambria" w:hAnsi="Arial" w:cs="Times New Roman"/>
          <w:b/>
          <w:u w:val="single"/>
        </w:rPr>
        <w:t>Classification des emplois : groupe de rémunération</w:t>
      </w:r>
    </w:p>
    <w:p w:rsidR="0057100E" w:rsidRDefault="0057100E" w:rsidP="0057100E">
      <w:pPr>
        <w:widowControl w:val="0"/>
        <w:autoSpaceDE w:val="0"/>
        <w:autoSpaceDN w:val="0"/>
        <w:adjustRightInd w:val="0"/>
        <w:ind w:left="720"/>
        <w:rPr>
          <w:rFonts w:ascii="Arial" w:eastAsia="Cambria" w:hAnsi="Arial" w:cs="Times New Roman"/>
          <w:b/>
          <w:u w:val="single"/>
        </w:rPr>
      </w:pPr>
    </w:p>
    <w:tbl>
      <w:tblPr>
        <w:tblStyle w:val="Grilledutableau"/>
        <w:tblW w:w="0" w:type="auto"/>
        <w:tblLook w:val="04A0" w:firstRow="1" w:lastRow="0" w:firstColumn="1" w:lastColumn="0" w:noHBand="0" w:noVBand="1"/>
      </w:tblPr>
      <w:tblGrid>
        <w:gridCol w:w="1709"/>
        <w:gridCol w:w="1630"/>
        <w:gridCol w:w="1437"/>
        <w:gridCol w:w="1492"/>
        <w:gridCol w:w="1447"/>
        <w:gridCol w:w="1347"/>
      </w:tblGrid>
      <w:tr w:rsidR="0057100E" w:rsidRPr="00E24FCF" w:rsidTr="00F554A4">
        <w:tc>
          <w:tcPr>
            <w:tcW w:w="1774" w:type="dxa"/>
            <w:shd w:val="clear" w:color="auto" w:fill="FF00FF"/>
          </w:tcPr>
          <w:p w:rsidR="0057100E" w:rsidRPr="00CF06EC" w:rsidRDefault="0057100E" w:rsidP="00F554A4">
            <w:pPr>
              <w:jc w:val="center"/>
              <w:rPr>
                <w:b/>
                <w:color w:val="FFFFFF" w:themeColor="background1"/>
              </w:rPr>
            </w:pPr>
            <w:r w:rsidRPr="00CF06EC">
              <w:rPr>
                <w:b/>
                <w:color w:val="FFFFFF" w:themeColor="background1"/>
              </w:rPr>
              <w:t>Niveau de fonctions</w:t>
            </w:r>
          </w:p>
        </w:tc>
        <w:tc>
          <w:tcPr>
            <w:tcW w:w="1752" w:type="dxa"/>
            <w:shd w:val="clear" w:color="auto" w:fill="FF00FF"/>
          </w:tcPr>
          <w:p w:rsidR="0057100E" w:rsidRPr="00CF06EC" w:rsidRDefault="0057100E" w:rsidP="00F554A4">
            <w:pPr>
              <w:jc w:val="center"/>
              <w:rPr>
                <w:b/>
                <w:color w:val="FFFFFF" w:themeColor="background1"/>
              </w:rPr>
            </w:pPr>
            <w:r w:rsidRPr="00CF06EC">
              <w:rPr>
                <w:b/>
                <w:color w:val="FFFFFF" w:themeColor="background1"/>
              </w:rPr>
              <w:t>Catégorie FP équivalente</w:t>
            </w:r>
          </w:p>
        </w:tc>
        <w:tc>
          <w:tcPr>
            <w:tcW w:w="1688" w:type="dxa"/>
            <w:shd w:val="clear" w:color="auto" w:fill="FF00FF"/>
          </w:tcPr>
          <w:p w:rsidR="0057100E" w:rsidRPr="00CF06EC" w:rsidRDefault="0057100E" w:rsidP="00F554A4">
            <w:pPr>
              <w:jc w:val="center"/>
              <w:rPr>
                <w:b/>
                <w:color w:val="FFFFFF" w:themeColor="background1"/>
              </w:rPr>
            </w:pPr>
            <w:r w:rsidRPr="00CF06EC">
              <w:rPr>
                <w:b/>
                <w:color w:val="FFFFFF" w:themeColor="background1"/>
              </w:rPr>
              <w:t>Groupe</w:t>
            </w:r>
          </w:p>
        </w:tc>
        <w:tc>
          <w:tcPr>
            <w:tcW w:w="1707" w:type="dxa"/>
            <w:shd w:val="clear" w:color="auto" w:fill="FF00FF"/>
          </w:tcPr>
          <w:p w:rsidR="0057100E" w:rsidRPr="00CF06EC" w:rsidRDefault="0057100E" w:rsidP="00F554A4">
            <w:pPr>
              <w:jc w:val="center"/>
              <w:rPr>
                <w:b/>
                <w:color w:val="FFFFFF" w:themeColor="background1"/>
              </w:rPr>
            </w:pPr>
            <w:r w:rsidRPr="00CF06EC">
              <w:rPr>
                <w:b/>
                <w:color w:val="FFFFFF" w:themeColor="background1"/>
              </w:rPr>
              <w:t>IM Plancher</w:t>
            </w:r>
          </w:p>
        </w:tc>
        <w:tc>
          <w:tcPr>
            <w:tcW w:w="1692" w:type="dxa"/>
            <w:shd w:val="clear" w:color="auto" w:fill="FF00FF"/>
          </w:tcPr>
          <w:p w:rsidR="0057100E" w:rsidRPr="00CF06EC" w:rsidRDefault="0057100E" w:rsidP="00F554A4">
            <w:pPr>
              <w:jc w:val="center"/>
              <w:rPr>
                <w:b/>
                <w:color w:val="FFFFFF" w:themeColor="background1"/>
              </w:rPr>
            </w:pPr>
            <w:r w:rsidRPr="00CF06EC">
              <w:rPr>
                <w:b/>
                <w:color w:val="FFFFFF" w:themeColor="background1"/>
              </w:rPr>
              <w:t>IM Plafond</w:t>
            </w:r>
          </w:p>
        </w:tc>
        <w:tc>
          <w:tcPr>
            <w:tcW w:w="1581" w:type="dxa"/>
            <w:shd w:val="clear" w:color="auto" w:fill="FF00FF"/>
          </w:tcPr>
          <w:p w:rsidR="0057100E" w:rsidRPr="00CF06EC" w:rsidRDefault="0057100E" w:rsidP="00F554A4">
            <w:pPr>
              <w:jc w:val="center"/>
              <w:rPr>
                <w:b/>
                <w:color w:val="FFFFFF" w:themeColor="background1"/>
              </w:rPr>
            </w:pPr>
            <w:r w:rsidRPr="00CF06EC">
              <w:rPr>
                <w:b/>
                <w:color w:val="FFFFFF" w:themeColor="background1"/>
              </w:rPr>
              <w:t>IM moyen</w:t>
            </w:r>
          </w:p>
        </w:tc>
      </w:tr>
      <w:tr w:rsidR="0057100E" w:rsidTr="00F554A4">
        <w:tc>
          <w:tcPr>
            <w:tcW w:w="1774" w:type="dxa"/>
            <w:shd w:val="clear" w:color="auto" w:fill="A6A6A6" w:themeFill="background1" w:themeFillShade="A6"/>
          </w:tcPr>
          <w:p w:rsidR="0057100E" w:rsidRPr="00CF06EC" w:rsidRDefault="0057100E" w:rsidP="00F554A4">
            <w:pPr>
              <w:jc w:val="both"/>
              <w:rPr>
                <w:b/>
                <w:color w:val="FFFFFF" w:themeColor="background1"/>
              </w:rPr>
            </w:pPr>
            <w:r w:rsidRPr="00CF06EC">
              <w:rPr>
                <w:b/>
                <w:color w:val="FFFFFF" w:themeColor="background1"/>
              </w:rPr>
              <w:t>Exécution</w:t>
            </w:r>
          </w:p>
        </w:tc>
        <w:tc>
          <w:tcPr>
            <w:tcW w:w="1752"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C</w:t>
            </w:r>
          </w:p>
        </w:tc>
        <w:tc>
          <w:tcPr>
            <w:tcW w:w="1688"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1</w:t>
            </w:r>
          </w:p>
        </w:tc>
        <w:tc>
          <w:tcPr>
            <w:tcW w:w="1707"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350</w:t>
            </w:r>
          </w:p>
        </w:tc>
        <w:tc>
          <w:tcPr>
            <w:tcW w:w="1692"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570</w:t>
            </w:r>
          </w:p>
        </w:tc>
        <w:tc>
          <w:tcPr>
            <w:tcW w:w="1581"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417</w:t>
            </w:r>
          </w:p>
        </w:tc>
      </w:tr>
      <w:tr w:rsidR="0057100E" w:rsidTr="00F554A4">
        <w:tc>
          <w:tcPr>
            <w:tcW w:w="1774" w:type="dxa"/>
            <w:shd w:val="clear" w:color="auto" w:fill="A6A6A6" w:themeFill="background1" w:themeFillShade="A6"/>
          </w:tcPr>
          <w:p w:rsidR="0057100E" w:rsidRPr="00CF06EC" w:rsidRDefault="0057100E" w:rsidP="00F554A4">
            <w:pPr>
              <w:jc w:val="both"/>
              <w:rPr>
                <w:b/>
                <w:color w:val="FFFFFF" w:themeColor="background1"/>
              </w:rPr>
            </w:pPr>
            <w:r w:rsidRPr="00CF06EC">
              <w:rPr>
                <w:b/>
                <w:color w:val="FFFFFF" w:themeColor="background1"/>
              </w:rPr>
              <w:t>Intermédiaire</w:t>
            </w:r>
          </w:p>
        </w:tc>
        <w:tc>
          <w:tcPr>
            <w:tcW w:w="1752"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B</w:t>
            </w:r>
          </w:p>
        </w:tc>
        <w:tc>
          <w:tcPr>
            <w:tcW w:w="1688"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2</w:t>
            </w:r>
          </w:p>
        </w:tc>
        <w:tc>
          <w:tcPr>
            <w:tcW w:w="1707"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400</w:t>
            </w:r>
          </w:p>
        </w:tc>
        <w:tc>
          <w:tcPr>
            <w:tcW w:w="1692"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750</w:t>
            </w:r>
          </w:p>
        </w:tc>
        <w:tc>
          <w:tcPr>
            <w:tcW w:w="1581"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502</w:t>
            </w:r>
          </w:p>
        </w:tc>
      </w:tr>
      <w:tr w:rsidR="0057100E" w:rsidTr="00F554A4">
        <w:tc>
          <w:tcPr>
            <w:tcW w:w="1774" w:type="dxa"/>
            <w:vMerge w:val="restart"/>
            <w:shd w:val="clear" w:color="auto" w:fill="A6A6A6" w:themeFill="background1" w:themeFillShade="A6"/>
          </w:tcPr>
          <w:p w:rsidR="0057100E" w:rsidRPr="00CF06EC" w:rsidRDefault="0057100E" w:rsidP="00F554A4">
            <w:pPr>
              <w:jc w:val="both"/>
              <w:rPr>
                <w:b/>
                <w:color w:val="FFFFFF" w:themeColor="background1"/>
              </w:rPr>
            </w:pPr>
            <w:r w:rsidRPr="00CF06EC">
              <w:rPr>
                <w:b/>
                <w:color w:val="FFFFFF" w:themeColor="background1"/>
              </w:rPr>
              <w:t>Encadrement conception</w:t>
            </w:r>
          </w:p>
        </w:tc>
        <w:tc>
          <w:tcPr>
            <w:tcW w:w="1752" w:type="dxa"/>
            <w:vMerge w:val="restart"/>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A</w:t>
            </w:r>
          </w:p>
        </w:tc>
        <w:tc>
          <w:tcPr>
            <w:tcW w:w="1688"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3</w:t>
            </w:r>
          </w:p>
        </w:tc>
        <w:tc>
          <w:tcPr>
            <w:tcW w:w="1707"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540</w:t>
            </w:r>
          </w:p>
        </w:tc>
        <w:tc>
          <w:tcPr>
            <w:tcW w:w="1692"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870</w:t>
            </w:r>
          </w:p>
        </w:tc>
        <w:tc>
          <w:tcPr>
            <w:tcW w:w="1581"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641</w:t>
            </w:r>
          </w:p>
        </w:tc>
      </w:tr>
      <w:tr w:rsidR="0057100E" w:rsidTr="00F554A4">
        <w:tc>
          <w:tcPr>
            <w:tcW w:w="1774" w:type="dxa"/>
            <w:vMerge/>
            <w:shd w:val="clear" w:color="auto" w:fill="A6A6A6" w:themeFill="background1" w:themeFillShade="A6"/>
          </w:tcPr>
          <w:p w:rsidR="0057100E" w:rsidRPr="00CF06EC" w:rsidRDefault="0057100E" w:rsidP="00F554A4">
            <w:pPr>
              <w:jc w:val="both"/>
              <w:rPr>
                <w:b/>
                <w:color w:val="FFFFFF" w:themeColor="background1"/>
              </w:rPr>
            </w:pPr>
          </w:p>
        </w:tc>
        <w:tc>
          <w:tcPr>
            <w:tcW w:w="1752" w:type="dxa"/>
            <w:vMerge/>
            <w:shd w:val="clear" w:color="auto" w:fill="A6A6A6" w:themeFill="background1" w:themeFillShade="A6"/>
          </w:tcPr>
          <w:p w:rsidR="0057100E" w:rsidRPr="00CF06EC" w:rsidRDefault="0057100E" w:rsidP="00F554A4">
            <w:pPr>
              <w:jc w:val="center"/>
              <w:rPr>
                <w:b/>
                <w:color w:val="FFFFFF" w:themeColor="background1"/>
              </w:rPr>
            </w:pPr>
          </w:p>
        </w:tc>
        <w:tc>
          <w:tcPr>
            <w:tcW w:w="1688"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4</w:t>
            </w:r>
          </w:p>
        </w:tc>
        <w:tc>
          <w:tcPr>
            <w:tcW w:w="1707"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620</w:t>
            </w:r>
          </w:p>
        </w:tc>
        <w:tc>
          <w:tcPr>
            <w:tcW w:w="1692"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1100</w:t>
            </w:r>
          </w:p>
        </w:tc>
        <w:tc>
          <w:tcPr>
            <w:tcW w:w="1581"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850</w:t>
            </w:r>
          </w:p>
        </w:tc>
      </w:tr>
      <w:tr w:rsidR="0057100E" w:rsidTr="00F554A4">
        <w:tc>
          <w:tcPr>
            <w:tcW w:w="1774" w:type="dxa"/>
            <w:vMerge/>
            <w:shd w:val="clear" w:color="auto" w:fill="A6A6A6" w:themeFill="background1" w:themeFillShade="A6"/>
          </w:tcPr>
          <w:p w:rsidR="0057100E" w:rsidRPr="00CF06EC" w:rsidRDefault="0057100E" w:rsidP="00F554A4">
            <w:pPr>
              <w:jc w:val="both"/>
              <w:rPr>
                <w:b/>
                <w:color w:val="FFFFFF" w:themeColor="background1"/>
              </w:rPr>
            </w:pPr>
          </w:p>
        </w:tc>
        <w:tc>
          <w:tcPr>
            <w:tcW w:w="1752" w:type="dxa"/>
            <w:vMerge/>
            <w:shd w:val="clear" w:color="auto" w:fill="A6A6A6" w:themeFill="background1" w:themeFillShade="A6"/>
          </w:tcPr>
          <w:p w:rsidR="0057100E" w:rsidRPr="00CF06EC" w:rsidRDefault="0057100E" w:rsidP="00F554A4">
            <w:pPr>
              <w:jc w:val="center"/>
              <w:rPr>
                <w:b/>
                <w:color w:val="FFFFFF" w:themeColor="background1"/>
              </w:rPr>
            </w:pPr>
          </w:p>
        </w:tc>
        <w:tc>
          <w:tcPr>
            <w:tcW w:w="1688"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5</w:t>
            </w:r>
          </w:p>
        </w:tc>
        <w:tc>
          <w:tcPr>
            <w:tcW w:w="1707"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820</w:t>
            </w:r>
          </w:p>
        </w:tc>
        <w:tc>
          <w:tcPr>
            <w:tcW w:w="1692"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1400</w:t>
            </w:r>
          </w:p>
        </w:tc>
        <w:tc>
          <w:tcPr>
            <w:tcW w:w="1581"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1128</w:t>
            </w:r>
          </w:p>
        </w:tc>
      </w:tr>
      <w:tr w:rsidR="0057100E" w:rsidTr="0057100E">
        <w:trPr>
          <w:trHeight w:val="287"/>
        </w:trPr>
        <w:tc>
          <w:tcPr>
            <w:tcW w:w="1774" w:type="dxa"/>
            <w:vMerge/>
            <w:shd w:val="clear" w:color="auto" w:fill="A6A6A6" w:themeFill="background1" w:themeFillShade="A6"/>
          </w:tcPr>
          <w:p w:rsidR="0057100E" w:rsidRPr="00CF06EC" w:rsidRDefault="0057100E" w:rsidP="00F554A4">
            <w:pPr>
              <w:jc w:val="both"/>
              <w:rPr>
                <w:b/>
                <w:color w:val="FFFFFF" w:themeColor="background1"/>
              </w:rPr>
            </w:pPr>
          </w:p>
        </w:tc>
        <w:tc>
          <w:tcPr>
            <w:tcW w:w="1752" w:type="dxa"/>
            <w:vMerge/>
            <w:shd w:val="clear" w:color="auto" w:fill="A6A6A6" w:themeFill="background1" w:themeFillShade="A6"/>
          </w:tcPr>
          <w:p w:rsidR="0057100E" w:rsidRPr="00CF06EC" w:rsidRDefault="0057100E" w:rsidP="00F554A4">
            <w:pPr>
              <w:jc w:val="center"/>
              <w:rPr>
                <w:b/>
                <w:color w:val="FFFFFF" w:themeColor="background1"/>
              </w:rPr>
            </w:pPr>
          </w:p>
        </w:tc>
        <w:tc>
          <w:tcPr>
            <w:tcW w:w="1688" w:type="dxa"/>
            <w:shd w:val="clear" w:color="auto" w:fill="A6A6A6" w:themeFill="background1" w:themeFillShade="A6"/>
          </w:tcPr>
          <w:p w:rsidR="0057100E" w:rsidRPr="00CF06EC" w:rsidRDefault="0057100E" w:rsidP="00F554A4">
            <w:pPr>
              <w:jc w:val="center"/>
              <w:rPr>
                <w:b/>
                <w:color w:val="FFFFFF" w:themeColor="background1"/>
              </w:rPr>
            </w:pPr>
            <w:r w:rsidRPr="00CF06EC">
              <w:rPr>
                <w:b/>
                <w:color w:val="FFFFFF" w:themeColor="background1"/>
              </w:rPr>
              <w:t>Hors groupe</w:t>
            </w:r>
          </w:p>
        </w:tc>
        <w:tc>
          <w:tcPr>
            <w:tcW w:w="3399" w:type="dxa"/>
            <w:gridSpan w:val="2"/>
            <w:shd w:val="clear" w:color="auto" w:fill="A6A6A6" w:themeFill="background1" w:themeFillShade="A6"/>
            <w:vAlign w:val="center"/>
          </w:tcPr>
          <w:p w:rsidR="0057100E" w:rsidRPr="00CF06EC" w:rsidRDefault="0057100E" w:rsidP="0057100E">
            <w:pPr>
              <w:rPr>
                <w:b/>
                <w:color w:val="FFFFFF" w:themeColor="background1"/>
              </w:rPr>
            </w:pPr>
            <w:r w:rsidRPr="0057100E">
              <w:rPr>
                <w:b/>
                <w:color w:val="FFFFFF" w:themeColor="background1"/>
                <w:sz w:val="20"/>
              </w:rPr>
              <w:t>Emplois dirigeants -rémunérations personnalisées</w:t>
            </w:r>
          </w:p>
        </w:tc>
        <w:tc>
          <w:tcPr>
            <w:tcW w:w="1581" w:type="dxa"/>
            <w:shd w:val="clear" w:color="auto" w:fill="A6A6A6" w:themeFill="background1" w:themeFillShade="A6"/>
          </w:tcPr>
          <w:p w:rsidR="0057100E" w:rsidRPr="00CF06EC" w:rsidRDefault="0057100E" w:rsidP="00F554A4">
            <w:pPr>
              <w:rPr>
                <w:b/>
                <w:color w:val="FFFFFF" w:themeColor="background1"/>
              </w:rPr>
            </w:pPr>
          </w:p>
        </w:tc>
      </w:tr>
    </w:tbl>
    <w:p w:rsidR="0057100E" w:rsidRDefault="0057100E" w:rsidP="0057100E">
      <w:pPr>
        <w:widowControl w:val="0"/>
        <w:autoSpaceDE w:val="0"/>
        <w:autoSpaceDN w:val="0"/>
        <w:adjustRightInd w:val="0"/>
        <w:rPr>
          <w:rFonts w:ascii="Arial" w:eastAsia="Cambria" w:hAnsi="Arial" w:cs="Times New Roman"/>
          <w:b/>
          <w:u w:val="single"/>
        </w:rPr>
      </w:pPr>
    </w:p>
    <w:p w:rsidR="00D1195A" w:rsidRDefault="00D1195A" w:rsidP="00D1195A">
      <w:pPr>
        <w:widowControl w:val="0"/>
        <w:autoSpaceDE w:val="0"/>
        <w:autoSpaceDN w:val="0"/>
        <w:adjustRightInd w:val="0"/>
        <w:ind w:firstLine="708"/>
        <w:jc w:val="both"/>
        <w:rPr>
          <w:rFonts w:ascii="Arial" w:eastAsia="Cambria" w:hAnsi="Arial" w:cs="Times New Roman"/>
          <w:b/>
          <w:u w:val="single"/>
        </w:rPr>
      </w:pPr>
      <w:r w:rsidRPr="00D1195A">
        <w:rPr>
          <w:rFonts w:ascii="Arial" w:eastAsia="Cambria" w:hAnsi="Arial" w:cs="Times New Roman"/>
          <w:b/>
          <w:u w:val="single"/>
        </w:rPr>
        <w:t xml:space="preserve">Répartition des </w:t>
      </w:r>
      <w:r>
        <w:rPr>
          <w:rFonts w:ascii="Arial" w:eastAsia="Cambria" w:hAnsi="Arial" w:cs="Times New Roman"/>
          <w:b/>
          <w:u w:val="single"/>
        </w:rPr>
        <w:t>agents non titulaires du titre 2</w:t>
      </w:r>
      <w:r w:rsidRPr="00D1195A">
        <w:rPr>
          <w:rFonts w:ascii="Arial" w:eastAsia="Cambria" w:hAnsi="Arial" w:cs="Times New Roman"/>
          <w:b/>
          <w:u w:val="single"/>
        </w:rPr>
        <w:t xml:space="preserve"> par groupe</w:t>
      </w:r>
    </w:p>
    <w:p w:rsidR="0057100E" w:rsidRDefault="0057100E" w:rsidP="00D1195A">
      <w:pPr>
        <w:widowControl w:val="0"/>
        <w:autoSpaceDE w:val="0"/>
        <w:autoSpaceDN w:val="0"/>
        <w:adjustRightInd w:val="0"/>
        <w:ind w:firstLine="708"/>
        <w:jc w:val="both"/>
        <w:rPr>
          <w:rFonts w:ascii="Arial" w:eastAsia="Cambria" w:hAnsi="Arial" w:cs="Times New Roman"/>
          <w:b/>
          <w:u w:val="single"/>
        </w:rPr>
      </w:pPr>
    </w:p>
    <w:tbl>
      <w:tblPr>
        <w:tblStyle w:val="Grilledutableau"/>
        <w:tblW w:w="0" w:type="auto"/>
        <w:tblLook w:val="04A0" w:firstRow="1" w:lastRow="0" w:firstColumn="1" w:lastColumn="0" w:noHBand="0" w:noVBand="1"/>
      </w:tblPr>
      <w:tblGrid>
        <w:gridCol w:w="4531"/>
        <w:gridCol w:w="2694"/>
      </w:tblGrid>
      <w:tr w:rsidR="00D1195A" w:rsidRPr="00D1195A" w:rsidTr="00BA792C">
        <w:tc>
          <w:tcPr>
            <w:tcW w:w="4531"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Groupe 1</w:t>
            </w:r>
          </w:p>
        </w:tc>
        <w:tc>
          <w:tcPr>
            <w:tcW w:w="2694"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175</w:t>
            </w:r>
          </w:p>
        </w:tc>
      </w:tr>
      <w:tr w:rsidR="00D1195A" w:rsidRPr="00D1195A" w:rsidTr="00BA792C">
        <w:tc>
          <w:tcPr>
            <w:tcW w:w="4531"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Groupe 2</w:t>
            </w:r>
          </w:p>
        </w:tc>
        <w:tc>
          <w:tcPr>
            <w:tcW w:w="2694"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194</w:t>
            </w:r>
          </w:p>
        </w:tc>
      </w:tr>
      <w:tr w:rsidR="00D1195A" w:rsidRPr="00D1195A" w:rsidTr="00BA792C">
        <w:tc>
          <w:tcPr>
            <w:tcW w:w="4531"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Groupe 3</w:t>
            </w:r>
          </w:p>
        </w:tc>
        <w:tc>
          <w:tcPr>
            <w:tcW w:w="2694"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393</w:t>
            </w:r>
          </w:p>
        </w:tc>
      </w:tr>
      <w:tr w:rsidR="00D1195A" w:rsidRPr="00D1195A" w:rsidTr="00BA792C">
        <w:tc>
          <w:tcPr>
            <w:tcW w:w="4531"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Groupe 4</w:t>
            </w:r>
          </w:p>
        </w:tc>
        <w:tc>
          <w:tcPr>
            <w:tcW w:w="2694"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236</w:t>
            </w:r>
          </w:p>
        </w:tc>
      </w:tr>
      <w:tr w:rsidR="00D1195A" w:rsidRPr="00D1195A" w:rsidTr="00BA792C">
        <w:tc>
          <w:tcPr>
            <w:tcW w:w="4531"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Groupe 5</w:t>
            </w:r>
          </w:p>
        </w:tc>
        <w:tc>
          <w:tcPr>
            <w:tcW w:w="2694" w:type="dxa"/>
          </w:tcPr>
          <w:p w:rsidR="00D1195A" w:rsidRPr="00D1195A" w:rsidRDefault="00D1195A" w:rsidP="00D1195A">
            <w:pPr>
              <w:widowControl w:val="0"/>
              <w:autoSpaceDE w:val="0"/>
              <w:autoSpaceDN w:val="0"/>
              <w:adjustRightInd w:val="0"/>
              <w:jc w:val="both"/>
              <w:rPr>
                <w:rFonts w:ascii="Arial" w:eastAsia="Cambria" w:hAnsi="Arial" w:cs="Times New Roman"/>
              </w:rPr>
            </w:pPr>
            <w:r w:rsidRPr="00D1195A">
              <w:rPr>
                <w:rFonts w:ascii="Arial" w:eastAsia="Cambria" w:hAnsi="Arial" w:cs="Times New Roman"/>
              </w:rPr>
              <w:t>56</w:t>
            </w:r>
          </w:p>
        </w:tc>
      </w:tr>
      <w:tr w:rsidR="00D1195A" w:rsidRPr="00D1195A" w:rsidTr="00BA792C">
        <w:tc>
          <w:tcPr>
            <w:tcW w:w="4531" w:type="dxa"/>
          </w:tcPr>
          <w:p w:rsidR="00D1195A" w:rsidRPr="00D1195A" w:rsidRDefault="00D1195A" w:rsidP="00D1195A">
            <w:pPr>
              <w:widowControl w:val="0"/>
              <w:autoSpaceDE w:val="0"/>
              <w:autoSpaceDN w:val="0"/>
              <w:adjustRightInd w:val="0"/>
              <w:jc w:val="both"/>
              <w:rPr>
                <w:rFonts w:ascii="Arial" w:eastAsia="Cambria" w:hAnsi="Arial" w:cs="Times New Roman"/>
                <w:b/>
              </w:rPr>
            </w:pPr>
            <w:r w:rsidRPr="00D1195A">
              <w:rPr>
                <w:rFonts w:ascii="Arial" w:eastAsia="Cambria" w:hAnsi="Arial" w:cs="Times New Roman"/>
                <w:b/>
              </w:rPr>
              <w:t>Sous-Total</w:t>
            </w:r>
          </w:p>
        </w:tc>
        <w:tc>
          <w:tcPr>
            <w:tcW w:w="2694" w:type="dxa"/>
          </w:tcPr>
          <w:p w:rsidR="00D1195A" w:rsidRPr="00D1195A" w:rsidRDefault="00D1195A" w:rsidP="00D1195A">
            <w:pPr>
              <w:widowControl w:val="0"/>
              <w:autoSpaceDE w:val="0"/>
              <w:autoSpaceDN w:val="0"/>
              <w:adjustRightInd w:val="0"/>
              <w:jc w:val="both"/>
              <w:rPr>
                <w:rFonts w:ascii="Arial" w:eastAsia="Cambria" w:hAnsi="Arial" w:cs="Times New Roman"/>
                <w:b/>
              </w:rPr>
            </w:pPr>
            <w:r w:rsidRPr="00D1195A">
              <w:rPr>
                <w:rFonts w:ascii="Arial" w:eastAsia="Cambria" w:hAnsi="Arial" w:cs="Times New Roman"/>
                <w:b/>
              </w:rPr>
              <w:t>1 054</w:t>
            </w:r>
          </w:p>
        </w:tc>
      </w:tr>
      <w:tr w:rsidR="00D1195A" w:rsidRPr="00D1195A" w:rsidTr="00BA792C">
        <w:tc>
          <w:tcPr>
            <w:tcW w:w="4531" w:type="dxa"/>
          </w:tcPr>
          <w:p w:rsidR="00D1195A" w:rsidRPr="00D1195A" w:rsidRDefault="00D1195A" w:rsidP="00D1195A">
            <w:pPr>
              <w:widowControl w:val="0"/>
              <w:autoSpaceDE w:val="0"/>
              <w:autoSpaceDN w:val="0"/>
              <w:adjustRightInd w:val="0"/>
              <w:jc w:val="both"/>
              <w:rPr>
                <w:rFonts w:ascii="Arial" w:eastAsia="Cambria" w:hAnsi="Arial" w:cs="Times New Roman"/>
                <w:b/>
              </w:rPr>
            </w:pPr>
            <w:r w:rsidRPr="00D1195A">
              <w:rPr>
                <w:rFonts w:ascii="Arial" w:eastAsia="Cambria" w:hAnsi="Arial" w:cs="Times New Roman"/>
                <w:b/>
              </w:rPr>
              <w:t>Non classés*</w:t>
            </w:r>
          </w:p>
        </w:tc>
        <w:tc>
          <w:tcPr>
            <w:tcW w:w="2694" w:type="dxa"/>
          </w:tcPr>
          <w:p w:rsidR="00D1195A" w:rsidRPr="00D1195A" w:rsidRDefault="00D1195A" w:rsidP="00D1195A">
            <w:pPr>
              <w:widowControl w:val="0"/>
              <w:autoSpaceDE w:val="0"/>
              <w:autoSpaceDN w:val="0"/>
              <w:adjustRightInd w:val="0"/>
              <w:jc w:val="both"/>
              <w:rPr>
                <w:rFonts w:ascii="Arial" w:eastAsia="Cambria" w:hAnsi="Arial" w:cs="Times New Roman"/>
                <w:b/>
              </w:rPr>
            </w:pPr>
            <w:r w:rsidRPr="00D1195A">
              <w:rPr>
                <w:rFonts w:ascii="Arial" w:eastAsia="Cambria" w:hAnsi="Arial" w:cs="Times New Roman"/>
                <w:b/>
              </w:rPr>
              <w:t>489</w:t>
            </w:r>
          </w:p>
        </w:tc>
      </w:tr>
      <w:tr w:rsidR="00D1195A" w:rsidRPr="00D1195A" w:rsidTr="00BA792C">
        <w:tc>
          <w:tcPr>
            <w:tcW w:w="4531" w:type="dxa"/>
          </w:tcPr>
          <w:p w:rsidR="00D1195A" w:rsidRPr="00D1195A" w:rsidRDefault="00D1195A" w:rsidP="00D1195A">
            <w:pPr>
              <w:widowControl w:val="0"/>
              <w:autoSpaceDE w:val="0"/>
              <w:autoSpaceDN w:val="0"/>
              <w:adjustRightInd w:val="0"/>
              <w:jc w:val="both"/>
              <w:rPr>
                <w:rFonts w:ascii="Arial" w:eastAsia="Cambria" w:hAnsi="Arial" w:cs="Times New Roman"/>
                <w:b/>
              </w:rPr>
            </w:pPr>
            <w:r w:rsidRPr="00D1195A">
              <w:rPr>
                <w:rFonts w:ascii="Arial" w:eastAsia="Cambria" w:hAnsi="Arial" w:cs="Times New Roman"/>
                <w:b/>
              </w:rPr>
              <w:t>TOTAL GENERAL</w:t>
            </w:r>
          </w:p>
        </w:tc>
        <w:tc>
          <w:tcPr>
            <w:tcW w:w="2694" w:type="dxa"/>
          </w:tcPr>
          <w:p w:rsidR="00D1195A" w:rsidRPr="00D1195A" w:rsidRDefault="00D1195A" w:rsidP="00D1195A">
            <w:pPr>
              <w:widowControl w:val="0"/>
              <w:autoSpaceDE w:val="0"/>
              <w:autoSpaceDN w:val="0"/>
              <w:adjustRightInd w:val="0"/>
              <w:jc w:val="both"/>
              <w:rPr>
                <w:rFonts w:ascii="Arial" w:eastAsia="Cambria" w:hAnsi="Arial" w:cs="Times New Roman"/>
                <w:b/>
              </w:rPr>
            </w:pPr>
            <w:r w:rsidRPr="00D1195A">
              <w:rPr>
                <w:rFonts w:ascii="Arial" w:eastAsia="Cambria" w:hAnsi="Arial" w:cs="Times New Roman"/>
                <w:b/>
              </w:rPr>
              <w:t>1 543</w:t>
            </w:r>
          </w:p>
        </w:tc>
      </w:tr>
    </w:tbl>
    <w:p w:rsidR="00D1195A" w:rsidRPr="0057100E" w:rsidRDefault="00D1195A" w:rsidP="00D1195A">
      <w:pPr>
        <w:widowControl w:val="0"/>
        <w:autoSpaceDE w:val="0"/>
        <w:autoSpaceDN w:val="0"/>
        <w:adjustRightInd w:val="0"/>
        <w:jc w:val="both"/>
        <w:rPr>
          <w:rFonts w:ascii="Arial" w:eastAsia="Cambria" w:hAnsi="Arial" w:cs="Times New Roman"/>
        </w:rPr>
      </w:pPr>
      <w:r w:rsidRPr="0057100E">
        <w:rPr>
          <w:rFonts w:ascii="Arial" w:eastAsia="Cambria" w:hAnsi="Arial" w:cs="Times New Roman"/>
        </w:rPr>
        <w:t>* Personnels enseignants, «Agents non-titulaires dits Berkani », agents non-titulaires du MEDDE, agents CDAPH</w:t>
      </w:r>
    </w:p>
    <w:p w:rsidR="00646BCA" w:rsidRPr="002644F3" w:rsidRDefault="00646BCA" w:rsidP="00646BCA">
      <w:pPr>
        <w:widowControl w:val="0"/>
        <w:autoSpaceDE w:val="0"/>
        <w:autoSpaceDN w:val="0"/>
        <w:adjustRightInd w:val="0"/>
        <w:jc w:val="center"/>
        <w:rPr>
          <w:rFonts w:ascii="Arial" w:eastAsia="Cambria" w:hAnsi="Arial" w:cs="Times New Roman"/>
          <w:b/>
        </w:rPr>
      </w:pPr>
      <w:r w:rsidRPr="002644F3">
        <w:rPr>
          <w:b/>
          <w:noProof/>
          <w:lang w:eastAsia="fr-FR"/>
        </w:rPr>
        <w:lastRenderedPageBreak/>
        <w:drawing>
          <wp:anchor distT="0" distB="0" distL="114300" distR="114300" simplePos="0" relativeHeight="251742208" behindDoc="1" locked="0" layoutInCell="1" allowOverlap="1" wp14:anchorId="313D0EBC" wp14:editId="0E6AFE8B">
            <wp:simplePos x="0" y="0"/>
            <wp:positionH relativeFrom="column">
              <wp:posOffset>-112395</wp:posOffset>
            </wp:positionH>
            <wp:positionV relativeFrom="paragraph">
              <wp:posOffset>224155</wp:posOffset>
            </wp:positionV>
            <wp:extent cx="5760720" cy="1705173"/>
            <wp:effectExtent l="0" t="0" r="0" b="9525"/>
            <wp:wrapTight wrapText="bothSides">
              <wp:wrapPolygon edited="0">
                <wp:start x="0" y="0"/>
                <wp:lineTo x="0" y="21479"/>
                <wp:lineTo x="21500" y="21479"/>
                <wp:lineTo x="21500" y="17135"/>
                <wp:lineTo x="20929" y="15446"/>
                <wp:lineTo x="21500" y="15446"/>
                <wp:lineTo x="21500" y="13032"/>
                <wp:lineTo x="21071" y="11584"/>
                <wp:lineTo x="21500" y="11102"/>
                <wp:lineTo x="21500"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1705173"/>
                    </a:xfrm>
                    <a:prstGeom prst="rect">
                      <a:avLst/>
                    </a:prstGeom>
                    <a:noFill/>
                    <a:ln>
                      <a:noFill/>
                    </a:ln>
                  </pic:spPr>
                </pic:pic>
              </a:graphicData>
            </a:graphic>
          </wp:anchor>
        </w:drawing>
      </w:r>
      <w:r w:rsidRPr="002644F3">
        <w:rPr>
          <w:rFonts w:ascii="Arial" w:eastAsia="Cambria" w:hAnsi="Arial" w:cs="Times New Roman"/>
          <w:b/>
        </w:rPr>
        <w:t xml:space="preserve">Ventilation des agents non titulaires </w:t>
      </w:r>
      <w:r>
        <w:rPr>
          <w:rFonts w:ascii="Arial" w:eastAsia="Cambria" w:hAnsi="Arial" w:cs="Times New Roman"/>
          <w:b/>
        </w:rPr>
        <w:t xml:space="preserve">par </w:t>
      </w:r>
      <w:r w:rsidR="009A1A03">
        <w:rPr>
          <w:rFonts w:ascii="Arial" w:eastAsia="Cambria" w:hAnsi="Arial" w:cs="Times New Roman"/>
          <w:b/>
        </w:rPr>
        <w:t>genre</w:t>
      </w:r>
      <w:r>
        <w:rPr>
          <w:rFonts w:ascii="Arial" w:eastAsia="Cambria" w:hAnsi="Arial" w:cs="Times New Roman"/>
          <w:b/>
        </w:rPr>
        <w:t xml:space="preserve"> et type de</w:t>
      </w:r>
      <w:r w:rsidRPr="002644F3">
        <w:rPr>
          <w:rFonts w:ascii="Arial" w:eastAsia="Cambria" w:hAnsi="Arial" w:cs="Times New Roman"/>
          <w:b/>
        </w:rPr>
        <w:t xml:space="preserve"> structure</w:t>
      </w:r>
    </w:p>
    <w:p w:rsidR="00646BCA" w:rsidRDefault="00646BCA" w:rsidP="00646BCA">
      <w:pPr>
        <w:widowControl w:val="0"/>
        <w:autoSpaceDE w:val="0"/>
        <w:autoSpaceDN w:val="0"/>
        <w:adjustRightInd w:val="0"/>
        <w:jc w:val="both"/>
        <w:rPr>
          <w:rFonts w:ascii="Arial" w:eastAsia="Cambria" w:hAnsi="Arial" w:cs="Times New Roman"/>
        </w:rPr>
      </w:pP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r w:rsidRPr="00014880">
        <w:rPr>
          <w:rFonts w:ascii="Arial" w:eastAsia="Cambria" w:hAnsi="Arial" w:cs="Times New Roman"/>
          <w:sz w:val="22"/>
          <w:szCs w:val="22"/>
        </w:rPr>
        <w:t>La répartition par genre des agents non titulaires est identique à celle de l’ensemble des agents du ministère : 53% de femmes et 47% d’homme</w:t>
      </w:r>
      <w:r w:rsidR="009F3E2D">
        <w:rPr>
          <w:rFonts w:ascii="Arial" w:eastAsia="Cambria" w:hAnsi="Arial" w:cs="Times New Roman"/>
          <w:sz w:val="22"/>
          <w:szCs w:val="22"/>
        </w:rPr>
        <w:t>s</w:t>
      </w:r>
      <w:r w:rsidRPr="00014880">
        <w:rPr>
          <w:rFonts w:ascii="Arial" w:eastAsia="Cambria" w:hAnsi="Arial" w:cs="Times New Roman"/>
          <w:sz w:val="22"/>
          <w:szCs w:val="22"/>
        </w:rPr>
        <w:t xml:space="preserve">. </w:t>
      </w:r>
    </w:p>
    <w:p w:rsidR="00646BCA" w:rsidRPr="00014880" w:rsidRDefault="00646BCA" w:rsidP="00646BCA">
      <w:pPr>
        <w:widowControl w:val="0"/>
        <w:autoSpaceDE w:val="0"/>
        <w:autoSpaceDN w:val="0"/>
        <w:adjustRightInd w:val="0"/>
        <w:jc w:val="both"/>
        <w:rPr>
          <w:rFonts w:ascii="Arial" w:eastAsia="Cambria" w:hAnsi="Arial" w:cs="Times New Roman"/>
          <w:sz w:val="22"/>
          <w:szCs w:val="22"/>
        </w:rPr>
      </w:pPr>
      <w:r w:rsidRPr="00014880">
        <w:rPr>
          <w:rFonts w:ascii="Arial" w:eastAsia="Cambria" w:hAnsi="Arial" w:cs="Times New Roman"/>
          <w:sz w:val="22"/>
          <w:szCs w:val="22"/>
        </w:rPr>
        <w:t>La majorité des agents contractuels est affectée en administration centrale (38%), dont 61% de femmes et 39% d’hommes, ainsi que dans les établissements publics (37%), comptant 42% de femmes et 58% d’hommes.</w:t>
      </w:r>
    </w:p>
    <w:p w:rsidR="00646BCA" w:rsidRDefault="00646BCA"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43232" behindDoc="1" locked="0" layoutInCell="1" allowOverlap="1" wp14:anchorId="39B3CF79" wp14:editId="422B188B">
            <wp:simplePos x="0" y="0"/>
            <wp:positionH relativeFrom="margin">
              <wp:align>center</wp:align>
            </wp:positionH>
            <wp:positionV relativeFrom="paragraph">
              <wp:posOffset>116840</wp:posOffset>
            </wp:positionV>
            <wp:extent cx="3375025" cy="2035175"/>
            <wp:effectExtent l="0" t="0" r="0" b="3175"/>
            <wp:wrapNone/>
            <wp:docPr id="45" name="Graphique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44256" behindDoc="1" locked="0" layoutInCell="1" allowOverlap="1" wp14:anchorId="0A596032" wp14:editId="21CC0D85">
            <wp:simplePos x="0" y="0"/>
            <wp:positionH relativeFrom="margin">
              <wp:align>center</wp:align>
            </wp:positionH>
            <wp:positionV relativeFrom="paragraph">
              <wp:posOffset>9525</wp:posOffset>
            </wp:positionV>
            <wp:extent cx="4572000" cy="2743200"/>
            <wp:effectExtent l="0" t="0" r="0" b="0"/>
            <wp:wrapTight wrapText="bothSides">
              <wp:wrapPolygon edited="0">
                <wp:start x="0" y="0"/>
                <wp:lineTo x="0" y="21450"/>
                <wp:lineTo x="21510" y="21450"/>
                <wp:lineTo x="21510" y="0"/>
                <wp:lineTo x="0" y="0"/>
              </wp:wrapPolygon>
            </wp:wrapTight>
            <wp:docPr id="48" name="Graphique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rPr>
          <w:rFonts w:ascii="Arial" w:eastAsia="Cambria" w:hAnsi="Arial" w:cs="Times New Roman"/>
        </w:rPr>
      </w:pPr>
      <w:r>
        <w:rPr>
          <w:rFonts w:ascii="Arial" w:eastAsia="Cambria" w:hAnsi="Arial" w:cs="Times New Roman"/>
        </w:rPr>
        <w:br w:type="page"/>
      </w:r>
    </w:p>
    <w:p w:rsidR="00646BCA" w:rsidRPr="006C629E" w:rsidRDefault="00646BCA" w:rsidP="00646BCA">
      <w:pPr>
        <w:widowControl w:val="0"/>
        <w:autoSpaceDE w:val="0"/>
        <w:autoSpaceDN w:val="0"/>
        <w:adjustRightInd w:val="0"/>
        <w:jc w:val="center"/>
        <w:rPr>
          <w:rFonts w:ascii="Arial" w:eastAsia="Cambria" w:hAnsi="Arial" w:cs="Times New Roman"/>
          <w:b/>
        </w:rPr>
      </w:pPr>
      <w:r w:rsidRPr="006C629E">
        <w:rPr>
          <w:rFonts w:ascii="Arial" w:eastAsia="Cambria" w:hAnsi="Arial" w:cs="Times New Roman"/>
          <w:b/>
        </w:rPr>
        <w:lastRenderedPageBreak/>
        <w:t xml:space="preserve">Répartition des agents non titulaires par </w:t>
      </w:r>
      <w:r w:rsidR="009A1A03">
        <w:rPr>
          <w:rFonts w:ascii="Arial" w:eastAsia="Cambria" w:hAnsi="Arial" w:cs="Times New Roman"/>
          <w:b/>
        </w:rPr>
        <w:t>genre</w:t>
      </w:r>
      <w:r w:rsidRPr="006C629E">
        <w:rPr>
          <w:rFonts w:ascii="Arial" w:eastAsia="Cambria" w:hAnsi="Arial" w:cs="Times New Roman"/>
          <w:b/>
        </w:rPr>
        <w:t xml:space="preserve">, </w:t>
      </w:r>
      <w:r w:rsidR="00001510">
        <w:rPr>
          <w:rFonts w:ascii="Arial" w:eastAsia="Cambria" w:hAnsi="Arial" w:cs="Times New Roman"/>
          <w:b/>
        </w:rPr>
        <w:t>équivalence catégorie et filière</w:t>
      </w:r>
    </w:p>
    <w:p w:rsidR="00646BCA" w:rsidRDefault="00646BCA" w:rsidP="00646BCA">
      <w:pPr>
        <w:widowControl w:val="0"/>
        <w:autoSpaceDE w:val="0"/>
        <w:autoSpaceDN w:val="0"/>
        <w:adjustRightInd w:val="0"/>
        <w:jc w:val="both"/>
        <w:rPr>
          <w:rFonts w:ascii="Arial" w:eastAsia="Cambria" w:hAnsi="Arial" w:cs="Times New Roman"/>
        </w:rPr>
      </w:pPr>
    </w:p>
    <w:p w:rsidR="00646BCA" w:rsidRDefault="005A468D"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46304" behindDoc="1" locked="0" layoutInCell="1" allowOverlap="1" wp14:anchorId="6A842A60" wp14:editId="6B5AA5E6">
            <wp:simplePos x="0" y="0"/>
            <wp:positionH relativeFrom="margin">
              <wp:posOffset>3267075</wp:posOffset>
            </wp:positionH>
            <wp:positionV relativeFrom="paragraph">
              <wp:posOffset>2835910</wp:posOffset>
            </wp:positionV>
            <wp:extent cx="3067050" cy="2115820"/>
            <wp:effectExtent l="0" t="0" r="0" b="0"/>
            <wp:wrapTight wrapText="bothSides">
              <wp:wrapPolygon edited="0">
                <wp:start x="0" y="0"/>
                <wp:lineTo x="0" y="21393"/>
                <wp:lineTo x="21466" y="21393"/>
                <wp:lineTo x="21466" y="0"/>
                <wp:lineTo x="0" y="0"/>
              </wp:wrapPolygon>
            </wp:wrapTight>
            <wp:docPr id="90" name="Graphique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646BCA" w:rsidRPr="006C629E">
        <w:rPr>
          <w:noProof/>
          <w:lang w:eastAsia="fr-FR"/>
        </w:rPr>
        <w:drawing>
          <wp:inline distT="0" distB="0" distL="0" distR="0" wp14:anchorId="1B1829E5" wp14:editId="090BF73C">
            <wp:extent cx="5760720" cy="2679916"/>
            <wp:effectExtent l="0" t="0" r="0" b="635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2679916"/>
                    </a:xfrm>
                    <a:prstGeom prst="rect">
                      <a:avLst/>
                    </a:prstGeom>
                    <a:noFill/>
                    <a:ln>
                      <a:noFill/>
                    </a:ln>
                  </pic:spPr>
                </pic:pic>
              </a:graphicData>
            </a:graphic>
          </wp:inline>
        </w:drawing>
      </w:r>
    </w:p>
    <w:p w:rsidR="00646BCA" w:rsidRDefault="005A468D"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45280" behindDoc="1" locked="0" layoutInCell="1" allowOverlap="1" wp14:anchorId="272B0D2D" wp14:editId="39A550F6">
            <wp:simplePos x="0" y="0"/>
            <wp:positionH relativeFrom="margin">
              <wp:posOffset>-228846</wp:posOffset>
            </wp:positionH>
            <wp:positionV relativeFrom="paragraph">
              <wp:posOffset>142895</wp:posOffset>
            </wp:positionV>
            <wp:extent cx="3450590" cy="2086610"/>
            <wp:effectExtent l="0" t="0" r="0" b="8890"/>
            <wp:wrapTight wrapText="bothSides">
              <wp:wrapPolygon edited="0">
                <wp:start x="0" y="0"/>
                <wp:lineTo x="0" y="21495"/>
                <wp:lineTo x="21465" y="21495"/>
                <wp:lineTo x="21465" y="0"/>
                <wp:lineTo x="0" y="0"/>
              </wp:wrapPolygon>
            </wp:wrapTight>
            <wp:docPr id="89" name="Graphique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rsidR="007023DF" w:rsidRPr="00014880" w:rsidRDefault="007023DF" w:rsidP="007023DF">
      <w:pPr>
        <w:widowControl w:val="0"/>
        <w:autoSpaceDE w:val="0"/>
        <w:autoSpaceDN w:val="0"/>
        <w:adjustRightInd w:val="0"/>
        <w:jc w:val="both"/>
        <w:rPr>
          <w:rFonts w:ascii="Arial" w:eastAsia="Cambria" w:hAnsi="Arial" w:cs="Times New Roman"/>
          <w:sz w:val="22"/>
          <w:szCs w:val="22"/>
        </w:rPr>
      </w:pPr>
      <w:r w:rsidRPr="00014880">
        <w:rPr>
          <w:rFonts w:ascii="Arial" w:eastAsia="Cambria" w:hAnsi="Arial" w:cs="Times New Roman"/>
          <w:sz w:val="22"/>
          <w:szCs w:val="22"/>
        </w:rPr>
        <w:t xml:space="preserve">Les agents contractuels sont issus essentiellement de la filière administrative (76%) et plus majoritairement de la catégorie A </w:t>
      </w:r>
      <w:r>
        <w:rPr>
          <w:rFonts w:ascii="Arial" w:eastAsia="Cambria" w:hAnsi="Arial" w:cs="Times New Roman"/>
          <w:sz w:val="22"/>
          <w:szCs w:val="22"/>
        </w:rPr>
        <w:t xml:space="preserve">et A+ </w:t>
      </w:r>
      <w:r w:rsidRPr="00014880">
        <w:rPr>
          <w:rFonts w:ascii="Arial" w:eastAsia="Cambria" w:hAnsi="Arial" w:cs="Times New Roman"/>
          <w:sz w:val="22"/>
          <w:szCs w:val="22"/>
        </w:rPr>
        <w:t>(73%).</w:t>
      </w:r>
      <w:r>
        <w:rPr>
          <w:rFonts w:ascii="Arial" w:eastAsia="Cambria" w:hAnsi="Arial" w:cs="Times New Roman"/>
          <w:sz w:val="22"/>
          <w:szCs w:val="22"/>
        </w:rPr>
        <w:t xml:space="preserve"> </w:t>
      </w:r>
      <w:r w:rsidRPr="00014880">
        <w:rPr>
          <w:rFonts w:ascii="Arial" w:eastAsia="Cambria" w:hAnsi="Arial" w:cs="Times New Roman"/>
          <w:sz w:val="22"/>
          <w:szCs w:val="22"/>
        </w:rPr>
        <w:t>Concernant les autres catégories, ils se répartissent comme suit : 15% dans la catégorie B et 12% dans la catégorie C.</w:t>
      </w:r>
    </w:p>
    <w:p w:rsidR="00646BCA" w:rsidRDefault="00014880"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47328" behindDoc="1" locked="0" layoutInCell="1" allowOverlap="1" wp14:anchorId="131F5586" wp14:editId="3420AD6D">
            <wp:simplePos x="0" y="0"/>
            <wp:positionH relativeFrom="margin">
              <wp:posOffset>766445</wp:posOffset>
            </wp:positionH>
            <wp:positionV relativeFrom="paragraph">
              <wp:posOffset>7620</wp:posOffset>
            </wp:positionV>
            <wp:extent cx="4638040" cy="2897505"/>
            <wp:effectExtent l="0" t="0" r="0" b="0"/>
            <wp:wrapTight wrapText="bothSides">
              <wp:wrapPolygon edited="0">
                <wp:start x="0" y="0"/>
                <wp:lineTo x="0" y="21444"/>
                <wp:lineTo x="21470" y="21444"/>
                <wp:lineTo x="21470" y="0"/>
                <wp:lineTo x="0" y="0"/>
              </wp:wrapPolygon>
            </wp:wrapTight>
            <wp:docPr id="94" name="Graphique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Pr="004E631F" w:rsidRDefault="00646BCA" w:rsidP="00646BCA">
      <w:pPr>
        <w:widowControl w:val="0"/>
        <w:autoSpaceDE w:val="0"/>
        <w:autoSpaceDN w:val="0"/>
        <w:adjustRightInd w:val="0"/>
        <w:jc w:val="center"/>
        <w:rPr>
          <w:rFonts w:ascii="Arial" w:eastAsia="Cambria" w:hAnsi="Arial" w:cs="Times New Roman"/>
          <w:b/>
        </w:rPr>
      </w:pPr>
      <w:r>
        <w:rPr>
          <w:rFonts w:ascii="Arial" w:eastAsia="Cambria" w:hAnsi="Arial" w:cs="Times New Roman"/>
          <w:b/>
        </w:rPr>
        <w:lastRenderedPageBreak/>
        <w:t>Répartition géographique des agents non titulaires</w:t>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r w:rsidRPr="00745141">
        <w:rPr>
          <w:noProof/>
          <w:lang w:eastAsia="fr-FR"/>
        </w:rPr>
        <w:drawing>
          <wp:anchor distT="0" distB="0" distL="114300" distR="114300" simplePos="0" relativeHeight="251748352" behindDoc="1" locked="0" layoutInCell="1" allowOverlap="1" wp14:anchorId="260F639C" wp14:editId="376D13C4">
            <wp:simplePos x="0" y="0"/>
            <wp:positionH relativeFrom="margin">
              <wp:align>center</wp:align>
            </wp:positionH>
            <wp:positionV relativeFrom="paragraph">
              <wp:posOffset>6350</wp:posOffset>
            </wp:positionV>
            <wp:extent cx="3225800" cy="5346700"/>
            <wp:effectExtent l="0" t="0" r="0" b="6350"/>
            <wp:wrapTight wrapText="bothSides">
              <wp:wrapPolygon edited="0">
                <wp:start x="0" y="0"/>
                <wp:lineTo x="0" y="21549"/>
                <wp:lineTo x="21430" y="21549"/>
                <wp:lineTo x="21430" y="20010"/>
                <wp:lineTo x="21302" y="19933"/>
                <wp:lineTo x="19517" y="19702"/>
                <wp:lineTo x="21430" y="19394"/>
                <wp:lineTo x="21430" y="16238"/>
                <wp:lineTo x="19517" y="16008"/>
                <wp:lineTo x="21430" y="15623"/>
                <wp:lineTo x="21430" y="14007"/>
                <wp:lineTo x="19517" y="13545"/>
                <wp:lineTo x="21430" y="13468"/>
                <wp:lineTo x="21430" y="12544"/>
                <wp:lineTo x="19517" y="12314"/>
                <wp:lineTo x="21430" y="11929"/>
                <wp:lineTo x="21430" y="10313"/>
                <wp:lineTo x="19517" y="9851"/>
                <wp:lineTo x="21430" y="9697"/>
                <wp:lineTo x="21430" y="8850"/>
                <wp:lineTo x="20665" y="8619"/>
                <wp:lineTo x="21430" y="8158"/>
                <wp:lineTo x="21430" y="6695"/>
                <wp:lineTo x="21175" y="6542"/>
                <wp:lineTo x="19517" y="6157"/>
                <wp:lineTo x="21430" y="6003"/>
                <wp:lineTo x="21430" y="5079"/>
                <wp:lineTo x="20665" y="4925"/>
                <wp:lineTo x="21430" y="4464"/>
                <wp:lineTo x="21430" y="3001"/>
                <wp:lineTo x="21175" y="2848"/>
                <wp:lineTo x="19517" y="2463"/>
                <wp:lineTo x="21430" y="2309"/>
                <wp:lineTo x="21430" y="1385"/>
                <wp:lineTo x="20792" y="1231"/>
                <wp:lineTo x="21430" y="770"/>
                <wp:lineTo x="21430" y="0"/>
                <wp:lineTo x="0" y="0"/>
              </wp:wrapPolygon>
            </wp:wrapTight>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25800" cy="5346700"/>
                    </a:xfrm>
                    <a:prstGeom prst="rect">
                      <a:avLst/>
                    </a:prstGeom>
                    <a:noFill/>
                    <a:ln>
                      <a:noFill/>
                    </a:ln>
                  </pic:spPr>
                </pic:pic>
              </a:graphicData>
            </a:graphic>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49376" behindDoc="1" locked="0" layoutInCell="1" allowOverlap="1" wp14:anchorId="6E9C139A" wp14:editId="74A8ED22">
            <wp:simplePos x="0" y="0"/>
            <wp:positionH relativeFrom="margin">
              <wp:align>center</wp:align>
            </wp:positionH>
            <wp:positionV relativeFrom="paragraph">
              <wp:posOffset>38100</wp:posOffset>
            </wp:positionV>
            <wp:extent cx="4572000" cy="2743200"/>
            <wp:effectExtent l="0" t="0" r="0" b="0"/>
            <wp:wrapTight wrapText="bothSides">
              <wp:wrapPolygon edited="0">
                <wp:start x="0" y="0"/>
                <wp:lineTo x="0" y="21450"/>
                <wp:lineTo x="21510" y="21450"/>
                <wp:lineTo x="21510" y="0"/>
                <wp:lineTo x="0" y="0"/>
              </wp:wrapPolygon>
            </wp:wrapTight>
            <wp:docPr id="192" name="Graphique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rPr>
          <w:rFonts w:ascii="Arial" w:eastAsia="Cambria" w:hAnsi="Arial" w:cs="Times New Roman"/>
        </w:rPr>
      </w:pPr>
      <w:r>
        <w:rPr>
          <w:rFonts w:ascii="Arial" w:eastAsia="Cambria" w:hAnsi="Arial" w:cs="Times New Roman"/>
        </w:rPr>
        <w:br w:type="page"/>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50400" behindDoc="1" locked="0" layoutInCell="1" allowOverlap="1" wp14:anchorId="0F9E2AAA" wp14:editId="41D7723B">
            <wp:simplePos x="0" y="0"/>
            <wp:positionH relativeFrom="margin">
              <wp:align>center</wp:align>
            </wp:positionH>
            <wp:positionV relativeFrom="paragraph">
              <wp:posOffset>6350</wp:posOffset>
            </wp:positionV>
            <wp:extent cx="4572000" cy="2743200"/>
            <wp:effectExtent l="0" t="0" r="0" b="0"/>
            <wp:wrapTight wrapText="bothSides">
              <wp:wrapPolygon edited="0">
                <wp:start x="0" y="0"/>
                <wp:lineTo x="0" y="21450"/>
                <wp:lineTo x="21510" y="21450"/>
                <wp:lineTo x="21510" y="0"/>
                <wp:lineTo x="0" y="0"/>
              </wp:wrapPolygon>
            </wp:wrapTight>
            <wp:docPr id="193" name="Graphique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51424" behindDoc="1" locked="0" layoutInCell="1" allowOverlap="1" wp14:anchorId="01461D4D" wp14:editId="79DEBA9B">
            <wp:simplePos x="0" y="0"/>
            <wp:positionH relativeFrom="margin">
              <wp:align>center</wp:align>
            </wp:positionH>
            <wp:positionV relativeFrom="paragraph">
              <wp:posOffset>8255</wp:posOffset>
            </wp:positionV>
            <wp:extent cx="5083175" cy="3489326"/>
            <wp:effectExtent l="0" t="0" r="3175" b="0"/>
            <wp:wrapTight wrapText="bothSides">
              <wp:wrapPolygon edited="0">
                <wp:start x="0" y="0"/>
                <wp:lineTo x="0" y="21462"/>
                <wp:lineTo x="21533" y="21462"/>
                <wp:lineTo x="21533" y="0"/>
                <wp:lineTo x="0" y="0"/>
              </wp:wrapPolygon>
            </wp:wrapTight>
            <wp:docPr id="194" name="Graphique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Pr="001445B4" w:rsidRDefault="00646BCA" w:rsidP="00646BCA">
      <w:pPr>
        <w:widowControl w:val="0"/>
        <w:autoSpaceDE w:val="0"/>
        <w:autoSpaceDN w:val="0"/>
        <w:adjustRightInd w:val="0"/>
        <w:jc w:val="both"/>
        <w:rPr>
          <w:rFonts w:ascii="Arial" w:eastAsia="Cambria" w:hAnsi="Arial" w:cs="Times New Roman"/>
          <w:sz w:val="22"/>
          <w:szCs w:val="22"/>
        </w:rPr>
      </w:pPr>
      <w:r w:rsidRPr="001445B4">
        <w:rPr>
          <w:rFonts w:ascii="Arial" w:eastAsia="Cambria" w:hAnsi="Arial" w:cs="Times New Roman"/>
          <w:sz w:val="22"/>
          <w:szCs w:val="22"/>
        </w:rPr>
        <w:t>La moyenne d’âge des agents non titulaires est de 44,8 ans contre 48,6 pour l’ensemble des agents du ministère du T2. Elle est de 44,1 ans pour les femmes et 45,4 ans pour les hommes.</w:t>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rPr>
          <w:rFonts w:ascii="Arial" w:eastAsia="Cambria" w:hAnsi="Arial" w:cs="Times New Roman"/>
        </w:rPr>
      </w:pPr>
      <w:r>
        <w:rPr>
          <w:rFonts w:ascii="Arial" w:eastAsia="Cambria" w:hAnsi="Arial" w:cs="Times New Roman"/>
        </w:rPr>
        <w:br w:type="page"/>
      </w:r>
    </w:p>
    <w:p w:rsidR="00646BCA" w:rsidRDefault="00646BCA" w:rsidP="00646BCA">
      <w:pPr>
        <w:widowControl w:val="0"/>
        <w:autoSpaceDE w:val="0"/>
        <w:autoSpaceDN w:val="0"/>
        <w:adjustRightInd w:val="0"/>
        <w:jc w:val="both"/>
        <w:rPr>
          <w:rFonts w:ascii="Arial" w:eastAsia="Cambria" w:hAnsi="Arial" w:cs="Times New Roman"/>
        </w:rPr>
      </w:pPr>
    </w:p>
    <w:p w:rsidR="00646BCA" w:rsidRPr="00B55656" w:rsidRDefault="00646BCA" w:rsidP="00646BCA">
      <w:pPr>
        <w:widowControl w:val="0"/>
        <w:autoSpaceDE w:val="0"/>
        <w:autoSpaceDN w:val="0"/>
        <w:adjustRightInd w:val="0"/>
        <w:jc w:val="center"/>
        <w:rPr>
          <w:rFonts w:ascii="Arial" w:eastAsia="Cambria" w:hAnsi="Arial" w:cs="Times New Roman"/>
          <w:b/>
        </w:rPr>
      </w:pPr>
      <w:r w:rsidRPr="00B55656">
        <w:rPr>
          <w:noProof/>
          <w:lang w:eastAsia="fr-FR"/>
        </w:rPr>
        <w:drawing>
          <wp:anchor distT="0" distB="0" distL="114300" distR="114300" simplePos="0" relativeHeight="251752448" behindDoc="1" locked="0" layoutInCell="1" allowOverlap="1" wp14:anchorId="70A9CFE2" wp14:editId="3D98F4FB">
            <wp:simplePos x="0" y="0"/>
            <wp:positionH relativeFrom="margin">
              <wp:align>center</wp:align>
            </wp:positionH>
            <wp:positionV relativeFrom="paragraph">
              <wp:posOffset>323850</wp:posOffset>
            </wp:positionV>
            <wp:extent cx="5562600" cy="2400300"/>
            <wp:effectExtent l="0" t="0" r="0" b="0"/>
            <wp:wrapTight wrapText="bothSides">
              <wp:wrapPolygon edited="0">
                <wp:start x="0" y="0"/>
                <wp:lineTo x="0" y="21429"/>
                <wp:lineTo x="21526" y="21429"/>
                <wp:lineTo x="21526" y="19714"/>
                <wp:lineTo x="21082" y="19200"/>
                <wp:lineTo x="21526" y="18000"/>
                <wp:lineTo x="21526" y="14743"/>
                <wp:lineTo x="21452" y="14571"/>
                <wp:lineTo x="20564" y="13714"/>
                <wp:lineTo x="21526" y="13371"/>
                <wp:lineTo x="21526" y="11314"/>
                <wp:lineTo x="21156" y="10971"/>
                <wp:lineTo x="21526" y="9943"/>
                <wp:lineTo x="21526" y="6514"/>
                <wp:lineTo x="21378" y="6171"/>
                <wp:lineTo x="20416" y="5486"/>
                <wp:lineTo x="21304" y="5486"/>
                <wp:lineTo x="21526" y="4971"/>
                <wp:lineTo x="21526" y="0"/>
                <wp:lineTo x="0" y="0"/>
              </wp:wrapPolygon>
            </wp:wrapTight>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62600" cy="2400300"/>
                    </a:xfrm>
                    <a:prstGeom prst="rect">
                      <a:avLst/>
                    </a:prstGeom>
                    <a:noFill/>
                    <a:ln>
                      <a:noFill/>
                    </a:ln>
                  </pic:spPr>
                </pic:pic>
              </a:graphicData>
            </a:graphic>
          </wp:anchor>
        </w:drawing>
      </w:r>
      <w:r>
        <w:rPr>
          <w:rFonts w:ascii="Arial" w:eastAsia="Cambria" w:hAnsi="Arial" w:cs="Times New Roman"/>
          <w:b/>
        </w:rPr>
        <w:t xml:space="preserve">Répartition des agents non titulaires par </w:t>
      </w:r>
      <w:r w:rsidR="009A1A03">
        <w:rPr>
          <w:rFonts w:ascii="Arial" w:eastAsia="Cambria" w:hAnsi="Arial" w:cs="Times New Roman"/>
          <w:b/>
        </w:rPr>
        <w:t>genre</w:t>
      </w:r>
      <w:r>
        <w:rPr>
          <w:rFonts w:ascii="Arial" w:eastAsia="Cambria" w:hAnsi="Arial" w:cs="Times New Roman"/>
          <w:b/>
        </w:rPr>
        <w:t xml:space="preserve"> et tranche d’âge</w:t>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5A468D" w:rsidRDefault="005A468D" w:rsidP="00646BCA">
      <w:pPr>
        <w:widowControl w:val="0"/>
        <w:autoSpaceDE w:val="0"/>
        <w:autoSpaceDN w:val="0"/>
        <w:adjustRightInd w:val="0"/>
        <w:jc w:val="both"/>
        <w:rPr>
          <w:rFonts w:ascii="Arial" w:eastAsia="Cambria" w:hAnsi="Arial" w:cs="Times New Roman"/>
        </w:rPr>
      </w:pPr>
    </w:p>
    <w:p w:rsidR="005A468D" w:rsidRDefault="005A468D"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r>
        <w:rPr>
          <w:noProof/>
          <w:lang w:eastAsia="fr-FR"/>
        </w:rPr>
        <w:drawing>
          <wp:anchor distT="0" distB="0" distL="114300" distR="114300" simplePos="0" relativeHeight="251753472" behindDoc="1" locked="0" layoutInCell="1" allowOverlap="1" wp14:anchorId="2FFB1FF8" wp14:editId="50063E51">
            <wp:simplePos x="0" y="0"/>
            <wp:positionH relativeFrom="margin">
              <wp:align>center</wp:align>
            </wp:positionH>
            <wp:positionV relativeFrom="paragraph">
              <wp:posOffset>112395</wp:posOffset>
            </wp:positionV>
            <wp:extent cx="4572000" cy="2743200"/>
            <wp:effectExtent l="0" t="0" r="0" b="0"/>
            <wp:wrapTight wrapText="bothSides">
              <wp:wrapPolygon edited="0">
                <wp:start x="0" y="0"/>
                <wp:lineTo x="0" y="21450"/>
                <wp:lineTo x="21510" y="21450"/>
                <wp:lineTo x="21510" y="0"/>
                <wp:lineTo x="0" y="0"/>
              </wp:wrapPolygon>
            </wp:wrapTight>
            <wp:docPr id="196" name="Graphique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widowControl w:val="0"/>
        <w:autoSpaceDE w:val="0"/>
        <w:autoSpaceDN w:val="0"/>
        <w:adjustRightInd w:val="0"/>
        <w:jc w:val="both"/>
        <w:rPr>
          <w:rFonts w:ascii="Arial" w:eastAsia="Cambria" w:hAnsi="Arial" w:cs="Times New Roman"/>
        </w:rPr>
      </w:pPr>
    </w:p>
    <w:p w:rsidR="00646BCA" w:rsidRDefault="00646BCA" w:rsidP="00646BCA">
      <w:pPr>
        <w:rPr>
          <w:rFonts w:ascii="Arial" w:eastAsia="Cambria" w:hAnsi="Arial" w:cs="Times New Roman"/>
        </w:rPr>
      </w:pPr>
      <w:r>
        <w:rPr>
          <w:rFonts w:ascii="Arial" w:eastAsia="Cambria" w:hAnsi="Arial" w:cs="Times New Roman"/>
        </w:rPr>
        <w:br w:type="page"/>
      </w:r>
    </w:p>
    <w:p w:rsidR="00646BCA" w:rsidRPr="00C363EE" w:rsidRDefault="00646BCA" w:rsidP="00646BCA">
      <w:pPr>
        <w:widowControl w:val="0"/>
        <w:autoSpaceDE w:val="0"/>
        <w:autoSpaceDN w:val="0"/>
        <w:adjustRightInd w:val="0"/>
        <w:jc w:val="both"/>
        <w:rPr>
          <w:rFonts w:ascii="Arial" w:eastAsia="Cambria" w:hAnsi="Arial" w:cs="Times New Roman"/>
        </w:rPr>
      </w:pPr>
    </w:p>
    <w:p w:rsidR="00646BCA" w:rsidRPr="00311B99" w:rsidRDefault="00646BCA" w:rsidP="00646BCA">
      <w:pPr>
        <w:tabs>
          <w:tab w:val="left" w:pos="1220"/>
        </w:tabs>
        <w:rPr>
          <w:rFonts w:ascii="Florencesans Exp" w:eastAsia="Cambria" w:hAnsi="Florencesans Exp" w:cs="Times New Roman"/>
          <w:b/>
          <w:color w:val="E917DF"/>
          <w:sz w:val="28"/>
        </w:rPr>
      </w:pPr>
      <w:r w:rsidRPr="00311B99">
        <w:rPr>
          <w:rFonts w:ascii="Florencesans Exp" w:eastAsia="Cambria" w:hAnsi="Florencesans Exp" w:cs="Times New Roman"/>
          <w:b/>
          <w:color w:val="E917DF"/>
          <w:sz w:val="28"/>
        </w:rPr>
        <w:t>1. B. EFFECTIF DES OPERATEURS</w:t>
      </w:r>
    </w:p>
    <w:p w:rsidR="001936E9" w:rsidRPr="001936E9" w:rsidRDefault="001936E9" w:rsidP="001936E9">
      <w:pPr>
        <w:tabs>
          <w:tab w:val="left" w:pos="1220"/>
        </w:tabs>
        <w:rPr>
          <w:rFonts w:ascii="BlairMdITC TT-Medium" w:eastAsia="Cambria" w:hAnsi="BlairMdITC TT-Medium" w:cs="Times New Roman"/>
          <w:b/>
          <w:color w:val="FF0080"/>
          <w:sz w:val="28"/>
        </w:rPr>
      </w:pPr>
    </w:p>
    <w:p w:rsidR="00DA2118" w:rsidRDefault="00DA2118" w:rsidP="001936E9">
      <w:pPr>
        <w:spacing w:after="160"/>
        <w:jc w:val="both"/>
        <w:rPr>
          <w:rFonts w:ascii="Arial" w:eastAsia="Cambria" w:hAnsi="Arial" w:cs="Times New Roman"/>
        </w:rPr>
      </w:pPr>
      <w:r>
        <w:rPr>
          <w:rFonts w:ascii="Arial" w:eastAsia="Cambria" w:hAnsi="Arial" w:cs="Times New Roman"/>
        </w:rPr>
        <w:t>Cette sous partie concerne les effectifs des opérateurs rémunérés sur le titre 2 et le titre 3</w:t>
      </w:r>
      <w:r w:rsidR="00CC15B8">
        <w:rPr>
          <w:rFonts w:ascii="Arial" w:eastAsia="Cambria" w:hAnsi="Arial" w:cs="Times New Roman"/>
        </w:rPr>
        <w:t>,</w:t>
      </w:r>
      <w:r>
        <w:rPr>
          <w:rFonts w:ascii="Arial" w:eastAsia="Cambria" w:hAnsi="Arial" w:cs="Times New Roman"/>
        </w:rPr>
        <w:t xml:space="preserve"> présents dans les établissements publics </w:t>
      </w:r>
      <w:r w:rsidR="00CC15B8">
        <w:rPr>
          <w:rFonts w:ascii="Arial" w:eastAsia="Cambria" w:hAnsi="Arial" w:cs="Times New Roman"/>
        </w:rPr>
        <w:t xml:space="preserve">au cours de l’année 2013 et ayant le statut de fonctionnaire, de fonctionnaire détaché ou d’agent non titulaire.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Les chiffres développés ont été obtenus grâce à « l’Enquête Ressources Humaines » du Bureau de l’emploi et de la rémunération (SRH), qui remplace l’enquête OPUS menée en 2009 et en 2013 sur le volet ressources humaines.</w:t>
      </w:r>
      <w:r w:rsidR="00DA2118">
        <w:rPr>
          <w:rFonts w:ascii="Arial" w:eastAsia="Cambria" w:hAnsi="Arial" w:cs="Times New Roman"/>
        </w:rPr>
        <w:t xml:space="preserve"> </w:t>
      </w:r>
      <w:r w:rsidRPr="001936E9">
        <w:rPr>
          <w:rFonts w:ascii="Arial" w:eastAsia="Cambria" w:hAnsi="Arial" w:cs="Times New Roman"/>
        </w:rPr>
        <w:t xml:space="preserve">L’enquête a été lancée en Août 2014 concerne les données 2013 des agents sur budget d'établissement (titre 3).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Les informations relatives au personnel rémunéré par le ministère (titre 2) sont renseignées directement par le Service des ressources humaines du Secrétariat général (source : Rh@psodie).</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 xml:space="preserve">La cartographie des emplois porte sur </w:t>
      </w:r>
      <w:r w:rsidRPr="001936E9">
        <w:rPr>
          <w:rFonts w:ascii="Arial" w:eastAsia="Cambria" w:hAnsi="Arial" w:cs="Times New Roman"/>
          <w:b/>
          <w:bCs/>
        </w:rPr>
        <w:t xml:space="preserve">les effectifs présents au cours de l’année 2013 sur le T2 et le T3 exprimés en ETPT.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L’</w:t>
      </w:r>
      <w:r w:rsidRPr="001936E9">
        <w:rPr>
          <w:rFonts w:ascii="Arial" w:eastAsia="Cambria" w:hAnsi="Arial" w:cs="Times New Roman"/>
          <w:b/>
          <w:bCs/>
        </w:rPr>
        <w:t>unité de dénombrement</w:t>
      </w:r>
      <w:r w:rsidRPr="001936E9">
        <w:rPr>
          <w:rFonts w:ascii="Arial" w:eastAsia="Cambria" w:hAnsi="Arial" w:cs="Times New Roman"/>
        </w:rPr>
        <w:t xml:space="preserve"> utilisée pour l’ensemble des données de l’enquête est l’</w:t>
      </w:r>
      <w:r w:rsidRPr="001936E9">
        <w:rPr>
          <w:rFonts w:ascii="Arial" w:eastAsia="Cambria" w:hAnsi="Arial" w:cs="Times New Roman"/>
          <w:b/>
          <w:bCs/>
        </w:rPr>
        <w:t xml:space="preserve">ETPT. </w:t>
      </w:r>
      <w:r w:rsidRPr="001936E9">
        <w:rPr>
          <w:rFonts w:ascii="Arial" w:eastAsia="Cambria" w:hAnsi="Arial" w:cs="Times New Roman"/>
        </w:rPr>
        <w:t>L’équivalent temps plein travaillé est une unité de décompte proportionnelle à l’activité de l’agent, mesurée par sa quotité de temps travaillée et par sa période d’activité dans l’année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Effectifs physiques x Quotité de temps de travail x Période d’activité dans l’année</w:t>
      </w:r>
    </w:p>
    <w:p w:rsidR="001936E9" w:rsidRPr="001936E9" w:rsidRDefault="001936E9" w:rsidP="001936E9">
      <w:pPr>
        <w:spacing w:after="160"/>
        <w:jc w:val="both"/>
        <w:rPr>
          <w:rFonts w:ascii="Arial" w:eastAsia="Cambria" w:hAnsi="Arial" w:cs="Times New Roman"/>
        </w:rPr>
      </w:pP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b/>
          <w:bCs/>
        </w:rPr>
        <w:t>Méthodologie de l’enquête RH auprès des Etablissements publics (Titre 3)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 xml:space="preserve">Concernant le Titre 3, les établissements publics du Ministère de la Culture étaient invités à répondre à une enquête concernant leurs effectifs pour </w:t>
      </w:r>
      <w:r w:rsidRPr="001936E9">
        <w:rPr>
          <w:rFonts w:ascii="Arial" w:eastAsia="Cambria" w:hAnsi="Arial" w:cs="Times New Roman"/>
          <w:b/>
          <w:bCs/>
        </w:rPr>
        <w:t>l’année 2013</w:t>
      </w:r>
      <w:r w:rsidRPr="001936E9">
        <w:rPr>
          <w:rFonts w:ascii="Arial" w:eastAsia="Cambria" w:hAnsi="Arial" w:cs="Times New Roman"/>
        </w:rPr>
        <w:t xml:space="preserve"> via un tableur à 2 onglets : </w:t>
      </w:r>
    </w:p>
    <w:p w:rsidR="001936E9" w:rsidRPr="001936E9" w:rsidRDefault="001936E9" w:rsidP="001936E9">
      <w:pPr>
        <w:numPr>
          <w:ilvl w:val="0"/>
          <w:numId w:val="51"/>
        </w:numPr>
        <w:spacing w:after="160" w:line="259" w:lineRule="auto"/>
        <w:jc w:val="both"/>
        <w:rPr>
          <w:rFonts w:ascii="Arial" w:eastAsia="Cambria" w:hAnsi="Arial" w:cs="Times New Roman"/>
        </w:rPr>
      </w:pPr>
      <w:r w:rsidRPr="001936E9">
        <w:rPr>
          <w:rFonts w:ascii="Arial" w:eastAsia="Cambria" w:hAnsi="Arial" w:cs="Times New Roman"/>
        </w:rPr>
        <w:t>un onglet n°1 relatif aux agents "</w:t>
      </w:r>
      <w:r w:rsidRPr="001936E9">
        <w:rPr>
          <w:rFonts w:ascii="Arial" w:eastAsia="Cambria" w:hAnsi="Arial" w:cs="Times New Roman"/>
          <w:b/>
          <w:bCs/>
        </w:rPr>
        <w:t>sous plafond d'emploi</w:t>
      </w:r>
      <w:r w:rsidRPr="001936E9">
        <w:rPr>
          <w:rFonts w:ascii="Arial" w:eastAsia="Cambria" w:hAnsi="Arial" w:cs="Times New Roman"/>
        </w:rPr>
        <w:t>";</w:t>
      </w:r>
    </w:p>
    <w:p w:rsidR="001936E9" w:rsidRPr="001936E9" w:rsidRDefault="001936E9" w:rsidP="001936E9">
      <w:pPr>
        <w:numPr>
          <w:ilvl w:val="0"/>
          <w:numId w:val="51"/>
        </w:numPr>
        <w:spacing w:after="160" w:line="259" w:lineRule="auto"/>
        <w:jc w:val="both"/>
        <w:rPr>
          <w:rFonts w:ascii="Arial" w:eastAsia="Cambria" w:hAnsi="Arial" w:cs="Times New Roman"/>
        </w:rPr>
      </w:pPr>
      <w:r w:rsidRPr="001936E9">
        <w:rPr>
          <w:rFonts w:ascii="Arial" w:eastAsia="Cambria" w:hAnsi="Arial" w:cs="Times New Roman"/>
        </w:rPr>
        <w:t>un onglet n°2 relatif aux agents "</w:t>
      </w:r>
      <w:r w:rsidRPr="001936E9">
        <w:rPr>
          <w:rFonts w:ascii="Arial" w:eastAsia="Cambria" w:hAnsi="Arial" w:cs="Times New Roman"/>
          <w:b/>
          <w:bCs/>
        </w:rPr>
        <w:t>hors plafond d’emploi</w:t>
      </w:r>
      <w:r w:rsidRPr="001936E9">
        <w:rPr>
          <w:rFonts w:ascii="Arial" w:eastAsia="Cambria" w:hAnsi="Arial" w:cs="Times New Roman"/>
        </w:rPr>
        <w:t>" et "</w:t>
      </w:r>
      <w:r w:rsidRPr="001936E9">
        <w:rPr>
          <w:rFonts w:ascii="Arial" w:eastAsia="Cambria" w:hAnsi="Arial" w:cs="Times New Roman"/>
          <w:b/>
          <w:bCs/>
        </w:rPr>
        <w:t>hors champ</w:t>
      </w:r>
      <w:r w:rsidRPr="001936E9">
        <w:rPr>
          <w:rFonts w:ascii="Arial" w:eastAsia="Cambria" w:hAnsi="Arial" w:cs="Times New Roman"/>
        </w:rPr>
        <w:t xml:space="preserve">" : </w:t>
      </w:r>
      <w:r w:rsidRPr="001936E9">
        <w:rPr>
          <w:rFonts w:ascii="Arial" w:eastAsia="Cambria" w:hAnsi="Arial" w:cs="Times New Roman"/>
          <w:b/>
          <w:bCs/>
        </w:rPr>
        <w:t>intermittents, contrats aidés et agents payés à la tâche</w:t>
      </w:r>
      <w:r w:rsidRPr="001936E9">
        <w:rPr>
          <w:rFonts w:ascii="Arial" w:eastAsia="Cambria" w:hAnsi="Arial" w:cs="Times New Roman"/>
        </w:rPr>
        <w:t>. Les contrats "</w:t>
      </w:r>
      <w:r w:rsidRPr="001936E9">
        <w:rPr>
          <w:rFonts w:ascii="Arial" w:eastAsia="Cambria" w:hAnsi="Arial" w:cs="Times New Roman"/>
          <w:b/>
          <w:bCs/>
        </w:rPr>
        <w:t>hors plafond</w:t>
      </w:r>
      <w:r w:rsidRPr="001936E9">
        <w:rPr>
          <w:rFonts w:ascii="Arial" w:eastAsia="Cambria" w:hAnsi="Arial" w:cs="Times New Roman"/>
        </w:rPr>
        <w:t>"</w:t>
      </w:r>
      <w:r w:rsidRPr="001936E9">
        <w:rPr>
          <w:rFonts w:ascii="Arial" w:eastAsia="Cambria" w:hAnsi="Arial" w:cs="Times New Roman"/>
          <w:b/>
          <w:bCs/>
        </w:rPr>
        <w:t> </w:t>
      </w:r>
      <w:r w:rsidRPr="001936E9">
        <w:rPr>
          <w:rFonts w:ascii="Arial" w:eastAsia="Cambria" w:hAnsi="Arial" w:cs="Times New Roman"/>
        </w:rPr>
        <w:t>correspondent à des contrats dont le type de financement justifie de ne pas les intégrer dans la contrainte globale d’emplois annuelle qui est notifiée. Les emplois dits "</w:t>
      </w:r>
      <w:r w:rsidRPr="001936E9">
        <w:rPr>
          <w:rFonts w:ascii="Arial" w:eastAsia="Cambria" w:hAnsi="Arial" w:cs="Times New Roman"/>
          <w:b/>
          <w:bCs/>
        </w:rPr>
        <w:t>hors champ</w:t>
      </w:r>
      <w:r w:rsidRPr="001936E9">
        <w:rPr>
          <w:rFonts w:ascii="Arial" w:eastAsia="Cambria" w:hAnsi="Arial" w:cs="Times New Roman"/>
        </w:rPr>
        <w:t xml:space="preserve">" correspondent à des contrats dont la nature justifie qu’ils ne décomptent plus du plafond. </w:t>
      </w:r>
    </w:p>
    <w:p w:rsidR="001936E9" w:rsidRPr="001936E9" w:rsidRDefault="001936E9" w:rsidP="001936E9">
      <w:pPr>
        <w:spacing w:after="160"/>
        <w:jc w:val="both"/>
        <w:rPr>
          <w:rFonts w:ascii="Arial" w:eastAsia="Cambria" w:hAnsi="Arial" w:cs="Times New Roman"/>
        </w:rPr>
      </w:pPr>
    </w:p>
    <w:p w:rsidR="001E33C3" w:rsidRDefault="001E33C3">
      <w:pPr>
        <w:spacing w:after="160" w:line="259" w:lineRule="auto"/>
        <w:rPr>
          <w:rFonts w:ascii="Arial" w:eastAsia="Cambria" w:hAnsi="Arial" w:cs="Times New Roman"/>
          <w:u w:val="single"/>
        </w:rPr>
      </w:pPr>
      <w:r>
        <w:rPr>
          <w:rFonts w:ascii="Arial" w:eastAsia="Cambria" w:hAnsi="Arial" w:cs="Times New Roman"/>
          <w:u w:val="single"/>
        </w:rPr>
        <w:br w:type="page"/>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u w:val="single"/>
        </w:rPr>
        <w:lastRenderedPageBreak/>
        <w:t>Périmètre de l’enquête</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 xml:space="preserve">L'enquête nominative concerne les agents comptabilisés dans le plafond d'emplois de l'établissement au cours de l'année 2013.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Ces données concernent la ventilation des effectifs 2013 des établissements publics selon :</w:t>
      </w:r>
    </w:p>
    <w:p w:rsidR="001936E9" w:rsidRPr="001936E9" w:rsidRDefault="001936E9" w:rsidP="001936E9">
      <w:pPr>
        <w:numPr>
          <w:ilvl w:val="0"/>
          <w:numId w:val="52"/>
        </w:numPr>
        <w:spacing w:after="160" w:line="259" w:lineRule="auto"/>
        <w:jc w:val="both"/>
        <w:rPr>
          <w:rFonts w:ascii="Arial" w:eastAsia="Cambria" w:hAnsi="Arial" w:cs="Times New Roman"/>
        </w:rPr>
      </w:pPr>
      <w:r w:rsidRPr="001936E9">
        <w:rPr>
          <w:rFonts w:ascii="Arial" w:eastAsia="Cambria" w:hAnsi="Arial" w:cs="Times New Roman"/>
        </w:rPr>
        <w:t xml:space="preserve">les données démographiques: nom, prénom, âge, </w:t>
      </w:r>
      <w:r w:rsidR="009A1A03">
        <w:rPr>
          <w:rFonts w:ascii="Arial" w:eastAsia="Cambria" w:hAnsi="Arial" w:cs="Times New Roman"/>
        </w:rPr>
        <w:t>genre</w:t>
      </w:r>
      <w:r w:rsidRPr="001936E9">
        <w:rPr>
          <w:rFonts w:ascii="Arial" w:eastAsia="Cambria" w:hAnsi="Arial" w:cs="Times New Roman"/>
        </w:rPr>
        <w:t> ;</w:t>
      </w:r>
    </w:p>
    <w:p w:rsidR="001936E9" w:rsidRPr="001936E9" w:rsidRDefault="001936E9" w:rsidP="001936E9">
      <w:pPr>
        <w:numPr>
          <w:ilvl w:val="0"/>
          <w:numId w:val="52"/>
        </w:numPr>
        <w:spacing w:after="160" w:line="259" w:lineRule="auto"/>
        <w:jc w:val="both"/>
        <w:rPr>
          <w:rFonts w:ascii="Arial" w:eastAsia="Cambria" w:hAnsi="Arial" w:cs="Times New Roman"/>
        </w:rPr>
      </w:pPr>
      <w:r w:rsidRPr="001936E9">
        <w:rPr>
          <w:rFonts w:ascii="Arial" w:eastAsia="Cambria" w:hAnsi="Arial" w:cs="Times New Roman"/>
        </w:rPr>
        <w:t>le statut (fonctionnaire, agent non titulaire ou fonctionnaire détaché) ;</w:t>
      </w:r>
    </w:p>
    <w:p w:rsidR="001936E9" w:rsidRPr="001936E9" w:rsidRDefault="001936E9" w:rsidP="001936E9">
      <w:pPr>
        <w:numPr>
          <w:ilvl w:val="0"/>
          <w:numId w:val="52"/>
        </w:numPr>
        <w:spacing w:after="160" w:line="259" w:lineRule="auto"/>
        <w:jc w:val="both"/>
        <w:rPr>
          <w:rFonts w:ascii="Arial" w:eastAsia="Cambria" w:hAnsi="Arial" w:cs="Times New Roman"/>
        </w:rPr>
      </w:pPr>
      <w:r w:rsidRPr="001936E9">
        <w:rPr>
          <w:rFonts w:ascii="Arial" w:eastAsia="Cambria" w:hAnsi="Arial" w:cs="Times New Roman"/>
        </w:rPr>
        <w:t>la nature du contrat (CDD ou CDI) pour les agents non titulaires ;</w:t>
      </w:r>
    </w:p>
    <w:p w:rsidR="001936E9" w:rsidRPr="001936E9" w:rsidRDefault="001936E9" w:rsidP="001936E9">
      <w:pPr>
        <w:numPr>
          <w:ilvl w:val="0"/>
          <w:numId w:val="52"/>
        </w:numPr>
        <w:spacing w:after="160" w:line="259" w:lineRule="auto"/>
        <w:jc w:val="both"/>
        <w:rPr>
          <w:rFonts w:ascii="Arial" w:eastAsia="Cambria" w:hAnsi="Arial" w:cs="Times New Roman"/>
        </w:rPr>
      </w:pPr>
      <w:r w:rsidRPr="001936E9">
        <w:rPr>
          <w:rFonts w:ascii="Arial" w:eastAsia="Cambria" w:hAnsi="Arial" w:cs="Times New Roman"/>
        </w:rPr>
        <w:t xml:space="preserve">le fondement de recrutement pour les agents non titulaires des EPA, </w:t>
      </w:r>
      <w:r w:rsidRPr="001936E9">
        <w:rPr>
          <w:rFonts w:ascii="Arial" w:eastAsia="Cambria" w:hAnsi="Arial" w:cs="Times New Roman"/>
          <w:iCs/>
        </w:rPr>
        <w:t>par convention, les agents sous plafond d’emploi recrutés sous lettre d’engagement ont été exclus du périmètre de l’enquê</w:t>
      </w:r>
      <w:r w:rsidRPr="001936E9">
        <w:rPr>
          <w:rFonts w:ascii="Arial" w:eastAsia="Cambria" w:hAnsi="Arial" w:cs="Times New Roman"/>
        </w:rPr>
        <w:t>te ;</w:t>
      </w:r>
    </w:p>
    <w:p w:rsidR="001936E9" w:rsidRPr="001936E9" w:rsidRDefault="001936E9" w:rsidP="001936E9">
      <w:pPr>
        <w:numPr>
          <w:ilvl w:val="0"/>
          <w:numId w:val="52"/>
        </w:numPr>
        <w:spacing w:after="160" w:line="259" w:lineRule="auto"/>
        <w:jc w:val="both"/>
        <w:rPr>
          <w:rFonts w:ascii="Arial" w:eastAsia="Cambria" w:hAnsi="Arial" w:cs="Times New Roman"/>
        </w:rPr>
      </w:pPr>
      <w:r w:rsidRPr="001936E9">
        <w:rPr>
          <w:rFonts w:ascii="Arial" w:eastAsia="Cambria" w:hAnsi="Arial" w:cs="Times New Roman"/>
        </w:rPr>
        <w:t>la quotité de travail de l’agent ;</w:t>
      </w:r>
    </w:p>
    <w:p w:rsidR="001936E9" w:rsidRPr="001936E9" w:rsidRDefault="001936E9" w:rsidP="001936E9">
      <w:pPr>
        <w:numPr>
          <w:ilvl w:val="0"/>
          <w:numId w:val="52"/>
        </w:numPr>
        <w:spacing w:after="160" w:line="259" w:lineRule="auto"/>
        <w:jc w:val="both"/>
        <w:rPr>
          <w:rFonts w:ascii="Arial" w:eastAsia="Cambria" w:hAnsi="Arial" w:cs="Times New Roman"/>
        </w:rPr>
      </w:pPr>
      <w:r w:rsidRPr="001936E9">
        <w:rPr>
          <w:rFonts w:ascii="Arial" w:eastAsia="Cambria" w:hAnsi="Arial" w:cs="Times New Roman"/>
        </w:rPr>
        <w:t>les familles de métiers (25 familles de métier du Répertoire des métiers du Ministère de la Culture) ;</w:t>
      </w:r>
    </w:p>
    <w:p w:rsidR="001936E9" w:rsidRPr="001936E9" w:rsidRDefault="001936E9" w:rsidP="001936E9">
      <w:pPr>
        <w:numPr>
          <w:ilvl w:val="0"/>
          <w:numId w:val="52"/>
        </w:numPr>
        <w:spacing w:after="160" w:line="259" w:lineRule="auto"/>
        <w:jc w:val="both"/>
        <w:rPr>
          <w:rFonts w:ascii="Arial" w:eastAsia="Cambria" w:hAnsi="Arial" w:cs="Times New Roman"/>
        </w:rPr>
      </w:pPr>
      <w:r w:rsidRPr="001936E9">
        <w:rPr>
          <w:rFonts w:ascii="Arial" w:eastAsia="Cambria" w:hAnsi="Arial" w:cs="Times New Roman"/>
        </w:rPr>
        <w:t xml:space="preserve">les catégories d’emplois (A, B ou C). </w:t>
      </w:r>
      <w:r w:rsidRPr="001936E9">
        <w:rPr>
          <w:rFonts w:ascii="Arial" w:eastAsia="Cambria" w:hAnsi="Arial" w:cs="Times New Roman"/>
          <w:iCs/>
        </w:rPr>
        <w:t xml:space="preserve">Pour les agents non titulaires des EPIC, les catégories des agents ont été appréciées selon les critères suivants : </w:t>
      </w:r>
    </w:p>
    <w:p w:rsidR="001936E9" w:rsidRPr="001936E9" w:rsidRDefault="001936E9" w:rsidP="001936E9">
      <w:pPr>
        <w:numPr>
          <w:ilvl w:val="2"/>
          <w:numId w:val="53"/>
        </w:numPr>
        <w:spacing w:after="160" w:line="259" w:lineRule="auto"/>
        <w:jc w:val="both"/>
        <w:rPr>
          <w:rFonts w:ascii="Arial" w:eastAsia="Cambria" w:hAnsi="Arial" w:cs="Times New Roman"/>
        </w:rPr>
      </w:pPr>
      <w:r w:rsidRPr="001936E9">
        <w:rPr>
          <w:rFonts w:ascii="Arial" w:eastAsia="Cambria" w:hAnsi="Arial" w:cs="Times New Roman"/>
          <w:iCs/>
        </w:rPr>
        <w:t xml:space="preserve">Catégorie A : cadres assurant des fonctions d’expertise, de conception, et d’encadrement. </w:t>
      </w:r>
    </w:p>
    <w:p w:rsidR="001936E9" w:rsidRPr="001936E9" w:rsidRDefault="001936E9" w:rsidP="001936E9">
      <w:pPr>
        <w:numPr>
          <w:ilvl w:val="2"/>
          <w:numId w:val="53"/>
        </w:numPr>
        <w:spacing w:after="160" w:line="259" w:lineRule="auto"/>
        <w:jc w:val="both"/>
        <w:rPr>
          <w:rFonts w:ascii="Arial" w:eastAsia="Cambria" w:hAnsi="Arial" w:cs="Times New Roman"/>
        </w:rPr>
      </w:pPr>
      <w:r w:rsidRPr="001936E9">
        <w:rPr>
          <w:rFonts w:ascii="Arial" w:eastAsia="Cambria" w:hAnsi="Arial" w:cs="Times New Roman"/>
          <w:iCs/>
        </w:rPr>
        <w:t xml:space="preserve">Catégorie B : agents de maîtrise assurant des fonctions d’application. </w:t>
      </w:r>
    </w:p>
    <w:p w:rsidR="001936E9" w:rsidRPr="001936E9" w:rsidRDefault="001936E9" w:rsidP="001936E9">
      <w:pPr>
        <w:numPr>
          <w:ilvl w:val="2"/>
          <w:numId w:val="53"/>
        </w:numPr>
        <w:spacing w:after="160" w:line="259" w:lineRule="auto"/>
        <w:jc w:val="both"/>
        <w:rPr>
          <w:rFonts w:ascii="Arial" w:eastAsia="Cambria" w:hAnsi="Arial" w:cs="Times New Roman"/>
        </w:rPr>
      </w:pPr>
      <w:r w:rsidRPr="001936E9">
        <w:rPr>
          <w:rFonts w:ascii="Arial" w:eastAsia="Cambria" w:hAnsi="Arial" w:cs="Times New Roman"/>
          <w:iCs/>
        </w:rPr>
        <w:t xml:space="preserve">Catégorie C : employés assurant des fonctions d’exécution. </w:t>
      </w:r>
    </w:p>
    <w:p w:rsidR="001936E9" w:rsidRPr="00CC15B8" w:rsidRDefault="001936E9" w:rsidP="001936E9">
      <w:pPr>
        <w:numPr>
          <w:ilvl w:val="2"/>
          <w:numId w:val="53"/>
        </w:numPr>
        <w:spacing w:after="160" w:line="259" w:lineRule="auto"/>
        <w:jc w:val="both"/>
        <w:rPr>
          <w:rFonts w:ascii="Arial" w:eastAsia="Cambria" w:hAnsi="Arial" w:cs="Times New Roman"/>
        </w:rPr>
      </w:pPr>
      <w:r w:rsidRPr="001936E9">
        <w:rPr>
          <w:rFonts w:ascii="Arial" w:eastAsia="Cambria" w:hAnsi="Arial" w:cs="Times New Roman"/>
          <w:iCs/>
        </w:rPr>
        <w:t>Les artistes de l’Opéra national de Paris et de la Comédie Française (comédiens, musiciens, danseurs,…) ont été classés par convention en catégorie statutaire A.</w:t>
      </w:r>
    </w:p>
    <w:p w:rsidR="00CC15B8" w:rsidRPr="001936E9" w:rsidRDefault="00CC15B8" w:rsidP="00CC15B8">
      <w:pPr>
        <w:spacing w:after="160" w:line="259" w:lineRule="auto"/>
        <w:jc w:val="both"/>
        <w:rPr>
          <w:rFonts w:ascii="Arial" w:eastAsia="Cambria" w:hAnsi="Arial" w:cs="Times New Roman"/>
        </w:rPr>
      </w:pPr>
      <w:r>
        <w:rPr>
          <w:rFonts w:ascii="Arial" w:eastAsia="Cambria" w:hAnsi="Arial" w:cs="Times New Roman"/>
          <w:iCs/>
        </w:rPr>
        <w:t>L’ensemble des données concernant les rémunérations des agents n’</w:t>
      </w:r>
      <w:r w:rsidR="00484280">
        <w:rPr>
          <w:rFonts w:ascii="Arial" w:eastAsia="Cambria" w:hAnsi="Arial" w:cs="Times New Roman"/>
          <w:iCs/>
        </w:rPr>
        <w:t>a</w:t>
      </w:r>
      <w:r>
        <w:rPr>
          <w:rFonts w:ascii="Arial" w:eastAsia="Cambria" w:hAnsi="Arial" w:cs="Times New Roman"/>
          <w:iCs/>
        </w:rPr>
        <w:t xml:space="preserve"> </w:t>
      </w:r>
      <w:r w:rsidR="00484280">
        <w:rPr>
          <w:rFonts w:ascii="Arial" w:eastAsia="Cambria" w:hAnsi="Arial" w:cs="Times New Roman"/>
          <w:iCs/>
        </w:rPr>
        <w:t xml:space="preserve">pas </w:t>
      </w:r>
      <w:r>
        <w:rPr>
          <w:rFonts w:ascii="Arial" w:eastAsia="Cambria" w:hAnsi="Arial" w:cs="Times New Roman"/>
          <w:iCs/>
        </w:rPr>
        <w:t xml:space="preserve">pu </w:t>
      </w:r>
      <w:r w:rsidR="00484280">
        <w:rPr>
          <w:rFonts w:ascii="Arial" w:eastAsia="Cambria" w:hAnsi="Arial" w:cs="Times New Roman"/>
          <w:iCs/>
        </w:rPr>
        <w:t xml:space="preserve">être exploité en raison du manque d’homogénéité des réponses. </w:t>
      </w:r>
    </w:p>
    <w:p w:rsidR="001936E9" w:rsidRPr="001936E9" w:rsidRDefault="001936E9" w:rsidP="001936E9">
      <w:pPr>
        <w:spacing w:after="160"/>
        <w:jc w:val="both"/>
        <w:rPr>
          <w:rFonts w:ascii="Arial" w:eastAsia="Cambria" w:hAnsi="Arial" w:cs="Times New Roman"/>
        </w:rPr>
      </w:pP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 xml:space="preserve">La deuxième partie de l'enquête porte sur </w:t>
      </w:r>
      <w:r w:rsidRPr="001936E9">
        <w:rPr>
          <w:rFonts w:ascii="Arial" w:eastAsia="Cambria" w:hAnsi="Arial" w:cs="Times New Roman"/>
          <w:b/>
          <w:bCs/>
        </w:rPr>
        <w:t>les intermittents</w:t>
      </w:r>
      <w:r w:rsidRPr="001936E9">
        <w:rPr>
          <w:rFonts w:ascii="Arial" w:eastAsia="Cambria" w:hAnsi="Arial" w:cs="Times New Roman"/>
        </w:rPr>
        <w:t xml:space="preserve">, </w:t>
      </w:r>
      <w:r w:rsidRPr="001936E9">
        <w:rPr>
          <w:rFonts w:ascii="Arial" w:eastAsia="Cambria" w:hAnsi="Arial" w:cs="Times New Roman"/>
          <w:b/>
          <w:bCs/>
        </w:rPr>
        <w:t>les contrats aidés</w:t>
      </w:r>
      <w:r w:rsidRPr="001936E9">
        <w:rPr>
          <w:rFonts w:ascii="Arial" w:eastAsia="Cambria" w:hAnsi="Arial" w:cs="Times New Roman"/>
        </w:rPr>
        <w:t xml:space="preserve"> (emplois d'avenir, les apprentis et les emplois temporaires financés par une convention qui prévoit explicitement leur financement) et </w:t>
      </w:r>
      <w:r w:rsidRPr="001936E9">
        <w:rPr>
          <w:rFonts w:ascii="Arial" w:eastAsia="Cambria" w:hAnsi="Arial" w:cs="Times New Roman"/>
          <w:b/>
          <w:bCs/>
        </w:rPr>
        <w:t>les agents payés à la tâche</w:t>
      </w:r>
      <w:r w:rsidRPr="001936E9">
        <w:rPr>
          <w:rFonts w:ascii="Arial" w:eastAsia="Cambria" w:hAnsi="Arial" w:cs="Times New Roman"/>
        </w:rPr>
        <w:t xml:space="preserve">.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 xml:space="preserve">Pour ces 3 types de statuts, la consommation en ETPT sur l'année 2013, en distinguant les hommes et les femmes, a été renseignée. </w:t>
      </w:r>
    </w:p>
    <w:p w:rsidR="001936E9" w:rsidRPr="001936E9" w:rsidRDefault="001936E9" w:rsidP="001936E9">
      <w:pPr>
        <w:spacing w:after="160"/>
        <w:jc w:val="both"/>
        <w:rPr>
          <w:rFonts w:ascii="Arial" w:eastAsia="Cambria" w:hAnsi="Arial" w:cs="Times New Roman"/>
        </w:rPr>
      </w:pP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 xml:space="preserve">La notice méthodologique de l’enquête est présente en annexe du bilan social. </w:t>
      </w:r>
    </w:p>
    <w:p w:rsidR="001936E9" w:rsidRPr="001936E9" w:rsidRDefault="001936E9" w:rsidP="001936E9">
      <w:pPr>
        <w:spacing w:after="160"/>
        <w:jc w:val="both"/>
        <w:rPr>
          <w:rFonts w:ascii="Arial" w:eastAsia="Cambria" w:hAnsi="Arial" w:cs="Times New Roman"/>
        </w:rPr>
      </w:pPr>
    </w:p>
    <w:p w:rsidR="001936E9" w:rsidRPr="001936E9" w:rsidRDefault="001936E9" w:rsidP="001936E9">
      <w:pPr>
        <w:spacing w:after="160"/>
        <w:jc w:val="both"/>
        <w:rPr>
          <w:rFonts w:ascii="Arial" w:eastAsia="Cambria" w:hAnsi="Arial" w:cs="Times New Roman"/>
          <w:b/>
          <w:bCs/>
          <w:u w:val="single"/>
        </w:rPr>
      </w:pP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b/>
          <w:bCs/>
          <w:u w:val="single"/>
        </w:rPr>
        <w:lastRenderedPageBreak/>
        <w:t>Liste des Etablissements Publics qui ont répondu à l’enquête et dont les données o</w:t>
      </w:r>
      <w:r w:rsidR="009A2778">
        <w:rPr>
          <w:rFonts w:ascii="Arial" w:eastAsia="Cambria" w:hAnsi="Arial" w:cs="Times New Roman"/>
          <w:b/>
          <w:bCs/>
          <w:u w:val="single"/>
        </w:rPr>
        <w:t>nt été exploitées: 6</w:t>
      </w:r>
      <w:r w:rsidR="00EB6632">
        <w:rPr>
          <w:rFonts w:ascii="Arial" w:eastAsia="Cambria" w:hAnsi="Arial" w:cs="Times New Roman"/>
          <w:b/>
          <w:bCs/>
          <w:u w:val="single"/>
        </w:rPr>
        <w:t>4</w:t>
      </w:r>
      <w:r w:rsidR="000C3482">
        <w:rPr>
          <w:rFonts w:ascii="Arial" w:eastAsia="Cambria" w:hAnsi="Arial" w:cs="Times New Roman"/>
          <w:b/>
          <w:bCs/>
          <w:u w:val="single"/>
        </w:rPr>
        <w:t xml:space="preserve"> EP soit 87</w:t>
      </w:r>
      <w:r w:rsidRPr="001936E9">
        <w:rPr>
          <w:rFonts w:ascii="Arial" w:eastAsia="Cambria" w:hAnsi="Arial" w:cs="Times New Roman"/>
          <w:b/>
          <w:bCs/>
          <w:u w:val="single"/>
        </w:rPr>
        <w:t>% des effectifs des EP T2 et T3:</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b/>
          <w:bCs/>
        </w:rPr>
        <w:t>Etablissements publics à caractère administratif :</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Académie de France à Rome (AFR)</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Bibliothèque nationale de France (BnF)</w:t>
      </w:r>
    </w:p>
    <w:p w:rsidR="008235A7" w:rsidRDefault="008235A7" w:rsidP="001936E9">
      <w:pPr>
        <w:spacing w:after="160"/>
        <w:jc w:val="both"/>
        <w:rPr>
          <w:rFonts w:ascii="Arial" w:eastAsia="Cambria" w:hAnsi="Arial" w:cs="Times New Roman"/>
        </w:rPr>
      </w:pPr>
      <w:r w:rsidRPr="001936E9">
        <w:rPr>
          <w:rFonts w:ascii="Arial" w:eastAsia="Cambria" w:hAnsi="Arial" w:cs="Times New Roman"/>
        </w:rPr>
        <w:t>Bibliothèque publique d'information (Bpi)</w:t>
      </w:r>
    </w:p>
    <w:p w:rsidR="008235A7" w:rsidRPr="001936E9" w:rsidRDefault="008235A7" w:rsidP="00E81EF6">
      <w:pPr>
        <w:spacing w:after="160"/>
        <w:jc w:val="both"/>
        <w:rPr>
          <w:rFonts w:ascii="Arial" w:eastAsia="Cambria" w:hAnsi="Arial" w:cs="Times New Roman"/>
        </w:rPr>
      </w:pPr>
      <w:r w:rsidRPr="001936E9">
        <w:rPr>
          <w:rFonts w:ascii="Arial" w:eastAsia="Cambria" w:hAnsi="Arial" w:cs="Times New Roman"/>
        </w:rPr>
        <w:t>Centre des monuments nationaux (CMN)</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Centre national d'art et de culture Georges Pompidou (CNAC-GP)</w:t>
      </w:r>
    </w:p>
    <w:p w:rsidR="008235A7" w:rsidRDefault="008235A7" w:rsidP="001936E9">
      <w:pPr>
        <w:spacing w:after="160"/>
        <w:jc w:val="both"/>
        <w:rPr>
          <w:rFonts w:ascii="Arial" w:eastAsia="Cambria" w:hAnsi="Arial" w:cs="Times New Roman"/>
        </w:rPr>
      </w:pPr>
      <w:r w:rsidRPr="001936E9">
        <w:rPr>
          <w:rFonts w:ascii="Arial" w:eastAsia="Cambria" w:hAnsi="Arial" w:cs="Times New Roman"/>
        </w:rPr>
        <w:t>Centre national des arts plastiques (CNAP)</w:t>
      </w:r>
    </w:p>
    <w:p w:rsidR="001C4896" w:rsidRPr="001936E9" w:rsidRDefault="00EB6632" w:rsidP="001C4896">
      <w:pPr>
        <w:spacing w:after="160"/>
        <w:jc w:val="both"/>
        <w:rPr>
          <w:rFonts w:ascii="Arial" w:eastAsia="Cambria" w:hAnsi="Arial" w:cs="Times New Roman"/>
        </w:rPr>
      </w:pPr>
      <w:r w:rsidRPr="00EB6632">
        <w:rPr>
          <w:rFonts w:ascii="Arial" w:eastAsia="Cambria" w:hAnsi="Arial" w:cs="Times New Roman"/>
        </w:rPr>
        <w:t xml:space="preserve">Centre National de la Chanson, des Variétés et du Jazz </w:t>
      </w:r>
      <w:r w:rsidR="001C4896" w:rsidRPr="001936E9">
        <w:rPr>
          <w:rFonts w:ascii="Arial" w:eastAsia="Cambria" w:hAnsi="Arial" w:cs="Times New Roman"/>
        </w:rPr>
        <w:t>(CNV)</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Centre national du cinéma</w:t>
      </w:r>
    </w:p>
    <w:p w:rsidR="008235A7" w:rsidRDefault="008235A7" w:rsidP="001936E9">
      <w:pPr>
        <w:spacing w:after="160"/>
        <w:jc w:val="both"/>
        <w:rPr>
          <w:rFonts w:ascii="Arial" w:eastAsia="Cambria" w:hAnsi="Arial" w:cs="Times New Roman"/>
        </w:rPr>
      </w:pPr>
      <w:r w:rsidRPr="001936E9">
        <w:rPr>
          <w:rFonts w:ascii="Arial" w:eastAsia="Cambria" w:hAnsi="Arial" w:cs="Times New Roman"/>
        </w:rPr>
        <w:t>Centre national du livre (CNL)</w:t>
      </w:r>
    </w:p>
    <w:p w:rsidR="008235A7" w:rsidRPr="001936E9" w:rsidRDefault="008235A7" w:rsidP="0078088A">
      <w:pPr>
        <w:spacing w:after="160"/>
        <w:jc w:val="both"/>
        <w:rPr>
          <w:rFonts w:ascii="Arial" w:eastAsia="Cambria" w:hAnsi="Arial" w:cs="Times New Roman"/>
        </w:rPr>
      </w:pPr>
      <w:r w:rsidRPr="001936E9">
        <w:rPr>
          <w:rFonts w:ascii="Arial" w:eastAsia="Cambria" w:hAnsi="Arial" w:cs="Times New Roman"/>
        </w:rPr>
        <w:t>Château de Fontainebleau</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Conservatoire national supérieur d'art dramatique (CNSAD)</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Conservatoire national supérieur de musique et de danse de Paris (CNSMDP)</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du Louvre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de la photographie d'Arles</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Paris La Villette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Bretagne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Clermont-Ferrand</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Grenoble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Lyon</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Marne-La Vallée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Marseille-Luminy</w:t>
      </w:r>
    </w:p>
    <w:p w:rsidR="008235A7" w:rsidRPr="001936E9" w:rsidRDefault="008235A7" w:rsidP="009A2778">
      <w:pPr>
        <w:spacing w:after="160"/>
        <w:jc w:val="both"/>
        <w:rPr>
          <w:rFonts w:ascii="Arial" w:eastAsia="Cambria" w:hAnsi="Arial" w:cs="Times New Roman"/>
        </w:rPr>
      </w:pPr>
      <w:r w:rsidRPr="001936E9">
        <w:rPr>
          <w:rFonts w:ascii="Arial" w:eastAsia="Cambria" w:hAnsi="Arial" w:cs="Times New Roman"/>
        </w:rPr>
        <w:t>Ecole nationale supérieure d'architecture de Montpellier - Languedoc-Roussillon</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Nancy</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Nantes</w:t>
      </w:r>
    </w:p>
    <w:p w:rsidR="008235A7"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Normandie</w:t>
      </w:r>
    </w:p>
    <w:p w:rsidR="008235A7"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Paris-Belleville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Paris-Malaquais</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Paris-Val de Seine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de Strasbourg</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lastRenderedPageBreak/>
        <w:t>Ecole nationale supérieure d'architecture de Versailles</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et de paysage de Bordeaux</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d'architecture et de paysage de Lille</w:t>
      </w:r>
    </w:p>
    <w:p w:rsidR="008235A7" w:rsidRPr="001936E9" w:rsidRDefault="008235A7" w:rsidP="008235A7">
      <w:pPr>
        <w:spacing w:after="160"/>
        <w:jc w:val="both"/>
        <w:rPr>
          <w:rFonts w:ascii="Arial" w:eastAsia="Cambria" w:hAnsi="Arial" w:cs="Times New Roman"/>
        </w:rPr>
      </w:pPr>
      <w:r w:rsidRPr="001936E9">
        <w:rPr>
          <w:rFonts w:ascii="Arial" w:eastAsia="Cambria" w:hAnsi="Arial" w:cs="Times New Roman"/>
        </w:rPr>
        <w:t>Ecole nationale supérieure d'art de Bourges</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d'art de Cergy-Pontoise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d'art de Dijon</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d'art de Limoges/Aubusson</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d'art de Nancy</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d'art de Nice / Villa arson</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des arts décoratifs (ENSAD)</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Ecole nationale supérieure des beaux-arts (ENSBA)</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Etablissement public du musée des arts asiatiques Guimet</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Etablissement public du musée d'Orsay et du musée de l'Orangerie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Etablissement public du Musée du Louvre</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Etablissement public du musée du Quai Branly</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Etablissement public du musée national Picasso - Paris</w:t>
      </w:r>
    </w:p>
    <w:p w:rsidR="008235A7" w:rsidRDefault="008235A7" w:rsidP="001936E9">
      <w:pPr>
        <w:spacing w:after="160"/>
        <w:jc w:val="both"/>
        <w:rPr>
          <w:rFonts w:ascii="Arial" w:eastAsia="Cambria" w:hAnsi="Arial" w:cs="Times New Roman"/>
        </w:rPr>
      </w:pPr>
      <w:r w:rsidRPr="00673080">
        <w:rPr>
          <w:rFonts w:ascii="Arial" w:eastAsia="Cambria" w:hAnsi="Arial" w:cs="Times New Roman"/>
        </w:rPr>
        <w:t xml:space="preserve">Etablissement Public du Palais de la Porte Dorée - Musée de l'histoire de l'immigration - Aquarium Tropical </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Institut national de recherches archéologiques préventives (INRAP)</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Institut national du Patrimoine (INP)</w:t>
      </w:r>
    </w:p>
    <w:p w:rsidR="008235A7" w:rsidRPr="001936E9" w:rsidRDefault="008235A7" w:rsidP="001936E9">
      <w:pPr>
        <w:spacing w:after="160"/>
        <w:jc w:val="both"/>
        <w:rPr>
          <w:rFonts w:ascii="Arial" w:eastAsia="Cambria" w:hAnsi="Arial" w:cs="Times New Roman"/>
        </w:rPr>
      </w:pPr>
      <w:r>
        <w:rPr>
          <w:rFonts w:ascii="Arial" w:eastAsia="Cambria" w:hAnsi="Arial" w:cs="Times New Roman"/>
        </w:rPr>
        <w:t>Mu</w:t>
      </w:r>
      <w:r w:rsidRPr="001936E9">
        <w:rPr>
          <w:rFonts w:ascii="Arial" w:eastAsia="Cambria" w:hAnsi="Arial" w:cs="Times New Roman"/>
        </w:rPr>
        <w:t>CEM</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Musée et domaine national de Versailles</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Musée Henner</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Musée Moreau</w:t>
      </w:r>
    </w:p>
    <w:p w:rsidR="008235A7" w:rsidRPr="001936E9" w:rsidRDefault="008235A7" w:rsidP="001936E9">
      <w:pPr>
        <w:spacing w:after="160"/>
        <w:jc w:val="both"/>
        <w:rPr>
          <w:rFonts w:ascii="Arial" w:eastAsia="Cambria" w:hAnsi="Arial" w:cs="Times New Roman"/>
        </w:rPr>
      </w:pPr>
      <w:r w:rsidRPr="001936E9">
        <w:rPr>
          <w:rFonts w:ascii="Arial" w:eastAsia="Cambria" w:hAnsi="Arial" w:cs="Times New Roman"/>
        </w:rPr>
        <w:t>Musée Rodin</w:t>
      </w:r>
    </w:p>
    <w:p w:rsidR="008235A7" w:rsidRDefault="008235A7" w:rsidP="008235A7">
      <w:pPr>
        <w:spacing w:after="160"/>
        <w:jc w:val="both"/>
        <w:rPr>
          <w:rFonts w:ascii="Arial" w:eastAsia="Cambria" w:hAnsi="Arial" w:cs="Times New Roman"/>
          <w:b/>
          <w:bCs/>
        </w:rPr>
      </w:pPr>
      <w:r w:rsidRPr="001936E9">
        <w:rPr>
          <w:rFonts w:ascii="Arial" w:eastAsia="Cambria" w:hAnsi="Arial" w:cs="Times New Roman"/>
        </w:rPr>
        <w:t>Sèvres - Cité de la céramique</w:t>
      </w:r>
    </w:p>
    <w:p w:rsidR="000C3482" w:rsidRDefault="000C3482">
      <w:pPr>
        <w:spacing w:after="160" w:line="259" w:lineRule="auto"/>
        <w:rPr>
          <w:rFonts w:ascii="Arial" w:eastAsia="Cambria" w:hAnsi="Arial" w:cs="Times New Roman"/>
          <w:b/>
          <w:bCs/>
        </w:rPr>
      </w:pPr>
      <w:r>
        <w:rPr>
          <w:rFonts w:ascii="Arial" w:eastAsia="Cambria" w:hAnsi="Arial" w:cs="Times New Roman"/>
          <w:b/>
          <w:bCs/>
        </w:rPr>
        <w:br w:type="page"/>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b/>
          <w:bCs/>
        </w:rPr>
        <w:lastRenderedPageBreak/>
        <w:t>Etablissements publics à caractère industriel et commercial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Comédie-Française</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Domaine national de Chambord</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Etablissement public de la Réunion des musées nationaux et du Grand Palais des Champs-Élysées</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Etablissement public du parc et de la grande halle de la Villette (EPPGHV)</w:t>
      </w:r>
    </w:p>
    <w:p w:rsidR="001936E9" w:rsidRPr="001936E9" w:rsidRDefault="007E62BF" w:rsidP="001936E9">
      <w:pPr>
        <w:spacing w:after="160"/>
        <w:jc w:val="both"/>
        <w:rPr>
          <w:rFonts w:ascii="Arial" w:eastAsia="Cambria" w:hAnsi="Arial" w:cs="Times New Roman"/>
        </w:rPr>
      </w:pPr>
      <w:r>
        <w:rPr>
          <w:rFonts w:ascii="Arial" w:eastAsia="Cambria" w:hAnsi="Arial" w:cs="Times New Roman"/>
        </w:rPr>
        <w:t>La Fé</w:t>
      </w:r>
      <w:r w:rsidR="001936E9" w:rsidRPr="001936E9">
        <w:rPr>
          <w:rFonts w:ascii="Arial" w:eastAsia="Cambria" w:hAnsi="Arial" w:cs="Times New Roman"/>
        </w:rPr>
        <w:t>mis</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 xml:space="preserve">Opéra national de Paris </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Théâtre national de la Colline</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Théâtre national de l'Odéon</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Théâtre national de Strasbourg</w:t>
      </w:r>
    </w:p>
    <w:p w:rsidR="001936E9" w:rsidRDefault="001936E9" w:rsidP="001936E9">
      <w:pPr>
        <w:spacing w:after="160"/>
        <w:jc w:val="both"/>
        <w:rPr>
          <w:rFonts w:ascii="Arial" w:eastAsia="Cambria" w:hAnsi="Arial" w:cs="Times New Roman"/>
        </w:rPr>
      </w:pPr>
      <w:r w:rsidRPr="001936E9">
        <w:rPr>
          <w:rFonts w:ascii="Arial" w:eastAsia="Cambria" w:hAnsi="Arial" w:cs="Times New Roman"/>
        </w:rPr>
        <w:t>Universcience</w:t>
      </w:r>
    </w:p>
    <w:p w:rsidR="00A710F1" w:rsidRPr="001936E9" w:rsidRDefault="00A710F1" w:rsidP="001936E9">
      <w:pPr>
        <w:spacing w:after="160"/>
        <w:jc w:val="both"/>
        <w:rPr>
          <w:rFonts w:ascii="Arial" w:eastAsia="Cambria" w:hAnsi="Arial" w:cs="Times New Roman"/>
        </w:rPr>
      </w:pP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b/>
          <w:bCs/>
          <w:u w:val="single"/>
        </w:rPr>
        <w:t xml:space="preserve">Liste des Etablissements Publics qui ont répondu à l’enquête et dont les données n’ont pas </w:t>
      </w:r>
      <w:r w:rsidR="000F7399">
        <w:rPr>
          <w:rFonts w:ascii="Arial" w:eastAsia="Cambria" w:hAnsi="Arial" w:cs="Times New Roman"/>
          <w:b/>
          <w:bCs/>
          <w:u w:val="single"/>
        </w:rPr>
        <w:t xml:space="preserve">pu être </w:t>
      </w:r>
      <w:r w:rsidRPr="001936E9">
        <w:rPr>
          <w:rFonts w:ascii="Arial" w:eastAsia="Cambria" w:hAnsi="Arial" w:cs="Times New Roman"/>
          <w:b/>
          <w:bCs/>
          <w:u w:val="single"/>
        </w:rPr>
        <w:t>exploitées</w:t>
      </w:r>
      <w:r w:rsidR="000F7399">
        <w:rPr>
          <w:rFonts w:ascii="Arial" w:eastAsia="Cambria" w:hAnsi="Arial" w:cs="Times New Roman"/>
          <w:b/>
          <w:bCs/>
          <w:u w:val="single"/>
        </w:rPr>
        <w:t xml:space="preserve"> en raison de leur caractère incomplet</w:t>
      </w:r>
      <w:r w:rsidRPr="001936E9">
        <w:rPr>
          <w:rFonts w:ascii="Arial" w:eastAsia="Cambria" w:hAnsi="Arial" w:cs="Times New Roman"/>
          <w:b/>
          <w:bCs/>
          <w:u w:val="single"/>
        </w:rPr>
        <w:t xml:space="preserve"> </w:t>
      </w:r>
      <w:r w:rsidR="000F7399">
        <w:rPr>
          <w:rFonts w:ascii="Arial" w:eastAsia="Cambria" w:hAnsi="Arial" w:cs="Times New Roman"/>
          <w:b/>
          <w:bCs/>
          <w:u w:val="single"/>
        </w:rPr>
        <w:br/>
      </w:r>
      <w:r w:rsidR="00F70873">
        <w:rPr>
          <w:rFonts w:ascii="Arial" w:eastAsia="Cambria" w:hAnsi="Arial" w:cs="Times New Roman"/>
          <w:b/>
          <w:bCs/>
          <w:u w:val="single"/>
        </w:rPr>
        <w:t>(</w:t>
      </w:r>
      <w:r w:rsidR="006D73DE">
        <w:rPr>
          <w:rFonts w:ascii="Arial" w:eastAsia="Cambria" w:hAnsi="Arial" w:cs="Times New Roman"/>
          <w:b/>
          <w:bCs/>
          <w:u w:val="single"/>
        </w:rPr>
        <w:t>7</w:t>
      </w:r>
      <w:r w:rsidR="000C3482">
        <w:rPr>
          <w:rFonts w:ascii="Arial" w:eastAsia="Cambria" w:hAnsi="Arial" w:cs="Times New Roman"/>
          <w:b/>
          <w:bCs/>
          <w:u w:val="single"/>
        </w:rPr>
        <w:t xml:space="preserve"> établissements soit 4</w:t>
      </w:r>
      <w:r w:rsidRPr="001936E9">
        <w:rPr>
          <w:rFonts w:ascii="Arial" w:eastAsia="Cambria" w:hAnsi="Arial" w:cs="Times New Roman"/>
          <w:b/>
          <w:bCs/>
          <w:u w:val="single"/>
        </w:rPr>
        <w:t>% des effectifs des EP T2 et T3):</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Cité de la musique / salle Pleyel</w:t>
      </w:r>
    </w:p>
    <w:p w:rsidR="001936E9" w:rsidRDefault="001936E9" w:rsidP="001936E9">
      <w:pPr>
        <w:spacing w:after="160"/>
        <w:jc w:val="both"/>
        <w:rPr>
          <w:rFonts w:ascii="Arial" w:eastAsia="Cambria" w:hAnsi="Arial" w:cs="Times New Roman"/>
        </w:rPr>
      </w:pPr>
      <w:r w:rsidRPr="001936E9">
        <w:rPr>
          <w:rFonts w:ascii="Arial" w:eastAsia="Cambria" w:hAnsi="Arial" w:cs="Times New Roman"/>
        </w:rPr>
        <w:t>Conservatoire national supérieur de musique et de danse de Lyon</w:t>
      </w:r>
    </w:p>
    <w:p w:rsidR="008235A7" w:rsidRDefault="008235A7" w:rsidP="008235A7">
      <w:pPr>
        <w:spacing w:after="160"/>
        <w:jc w:val="both"/>
        <w:rPr>
          <w:rFonts w:ascii="Arial" w:eastAsia="Cambria" w:hAnsi="Arial" w:cs="Times New Roman"/>
        </w:rPr>
      </w:pPr>
      <w:r w:rsidRPr="001936E9">
        <w:rPr>
          <w:rFonts w:ascii="Arial" w:eastAsia="Cambria" w:hAnsi="Arial" w:cs="Times New Roman"/>
        </w:rPr>
        <w:t>Ecole nationale supérieure d'architecture de Saint-Etienne</w:t>
      </w:r>
    </w:p>
    <w:p w:rsidR="006D73DE" w:rsidRPr="001936E9" w:rsidRDefault="006D73DE" w:rsidP="006D73DE">
      <w:pPr>
        <w:spacing w:after="160"/>
        <w:jc w:val="both"/>
        <w:rPr>
          <w:rFonts w:ascii="Arial" w:eastAsia="Cambria" w:hAnsi="Arial" w:cs="Times New Roman"/>
        </w:rPr>
      </w:pPr>
      <w:r w:rsidRPr="001936E9">
        <w:rPr>
          <w:rFonts w:ascii="Arial" w:eastAsia="Cambria" w:hAnsi="Arial" w:cs="Times New Roman"/>
        </w:rPr>
        <w:t>Ecole nationale supérieure d'architecture de Toulouse</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Opéra-Comique</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OPPIC</w:t>
      </w:r>
    </w:p>
    <w:p w:rsidR="001936E9" w:rsidRDefault="001936E9" w:rsidP="001936E9">
      <w:pPr>
        <w:spacing w:after="160"/>
        <w:jc w:val="both"/>
        <w:rPr>
          <w:rFonts w:ascii="Arial" w:eastAsia="Cambria" w:hAnsi="Arial" w:cs="Times New Roman"/>
        </w:rPr>
      </w:pPr>
      <w:r w:rsidRPr="001936E9">
        <w:rPr>
          <w:rFonts w:ascii="Arial" w:eastAsia="Cambria" w:hAnsi="Arial" w:cs="Times New Roman"/>
        </w:rPr>
        <w:t>Théâtre national de Chaillot</w:t>
      </w:r>
    </w:p>
    <w:p w:rsidR="001936E9" w:rsidRPr="001936E9" w:rsidRDefault="001936E9" w:rsidP="001936E9">
      <w:pPr>
        <w:spacing w:after="160"/>
        <w:jc w:val="both"/>
        <w:rPr>
          <w:rFonts w:ascii="Arial" w:eastAsia="Cambria" w:hAnsi="Arial" w:cs="Times New Roman"/>
        </w:rPr>
      </w:pP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b/>
          <w:bCs/>
          <w:u w:val="single"/>
        </w:rPr>
        <w:t>Etablissements qui n’ont pas répondu à l’enqu</w:t>
      </w:r>
      <w:r w:rsidR="0097435A">
        <w:rPr>
          <w:rFonts w:ascii="Arial" w:eastAsia="Cambria" w:hAnsi="Arial" w:cs="Times New Roman"/>
          <w:b/>
          <w:bCs/>
          <w:u w:val="single"/>
        </w:rPr>
        <w:t>ête </w:t>
      </w:r>
      <w:r w:rsidR="000C3482">
        <w:rPr>
          <w:rFonts w:ascii="Arial" w:eastAsia="Cambria" w:hAnsi="Arial" w:cs="Times New Roman"/>
          <w:b/>
          <w:bCs/>
          <w:u w:val="single"/>
        </w:rPr>
        <w:t xml:space="preserve">et données non disponibles </w:t>
      </w:r>
      <w:r w:rsidR="0097435A">
        <w:rPr>
          <w:rFonts w:ascii="Arial" w:eastAsia="Cambria" w:hAnsi="Arial" w:cs="Times New Roman"/>
          <w:b/>
          <w:bCs/>
          <w:u w:val="single"/>
        </w:rPr>
        <w:t>(</w:t>
      </w:r>
      <w:r w:rsidR="00EB6632">
        <w:rPr>
          <w:rFonts w:ascii="Arial" w:eastAsia="Cambria" w:hAnsi="Arial" w:cs="Times New Roman"/>
          <w:b/>
          <w:bCs/>
          <w:u w:val="single"/>
        </w:rPr>
        <w:t>4</w:t>
      </w:r>
      <w:r w:rsidR="00E52B5D">
        <w:rPr>
          <w:rFonts w:ascii="Arial" w:eastAsia="Cambria" w:hAnsi="Arial" w:cs="Times New Roman"/>
          <w:b/>
          <w:bCs/>
          <w:u w:val="single"/>
        </w:rPr>
        <w:t xml:space="preserve"> établissements soit</w:t>
      </w:r>
      <w:r w:rsidR="009B2206">
        <w:rPr>
          <w:rFonts w:ascii="Arial" w:eastAsia="Cambria" w:hAnsi="Arial" w:cs="Times New Roman"/>
          <w:b/>
          <w:bCs/>
          <w:u w:val="single"/>
        </w:rPr>
        <w:t xml:space="preserve"> </w:t>
      </w:r>
      <w:r w:rsidR="00545884">
        <w:rPr>
          <w:rFonts w:ascii="Arial" w:eastAsia="Cambria" w:hAnsi="Arial" w:cs="Times New Roman"/>
          <w:b/>
          <w:bCs/>
          <w:u w:val="single"/>
        </w:rPr>
        <w:t>9</w:t>
      </w:r>
      <w:r w:rsidRPr="001936E9">
        <w:rPr>
          <w:rFonts w:ascii="Arial" w:eastAsia="Cambria" w:hAnsi="Arial" w:cs="Times New Roman"/>
          <w:b/>
          <w:bCs/>
          <w:u w:val="single"/>
        </w:rPr>
        <w:t>% des effectifs des EP T2 et T3):</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Centre national de la danse (CND)</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Cité de l'architecture et du patrimoine (CAPA)</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Ecole nationale supérieure de la création industrielle (ENSCI)</w:t>
      </w:r>
    </w:p>
    <w:p w:rsidR="001936E9" w:rsidRPr="001936E9" w:rsidRDefault="001936E9" w:rsidP="001936E9">
      <w:pPr>
        <w:spacing w:after="160"/>
        <w:jc w:val="both"/>
        <w:rPr>
          <w:rFonts w:ascii="Arial" w:eastAsia="Cambria" w:hAnsi="Arial" w:cs="Times New Roman"/>
        </w:rPr>
      </w:pPr>
      <w:r w:rsidRPr="001936E9">
        <w:rPr>
          <w:rFonts w:ascii="Arial" w:eastAsia="Cambria" w:hAnsi="Arial" w:cs="Times New Roman"/>
        </w:rPr>
        <w:t>L’Institut national d'histoire de l'art (INHA) (aucun agent sur le titre 3 n’est rattaché au plafond Culture).</w:t>
      </w:r>
    </w:p>
    <w:p w:rsidR="001936E9" w:rsidRPr="001936E9" w:rsidRDefault="001936E9" w:rsidP="001936E9">
      <w:pPr>
        <w:spacing w:after="160" w:line="259" w:lineRule="auto"/>
        <w:jc w:val="both"/>
        <w:rPr>
          <w:rFonts w:ascii="Arial" w:eastAsia="Cambria" w:hAnsi="Arial" w:cs="Times New Roman"/>
        </w:rPr>
      </w:pPr>
    </w:p>
    <w:p w:rsidR="001936E9" w:rsidRPr="001936E9" w:rsidRDefault="001936E9" w:rsidP="001936E9">
      <w:pPr>
        <w:spacing w:after="160" w:line="259" w:lineRule="auto"/>
        <w:rPr>
          <w:rFonts w:ascii="Arial" w:eastAsia="Cambria" w:hAnsi="Arial" w:cs="Times New Roman"/>
        </w:rPr>
      </w:pPr>
    </w:p>
    <w:p w:rsidR="001936E9" w:rsidRPr="001936E9" w:rsidRDefault="001936E9" w:rsidP="001936E9">
      <w:pPr>
        <w:spacing w:after="160" w:line="259" w:lineRule="auto"/>
        <w:rPr>
          <w:rFonts w:ascii="Arial" w:eastAsia="Cambria" w:hAnsi="Arial" w:cs="Times New Roman"/>
        </w:rPr>
      </w:pPr>
      <w:r w:rsidRPr="001936E9">
        <w:rPr>
          <w:rFonts w:ascii="Arial" w:eastAsia="Cambria" w:hAnsi="Arial" w:cs="Times New Roman"/>
        </w:rPr>
        <w:br w:type="page"/>
      </w:r>
    </w:p>
    <w:p w:rsidR="001936E9" w:rsidRPr="001936E9" w:rsidRDefault="001936E9" w:rsidP="001936E9">
      <w:pPr>
        <w:tabs>
          <w:tab w:val="left" w:pos="1220"/>
        </w:tabs>
        <w:jc w:val="center"/>
        <w:rPr>
          <w:rFonts w:ascii="Arial" w:eastAsia="Cambria" w:hAnsi="Arial" w:cs="Times New Roman"/>
          <w:b/>
          <w:u w:val="single"/>
        </w:rPr>
      </w:pPr>
      <w:r w:rsidRPr="001936E9">
        <w:rPr>
          <w:rFonts w:ascii="Arial" w:eastAsia="Cambria" w:hAnsi="Arial" w:cs="Times New Roman"/>
          <w:b/>
          <w:u w:val="single"/>
        </w:rPr>
        <w:lastRenderedPageBreak/>
        <w:t>Schéma du périmètre de l’étude</w:t>
      </w:r>
      <w:r w:rsidR="000F7399">
        <w:rPr>
          <w:rFonts w:ascii="Arial" w:eastAsia="Cambria" w:hAnsi="Arial" w:cs="Times New Roman"/>
          <w:b/>
          <w:u w:val="single"/>
        </w:rPr>
        <w:t xml:space="preserve"> relative aux établissements publics</w:t>
      </w:r>
    </w:p>
    <w:p w:rsidR="001936E9" w:rsidRPr="001936E9" w:rsidRDefault="001936E9" w:rsidP="001936E9">
      <w:pPr>
        <w:tabs>
          <w:tab w:val="left" w:pos="1220"/>
        </w:tabs>
        <w:jc w:val="center"/>
        <w:rPr>
          <w:rFonts w:ascii="Arial" w:eastAsia="Cambria" w:hAnsi="Arial" w:cs="Times New Roman"/>
          <w:b/>
          <w:u w:val="single"/>
        </w:rPr>
      </w:pPr>
    </w:p>
    <w:p w:rsidR="001936E9" w:rsidRPr="001936E9" w:rsidRDefault="000F7399" w:rsidP="001936E9">
      <w:pPr>
        <w:tabs>
          <w:tab w:val="left" w:pos="1220"/>
        </w:tabs>
        <w:jc w:val="center"/>
        <w:rPr>
          <w:rFonts w:ascii="Arial" w:eastAsia="Cambria" w:hAnsi="Arial" w:cs="Times New Roman"/>
          <w:sz w:val="22"/>
        </w:rPr>
      </w:pPr>
      <w:r>
        <w:rPr>
          <w:rFonts w:ascii="Calibri" w:eastAsia="Calibri" w:hAnsi="Calibri" w:cs="Times New Roman"/>
          <w:noProof/>
          <w:sz w:val="22"/>
          <w:szCs w:val="22"/>
          <w:lang w:eastAsia="fr-FR"/>
        </w:rPr>
        <mc:AlternateContent>
          <mc:Choice Requires="wps">
            <w:drawing>
              <wp:anchor distT="0" distB="0" distL="114300" distR="114300" simplePos="0" relativeHeight="251907072" behindDoc="0" locked="0" layoutInCell="1" allowOverlap="1" wp14:anchorId="549F8870" wp14:editId="07421FCF">
                <wp:simplePos x="0" y="0"/>
                <wp:positionH relativeFrom="column">
                  <wp:posOffset>5241925</wp:posOffset>
                </wp:positionH>
                <wp:positionV relativeFrom="paragraph">
                  <wp:posOffset>4708525</wp:posOffset>
                </wp:positionV>
                <wp:extent cx="1338580" cy="922020"/>
                <wp:effectExtent l="0" t="0" r="13970" b="11430"/>
                <wp:wrapNone/>
                <wp:docPr id="317" name="Zone de texte 317"/>
                <wp:cNvGraphicFramePr/>
                <a:graphic xmlns:a="http://schemas.openxmlformats.org/drawingml/2006/main">
                  <a:graphicData uri="http://schemas.microsoft.com/office/word/2010/wordprocessingShape">
                    <wps:wsp>
                      <wps:cNvSpPr txBox="1"/>
                      <wps:spPr>
                        <a:xfrm>
                          <a:off x="0" y="0"/>
                          <a:ext cx="1338580" cy="9220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1397" w:rsidRPr="00BD113C" w:rsidRDefault="007B1397">
                            <w:pPr>
                              <w:rPr>
                                <w:b/>
                                <w:sz w:val="20"/>
                              </w:rPr>
                            </w:pPr>
                            <w:r w:rsidRPr="00BD113C">
                              <w:rPr>
                                <w:b/>
                                <w:sz w:val="20"/>
                              </w:rPr>
                              <w:t>Pour rappel : les effectifs totaux du Ministère (T2/T3) au 31/12/2013 s’élèvent à 29 131 ETPT.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F8870" id="Zone de texte 317" o:spid="_x0000_s1048" type="#_x0000_t202" style="position:absolute;left:0;text-align:left;margin-left:412.75pt;margin-top:370.75pt;width:105.4pt;height:72.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" fillcolor="white [3201]" strokeweight=".5pt">
                <v:textbox>
                  <w:txbxContent>
                    <w:p w:rsidR="007B1397" w:rsidRPr="00BD113C" w:rsidRDefault="007B1397">
                      <w:pPr>
                        <w:rPr>
                          <w:b/>
                          <w:sz w:val="20"/>
                        </w:rPr>
                      </w:pPr>
                      <w:r w:rsidRPr="00BD113C">
                        <w:rPr>
                          <w:b/>
                          <w:sz w:val="20"/>
                        </w:rPr>
                        <w:t>Pour rappel : les effectifs totaux du Ministère (T2/T3) au 31/12/2013 s’élèvent à 29 131 ETPT.</w:t>
                      </w:r>
                    </w:p>
                  </w:txbxContent>
                </v:textbox>
              </v:shape>
            </w:pict>
          </mc:Fallback>
        </mc:AlternateContent>
      </w:r>
      <w:r w:rsidR="00545884" w:rsidRPr="00545884">
        <w:rPr>
          <w:rFonts w:ascii="Arial" w:eastAsia="Cambria" w:hAnsi="Arial" w:cs="Times New Roman"/>
          <w:sz w:val="22"/>
        </w:rPr>
        <w:t xml:space="preserve"> </w:t>
      </w:r>
      <w:r w:rsidR="00F9380F" w:rsidRPr="00F9380F">
        <w:rPr>
          <w:noProof/>
          <w:lang w:eastAsia="fr-FR"/>
        </w:rPr>
        <w:drawing>
          <wp:inline distT="0" distB="0" distL="0" distR="0">
            <wp:extent cx="4572000" cy="5646420"/>
            <wp:effectExtent l="0" t="0" r="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5646420"/>
                    </a:xfrm>
                    <a:prstGeom prst="rect">
                      <a:avLst/>
                    </a:prstGeom>
                    <a:noFill/>
                    <a:ln>
                      <a:noFill/>
                    </a:ln>
                  </pic:spPr>
                </pic:pic>
              </a:graphicData>
            </a:graphic>
          </wp:inline>
        </w:drawing>
      </w:r>
    </w:p>
    <w:p w:rsidR="001936E9" w:rsidRPr="001936E9" w:rsidRDefault="001936E9" w:rsidP="001936E9">
      <w:pPr>
        <w:widowControl w:val="0"/>
        <w:autoSpaceDE w:val="0"/>
        <w:autoSpaceDN w:val="0"/>
        <w:adjustRightInd w:val="0"/>
        <w:rPr>
          <w:rFonts w:ascii="BlairMdITC TT-Medium" w:eastAsia="Cambria" w:hAnsi="BlairMdITC TT-Medium" w:cs="Times New Roman"/>
        </w:rPr>
      </w:pPr>
    </w:p>
    <w:p w:rsidR="001936E9" w:rsidRPr="001936E9" w:rsidRDefault="001936E9" w:rsidP="001936E9">
      <w:pPr>
        <w:widowControl w:val="0"/>
        <w:autoSpaceDE w:val="0"/>
        <w:autoSpaceDN w:val="0"/>
        <w:adjustRightInd w:val="0"/>
        <w:rPr>
          <w:rFonts w:ascii="BlairMdITC TT-Medium" w:eastAsia="Cambria" w:hAnsi="BlairMdITC TT-Medium" w:cs="Times New Roman"/>
        </w:rPr>
      </w:pPr>
    </w:p>
    <w:p w:rsidR="001936E9" w:rsidRPr="001936E9" w:rsidRDefault="00AD7C87" w:rsidP="001936E9">
      <w:pPr>
        <w:widowControl w:val="0"/>
        <w:autoSpaceDE w:val="0"/>
        <w:autoSpaceDN w:val="0"/>
        <w:adjustRightInd w:val="0"/>
        <w:jc w:val="center"/>
        <w:rPr>
          <w:rFonts w:ascii="BlairMdITC TT-Medium" w:eastAsia="Cambria" w:hAnsi="BlairMdITC TT-Medium" w:cs="Times New Roman"/>
        </w:rPr>
      </w:pPr>
      <w:r w:rsidRPr="00AD7C87">
        <w:rPr>
          <w:noProof/>
          <w:lang w:eastAsia="fr-FR"/>
        </w:rPr>
        <w:drawing>
          <wp:anchor distT="0" distB="0" distL="114300" distR="114300" simplePos="0" relativeHeight="251913216" behindDoc="0" locked="0" layoutInCell="1" allowOverlap="1">
            <wp:simplePos x="0" y="0"/>
            <wp:positionH relativeFrom="column">
              <wp:posOffset>1066165</wp:posOffset>
            </wp:positionH>
            <wp:positionV relativeFrom="paragraph">
              <wp:posOffset>2077085</wp:posOffset>
            </wp:positionV>
            <wp:extent cx="3866198" cy="251460"/>
            <wp:effectExtent l="0" t="0" r="1270" b="0"/>
            <wp:wrapNone/>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1572" cy="25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113C" w:rsidRPr="00BD113C">
        <w:rPr>
          <w:noProof/>
          <w:lang w:eastAsia="fr-FR"/>
        </w:rPr>
        <w:drawing>
          <wp:anchor distT="0" distB="0" distL="114300" distR="114300" simplePos="0" relativeHeight="251912192" behindDoc="0" locked="0" layoutInCell="1" allowOverlap="1" wp14:anchorId="423A5783" wp14:editId="533C1155">
            <wp:simplePos x="0" y="0"/>
            <wp:positionH relativeFrom="column">
              <wp:posOffset>1005205</wp:posOffset>
            </wp:positionH>
            <wp:positionV relativeFrom="paragraph">
              <wp:posOffset>6217285</wp:posOffset>
            </wp:positionV>
            <wp:extent cx="3749040" cy="243840"/>
            <wp:effectExtent l="0" t="0" r="3810" b="3810"/>
            <wp:wrapNone/>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49040" cy="243840"/>
                    </a:xfrm>
                    <a:prstGeom prst="rect">
                      <a:avLst/>
                    </a:prstGeom>
                    <a:noFill/>
                    <a:ln>
                      <a:noFill/>
                    </a:ln>
                  </pic:spPr>
                </pic:pic>
              </a:graphicData>
            </a:graphic>
          </wp:anchor>
        </w:drawing>
      </w:r>
      <w:r>
        <w:rPr>
          <w:rFonts w:ascii="BlairMdITC TT-Medium" w:eastAsia="Cambria" w:hAnsi="BlairMdITC TT-Medium" w:cs="Times New Roman"/>
          <w:noProof/>
          <w:lang w:eastAsia="fr-FR"/>
        </w:rPr>
        <w:drawing>
          <wp:inline distT="0" distB="0" distL="0" distR="0" wp14:anchorId="559D727C">
            <wp:extent cx="5542949" cy="2400300"/>
            <wp:effectExtent l="0" t="0" r="635"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44279" cy="2400876"/>
                    </a:xfrm>
                    <a:prstGeom prst="rect">
                      <a:avLst/>
                    </a:prstGeom>
                    <a:noFill/>
                  </pic:spPr>
                </pic:pic>
              </a:graphicData>
            </a:graphic>
          </wp:inline>
        </w:drawing>
      </w:r>
    </w:p>
    <w:p w:rsidR="001936E9" w:rsidRPr="001936E9" w:rsidRDefault="001936E9" w:rsidP="00F2030C">
      <w:pPr>
        <w:spacing w:after="160" w:line="259" w:lineRule="auto"/>
        <w:rPr>
          <w:rFonts w:ascii="Florencesans Exp" w:eastAsia="Cambria" w:hAnsi="Florencesans Exp" w:cs="Times New Roman"/>
        </w:rPr>
      </w:pPr>
      <w:bookmarkStart w:id="0" w:name="_Toc406770613"/>
      <w:r w:rsidRPr="001936E9">
        <w:rPr>
          <w:rFonts w:ascii="Florencesans Exp" w:eastAsia="Times New Roman" w:hAnsi="Florencesans Exp" w:cs="Times New Roman"/>
          <w:color w:val="F43CBF"/>
          <w:szCs w:val="22"/>
          <w:lang w:eastAsia="fr-FR"/>
        </w:rPr>
        <w:br w:type="page"/>
      </w:r>
      <w:r w:rsidR="00302249">
        <w:rPr>
          <w:rFonts w:ascii="Florencesans Exp" w:eastAsia="Cambria" w:hAnsi="Florencesans Exp" w:cs="Times New Roman"/>
        </w:rPr>
        <w:lastRenderedPageBreak/>
        <w:t>1</w:t>
      </w:r>
      <w:r w:rsidR="00302249" w:rsidRPr="001936E9">
        <w:rPr>
          <w:rFonts w:ascii="Florencesans Exp" w:eastAsia="Cambria" w:hAnsi="Florencesans Exp" w:cs="Times New Roman"/>
        </w:rPr>
        <w:t>.</w:t>
      </w:r>
      <w:r w:rsidR="00302249">
        <w:rPr>
          <w:rFonts w:ascii="Florencesans Exp" w:eastAsia="Cambria" w:hAnsi="Florencesans Exp" w:cs="Times New Roman"/>
        </w:rPr>
        <w:t xml:space="preserve"> B.1.</w:t>
      </w:r>
      <w:r w:rsidRPr="001936E9">
        <w:rPr>
          <w:rFonts w:ascii="Florencesans Exp" w:eastAsia="Cambria" w:hAnsi="Florencesans Exp" w:cs="Times New Roman"/>
        </w:rPr>
        <w:t xml:space="preserve"> PRESENTATION DES EFFECTIFS (T2 ET T3)</w:t>
      </w:r>
      <w:bookmarkEnd w:id="0"/>
    </w:p>
    <w:p w:rsidR="001936E9" w:rsidRPr="001936E9" w:rsidRDefault="001936E9" w:rsidP="001936E9">
      <w:pPr>
        <w:spacing w:after="160" w:line="259" w:lineRule="auto"/>
        <w:rPr>
          <w:rFonts w:ascii="Florencesans Exp" w:eastAsia="Times New Roman" w:hAnsi="Florencesans Exp" w:cs="Times New Roman"/>
          <w:color w:val="00000A"/>
          <w:kern w:val="36"/>
          <w:sz w:val="27"/>
          <w:szCs w:val="27"/>
          <w:lang w:eastAsia="fr-FR"/>
        </w:rPr>
      </w:pPr>
    </w:p>
    <w:p w:rsidR="001936E9" w:rsidRDefault="001936E9" w:rsidP="001936E9">
      <w:pPr>
        <w:tabs>
          <w:tab w:val="left" w:pos="1220"/>
        </w:tabs>
        <w:jc w:val="center"/>
        <w:rPr>
          <w:rFonts w:ascii="Arial" w:eastAsia="Cambria" w:hAnsi="Arial" w:cs="Times New Roman"/>
          <w:b/>
          <w:u w:val="single"/>
        </w:rPr>
      </w:pPr>
      <w:r w:rsidRPr="001936E9">
        <w:rPr>
          <w:rFonts w:ascii="Arial" w:eastAsia="Cambria" w:hAnsi="Arial" w:cs="Times New Roman"/>
          <w:b/>
          <w:u w:val="single"/>
        </w:rPr>
        <w:t>Répartition des données exploitées dans l’étude</w:t>
      </w:r>
    </w:p>
    <w:p w:rsidR="00BD113C" w:rsidRPr="001936E9" w:rsidRDefault="00BD113C" w:rsidP="001936E9">
      <w:pPr>
        <w:tabs>
          <w:tab w:val="left" w:pos="1220"/>
        </w:tabs>
        <w:jc w:val="center"/>
        <w:rPr>
          <w:rFonts w:ascii="Arial" w:eastAsia="Cambria" w:hAnsi="Arial" w:cs="Times New Roman"/>
          <w:b/>
          <w:u w:val="single"/>
        </w:rPr>
      </w:pPr>
    </w:p>
    <w:p w:rsidR="001936E9" w:rsidRPr="001936E9" w:rsidRDefault="001936E9" w:rsidP="001936E9">
      <w:pPr>
        <w:tabs>
          <w:tab w:val="left" w:pos="1220"/>
        </w:tabs>
        <w:jc w:val="center"/>
        <w:rPr>
          <w:rFonts w:ascii="Arial" w:eastAsia="Cambria" w:hAnsi="Arial" w:cs="Times New Roman"/>
          <w:b/>
          <w:u w:val="single"/>
        </w:rPr>
      </w:pPr>
    </w:p>
    <w:p w:rsidR="001936E9" w:rsidRPr="001936E9" w:rsidRDefault="00F9380F" w:rsidP="001936E9">
      <w:pPr>
        <w:spacing w:after="160" w:line="259" w:lineRule="auto"/>
        <w:rPr>
          <w:rFonts w:ascii="Calibri" w:eastAsia="Calibri" w:hAnsi="Calibri" w:cs="Times New Roman"/>
          <w:sz w:val="22"/>
          <w:szCs w:val="22"/>
          <w:lang w:eastAsia="fr-FR"/>
        </w:rPr>
      </w:pPr>
      <w:r w:rsidRPr="00F9380F">
        <w:rPr>
          <w:noProof/>
          <w:lang w:eastAsia="fr-FR"/>
        </w:rPr>
        <w:drawing>
          <wp:inline distT="0" distB="0" distL="0" distR="0">
            <wp:extent cx="5760720" cy="4118584"/>
            <wp:effectExtent l="0" t="0" r="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4118584"/>
                    </a:xfrm>
                    <a:prstGeom prst="rect">
                      <a:avLst/>
                    </a:prstGeom>
                    <a:noFill/>
                    <a:ln>
                      <a:noFill/>
                    </a:ln>
                  </pic:spPr>
                </pic:pic>
              </a:graphicData>
            </a:graphic>
          </wp:inline>
        </w:drawing>
      </w:r>
    </w:p>
    <w:p w:rsidR="001936E9" w:rsidRPr="001936E9" w:rsidRDefault="001936E9" w:rsidP="001936E9">
      <w:pPr>
        <w:spacing w:before="100" w:beforeAutospacing="1"/>
        <w:ind w:left="1219" w:hanging="1219"/>
        <w:rPr>
          <w:rFonts w:ascii="Arial" w:eastAsia="Times New Roman" w:hAnsi="Arial" w:cs="Arial"/>
          <w:b/>
          <w:bCs/>
          <w:color w:val="000000"/>
          <w:lang w:eastAsia="fr-FR"/>
        </w:rPr>
      </w:pPr>
    </w:p>
    <w:p w:rsidR="001936E9" w:rsidRPr="001936E9" w:rsidRDefault="001936E9" w:rsidP="001936E9">
      <w:pPr>
        <w:spacing w:before="100" w:beforeAutospacing="1"/>
        <w:ind w:left="1219" w:hanging="1219"/>
        <w:rPr>
          <w:rFonts w:ascii="Arial" w:eastAsia="Times New Roman" w:hAnsi="Arial" w:cs="Arial"/>
          <w:b/>
          <w:bCs/>
          <w:color w:val="000000"/>
          <w:lang w:eastAsia="fr-FR"/>
        </w:rPr>
      </w:pPr>
    </w:p>
    <w:p w:rsidR="001936E9" w:rsidRPr="001936E9" w:rsidRDefault="001936E9" w:rsidP="001936E9">
      <w:pPr>
        <w:spacing w:before="100" w:beforeAutospacing="1"/>
        <w:ind w:left="1219" w:hanging="1219"/>
        <w:rPr>
          <w:rFonts w:ascii="Arial" w:eastAsia="Times New Roman" w:hAnsi="Arial" w:cs="Arial"/>
          <w:b/>
          <w:bCs/>
          <w:color w:val="000000"/>
          <w:lang w:eastAsia="fr-FR"/>
        </w:rPr>
      </w:pPr>
    </w:p>
    <w:p w:rsidR="001936E9" w:rsidRPr="001936E9" w:rsidRDefault="001936E9" w:rsidP="001936E9">
      <w:pPr>
        <w:spacing w:after="160" w:line="259" w:lineRule="auto"/>
        <w:rPr>
          <w:rFonts w:ascii="Arial" w:eastAsia="Times New Roman" w:hAnsi="Arial" w:cs="Arial"/>
          <w:b/>
          <w:bCs/>
          <w:color w:val="000000"/>
          <w:lang w:eastAsia="fr-FR"/>
        </w:rPr>
      </w:pPr>
      <w:r w:rsidRPr="001936E9">
        <w:rPr>
          <w:rFonts w:ascii="Arial" w:eastAsia="Times New Roman" w:hAnsi="Arial" w:cs="Arial"/>
          <w:b/>
          <w:bCs/>
          <w:color w:val="000000"/>
          <w:lang w:eastAsia="fr-FR"/>
        </w:rPr>
        <w:br w:type="page"/>
      </w:r>
    </w:p>
    <w:p w:rsidR="001936E9" w:rsidRPr="001936E9" w:rsidRDefault="001936E9" w:rsidP="001936E9">
      <w:pPr>
        <w:spacing w:before="100" w:beforeAutospacing="1"/>
        <w:ind w:left="1219" w:hanging="1219"/>
        <w:rPr>
          <w:rFonts w:ascii="Arial" w:eastAsia="Times New Roman" w:hAnsi="Arial" w:cs="Arial"/>
          <w:b/>
          <w:bCs/>
          <w:color w:val="000000"/>
          <w:lang w:eastAsia="fr-FR"/>
        </w:rPr>
      </w:pPr>
      <w:r w:rsidRPr="001936E9">
        <w:rPr>
          <w:rFonts w:ascii="Arial" w:eastAsia="Times New Roman" w:hAnsi="Arial" w:cs="Arial"/>
          <w:b/>
          <w:bCs/>
          <w:color w:val="000000"/>
          <w:lang w:eastAsia="fr-FR"/>
        </w:rPr>
        <w:lastRenderedPageBreak/>
        <w:t>Répartition des ETPT par établissement (T2 et T3)</w:t>
      </w:r>
    </w:p>
    <w:p w:rsidR="001936E9" w:rsidRPr="001936E9" w:rsidRDefault="00507316" w:rsidP="007E62BF">
      <w:pPr>
        <w:spacing w:before="100" w:beforeAutospacing="1"/>
        <w:ind w:left="1219" w:hanging="1219"/>
        <w:rPr>
          <w:rFonts w:ascii="Arial" w:eastAsia="Times New Roman" w:hAnsi="Arial" w:cs="Arial"/>
          <w:bCs/>
          <w:color w:val="000000"/>
          <w:sz w:val="20"/>
          <w:lang w:eastAsia="fr-FR"/>
        </w:rPr>
      </w:pPr>
      <w:r w:rsidRPr="00507316">
        <w:rPr>
          <w:noProof/>
          <w:lang w:eastAsia="fr-FR"/>
        </w:rPr>
        <w:drawing>
          <wp:inline distT="0" distB="0" distL="0" distR="0">
            <wp:extent cx="5867400" cy="8503920"/>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78164" cy="8519521"/>
                    </a:xfrm>
                    <a:prstGeom prst="rect">
                      <a:avLst/>
                    </a:prstGeom>
                    <a:noFill/>
                    <a:ln>
                      <a:noFill/>
                    </a:ln>
                  </pic:spPr>
                </pic:pic>
              </a:graphicData>
            </a:graphic>
          </wp:inline>
        </w:drawing>
      </w:r>
    </w:p>
    <w:p w:rsidR="00507316" w:rsidRDefault="00507316" w:rsidP="00507316">
      <w:pPr>
        <w:spacing w:before="100" w:beforeAutospacing="1"/>
        <w:ind w:left="1219" w:hanging="1219"/>
        <w:rPr>
          <w:rFonts w:ascii="Arial" w:eastAsia="Times New Roman" w:hAnsi="Arial" w:cs="Arial"/>
          <w:b/>
          <w:bCs/>
          <w:color w:val="000000"/>
          <w:lang w:eastAsia="fr-FR"/>
        </w:rPr>
      </w:pPr>
      <w:r w:rsidRPr="001936E9">
        <w:rPr>
          <w:rFonts w:ascii="Arial" w:eastAsia="Times New Roman" w:hAnsi="Arial" w:cs="Arial"/>
          <w:b/>
          <w:bCs/>
          <w:color w:val="000000"/>
          <w:lang w:eastAsia="fr-FR"/>
        </w:rPr>
        <w:lastRenderedPageBreak/>
        <w:t xml:space="preserve">Répartition des ETPT par établissement </w:t>
      </w:r>
      <w:r>
        <w:rPr>
          <w:rFonts w:ascii="Arial" w:eastAsia="Times New Roman" w:hAnsi="Arial" w:cs="Arial"/>
          <w:b/>
          <w:bCs/>
          <w:color w:val="000000"/>
          <w:lang w:eastAsia="fr-FR"/>
        </w:rPr>
        <w:t xml:space="preserve">et par statut </w:t>
      </w:r>
      <w:r w:rsidRPr="001936E9">
        <w:rPr>
          <w:rFonts w:ascii="Arial" w:eastAsia="Times New Roman" w:hAnsi="Arial" w:cs="Arial"/>
          <w:b/>
          <w:bCs/>
          <w:color w:val="000000"/>
          <w:lang w:eastAsia="fr-FR"/>
        </w:rPr>
        <w:t>(T2 et T3)</w:t>
      </w:r>
    </w:p>
    <w:p w:rsidR="00F9380F" w:rsidRPr="001936E9" w:rsidRDefault="00F9380F" w:rsidP="00F9380F">
      <w:pPr>
        <w:ind w:left="1219" w:hanging="1219"/>
        <w:rPr>
          <w:rFonts w:ascii="Arial" w:eastAsia="Times New Roman" w:hAnsi="Arial" w:cs="Arial"/>
          <w:b/>
          <w:bCs/>
          <w:color w:val="000000"/>
          <w:lang w:eastAsia="fr-FR"/>
        </w:rPr>
      </w:pPr>
    </w:p>
    <w:p w:rsidR="00507316" w:rsidRDefault="00507316">
      <w:pPr>
        <w:spacing w:after="160" w:line="259" w:lineRule="auto"/>
        <w:rPr>
          <w:rFonts w:ascii="Arial" w:eastAsia="Times New Roman" w:hAnsi="Arial" w:cs="Arial"/>
          <w:b/>
          <w:bCs/>
          <w:color w:val="000000"/>
          <w:lang w:eastAsia="fr-FR"/>
        </w:rPr>
      </w:pPr>
      <w:r w:rsidRPr="00507316">
        <w:rPr>
          <w:noProof/>
          <w:lang w:eastAsia="fr-FR"/>
        </w:rPr>
        <w:drawing>
          <wp:inline distT="0" distB="0" distL="0" distR="0">
            <wp:extent cx="6172192" cy="8488045"/>
            <wp:effectExtent l="0" t="0" r="635" b="8255"/>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7696" cy="8523118"/>
                    </a:xfrm>
                    <a:prstGeom prst="rect">
                      <a:avLst/>
                    </a:prstGeom>
                    <a:noFill/>
                    <a:ln>
                      <a:noFill/>
                    </a:ln>
                  </pic:spPr>
                </pic:pic>
              </a:graphicData>
            </a:graphic>
          </wp:inline>
        </w:drawing>
      </w:r>
      <w:r>
        <w:rPr>
          <w:rFonts w:ascii="Arial" w:eastAsia="Times New Roman" w:hAnsi="Arial" w:cs="Arial"/>
          <w:b/>
          <w:bCs/>
          <w:color w:val="000000"/>
          <w:lang w:eastAsia="fr-FR"/>
        </w:rPr>
        <w:br w:type="page"/>
      </w:r>
    </w:p>
    <w:p w:rsidR="001936E9" w:rsidRPr="001936E9" w:rsidRDefault="001936E9" w:rsidP="00632F56">
      <w:pPr>
        <w:tabs>
          <w:tab w:val="left" w:pos="2412"/>
        </w:tabs>
        <w:spacing w:after="160" w:line="259" w:lineRule="auto"/>
        <w:rPr>
          <w:rFonts w:ascii="Arial" w:eastAsia="Times New Roman" w:hAnsi="Arial" w:cs="Arial"/>
          <w:b/>
          <w:bCs/>
          <w:color w:val="000000"/>
          <w:lang w:eastAsia="fr-FR"/>
        </w:rPr>
      </w:pPr>
      <w:r w:rsidRPr="001936E9">
        <w:rPr>
          <w:rFonts w:ascii="Arial" w:eastAsia="Times New Roman" w:hAnsi="Arial" w:cs="Arial"/>
          <w:b/>
          <w:bCs/>
          <w:color w:val="000000"/>
          <w:lang w:eastAsia="fr-FR"/>
        </w:rPr>
        <w:lastRenderedPageBreak/>
        <w:t>Répartition des effectifs par genre en ETPT (T2 - T3)</w:t>
      </w:r>
    </w:p>
    <w:p w:rsidR="001936E9" w:rsidRPr="001936E9" w:rsidRDefault="001936E9" w:rsidP="001936E9">
      <w:pPr>
        <w:spacing w:before="100" w:beforeAutospacing="1"/>
        <w:ind w:left="1219" w:hanging="1219"/>
        <w:jc w:val="both"/>
        <w:rPr>
          <w:rFonts w:ascii="Times New Roman" w:eastAsia="Times New Roman" w:hAnsi="Times New Roman" w:cs="Times New Roman"/>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0688" behindDoc="0" locked="0" layoutInCell="1" allowOverlap="1" wp14:anchorId="34C79C3A" wp14:editId="68C11D35">
                <wp:simplePos x="0" y="0"/>
                <wp:positionH relativeFrom="margin">
                  <wp:posOffset>3887470</wp:posOffset>
                </wp:positionH>
                <wp:positionV relativeFrom="paragraph">
                  <wp:posOffset>873125</wp:posOffset>
                </wp:positionV>
                <wp:extent cx="1826895" cy="1404620"/>
                <wp:effectExtent l="0" t="0" r="20955" b="17145"/>
                <wp:wrapSquare wrapText="bothSides"/>
                <wp:docPr id="2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895" cy="1404620"/>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jc w:val="center"/>
                              <w:rPr>
                                <w:b/>
                              </w:rPr>
                            </w:pPr>
                            <w:r w:rsidRPr="0092070A">
                              <w:rPr>
                                <w:b/>
                              </w:rPr>
                              <w:t xml:space="preserve">On retrouve une répartition égale entre hommes et femmes dans les établissements publics </w:t>
                            </w:r>
                            <w:r>
                              <w:rPr>
                                <w:b/>
                              </w:rPr>
                              <w:t>en 2013.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C79C3A" id="Zone de texte 2" o:spid="_x0000_s1049" type="#_x0000_t202" style="position:absolute;left:0;text-align:left;margin-left:306.1pt;margin-top:68.75pt;width:143.85pt;height:110.6pt;z-index:251890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">
                <v:textbox style="mso-fit-shape-to-text:t">
                  <w:txbxContent>
                    <w:p w:rsidR="007B1397" w:rsidRPr="0092070A" w:rsidRDefault="007B1397" w:rsidP="001936E9">
                      <w:pPr>
                        <w:jc w:val="center"/>
                        <w:rPr>
                          <w:b/>
                        </w:rPr>
                      </w:pPr>
                      <w:r w:rsidRPr="0092070A">
                        <w:rPr>
                          <w:b/>
                        </w:rPr>
                        <w:t xml:space="preserve">On retrouve une répartition égale entre hommes et femmes dans les établissements publics </w:t>
                      </w:r>
                      <w:r>
                        <w:rPr>
                          <w:b/>
                        </w:rPr>
                        <w:t>en 2013.</w:t>
                      </w:r>
                    </w:p>
                  </w:txbxContent>
                </v:textbox>
                <w10:wrap type="square" anchorx="margin"/>
              </v:shape>
            </w:pict>
          </mc:Fallback>
        </mc:AlternateContent>
      </w:r>
      <w:r w:rsidRPr="001936E9">
        <w:rPr>
          <w:rFonts w:ascii="Times New Roman" w:eastAsia="Times New Roman" w:hAnsi="Times New Roman" w:cs="Times New Roman"/>
          <w:noProof/>
          <w:color w:val="000000"/>
          <w:lang w:eastAsia="fr-FR"/>
        </w:rPr>
        <w:drawing>
          <wp:inline distT="0" distB="0" distL="0" distR="0" wp14:anchorId="538A66AD" wp14:editId="7F91CE50">
            <wp:extent cx="2923310" cy="2284696"/>
            <wp:effectExtent l="0" t="0" r="0" b="1905"/>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5221" cy="2325267"/>
                    </a:xfrm>
                    <a:prstGeom prst="rect">
                      <a:avLst/>
                    </a:prstGeom>
                    <a:noFill/>
                  </pic:spPr>
                </pic:pic>
              </a:graphicData>
            </a:graphic>
          </wp:inline>
        </w:drawing>
      </w:r>
    </w:p>
    <w:p w:rsidR="001936E9" w:rsidRPr="001936E9" w:rsidRDefault="001936E9" w:rsidP="001936E9">
      <w:pPr>
        <w:spacing w:before="100" w:beforeAutospacing="1"/>
        <w:ind w:left="1219" w:hanging="1219"/>
        <w:rPr>
          <w:rFonts w:ascii="Arial" w:eastAsia="Times New Roman" w:hAnsi="Arial" w:cs="Arial"/>
          <w:b/>
          <w:bCs/>
          <w:color w:val="000000"/>
          <w:lang w:eastAsia="fr-FR"/>
        </w:rPr>
      </w:pPr>
      <w:r w:rsidRPr="001936E9">
        <w:rPr>
          <w:rFonts w:ascii="Arial" w:eastAsia="Times New Roman" w:hAnsi="Arial" w:cs="Arial"/>
          <w:b/>
          <w:bCs/>
          <w:color w:val="000000"/>
          <w:lang w:eastAsia="fr-FR"/>
        </w:rPr>
        <w:t>Répartition des effectifs selon leur statut en ETPT (T2 - T3)</w:t>
      </w:r>
    </w:p>
    <w:p w:rsidR="001936E9" w:rsidRPr="001936E9" w:rsidRDefault="001936E9" w:rsidP="00022954">
      <w:pPr>
        <w:spacing w:before="100" w:beforeAutospacing="1"/>
        <w:ind w:left="1219" w:hanging="1219"/>
        <w:rPr>
          <w:rFonts w:ascii="Arial" w:eastAsia="Times New Roman" w:hAnsi="Arial" w:cs="Arial"/>
          <w:b/>
          <w:bCs/>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1712" behindDoc="0" locked="0" layoutInCell="1" allowOverlap="1" wp14:anchorId="1FB3A578" wp14:editId="49DFB291">
                <wp:simplePos x="0" y="0"/>
                <wp:positionH relativeFrom="margin">
                  <wp:posOffset>3872865</wp:posOffset>
                </wp:positionH>
                <wp:positionV relativeFrom="paragraph">
                  <wp:posOffset>984885</wp:posOffset>
                </wp:positionV>
                <wp:extent cx="1772920" cy="803275"/>
                <wp:effectExtent l="0" t="0" r="17780" b="15875"/>
                <wp:wrapSquare wrapText="bothSides"/>
                <wp:docPr id="2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2920" cy="803275"/>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jc w:val="center"/>
                              <w:rPr>
                                <w:b/>
                              </w:rPr>
                            </w:pPr>
                            <w:r>
                              <w:rPr>
                                <w:b/>
                              </w:rPr>
                              <w:t>En 2013, 64% des agents des établissements publics sont des agents non titulaires.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3A578" id="_x0000_s1050" type="#_x0000_t202" style="position:absolute;left:0;text-align:left;margin-left:304.95pt;margin-top:77.55pt;width:139.6pt;height:63.25pt;z-index:25189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">
                <v:textbox>
                  <w:txbxContent>
                    <w:p w:rsidR="007B1397" w:rsidRPr="0092070A" w:rsidRDefault="007B1397" w:rsidP="001936E9">
                      <w:pPr>
                        <w:jc w:val="center"/>
                        <w:rPr>
                          <w:b/>
                        </w:rPr>
                      </w:pPr>
                      <w:r>
                        <w:rPr>
                          <w:b/>
                        </w:rPr>
                        <w:t>En 2013, 64% des agents des établissements publics sont des agents non titulaires.</w:t>
                      </w:r>
                    </w:p>
                  </w:txbxContent>
                </v:textbox>
                <w10:wrap type="square" anchorx="margin"/>
              </v:shape>
            </w:pict>
          </mc:Fallback>
        </mc:AlternateContent>
      </w:r>
      <w:r w:rsidR="00022954">
        <w:rPr>
          <w:rFonts w:ascii="Arial" w:eastAsia="Times New Roman" w:hAnsi="Arial" w:cs="Arial"/>
          <w:b/>
          <w:bCs/>
          <w:noProof/>
          <w:color w:val="000000"/>
          <w:lang w:eastAsia="fr-FR"/>
        </w:rPr>
        <w:drawing>
          <wp:inline distT="0" distB="0" distL="0" distR="0" wp14:anchorId="7824EF9A">
            <wp:extent cx="3756660" cy="2621280"/>
            <wp:effectExtent l="0" t="0" r="0" b="762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56660" cy="2621280"/>
                    </a:xfrm>
                    <a:prstGeom prst="rect">
                      <a:avLst/>
                    </a:prstGeom>
                    <a:noFill/>
                  </pic:spPr>
                </pic:pic>
              </a:graphicData>
            </a:graphic>
          </wp:inline>
        </w:drawing>
      </w:r>
    </w:p>
    <w:p w:rsidR="001936E9" w:rsidRPr="001936E9" w:rsidRDefault="001936E9" w:rsidP="001936E9">
      <w:pPr>
        <w:spacing w:before="100" w:beforeAutospacing="1"/>
        <w:ind w:left="1219" w:hanging="1219"/>
        <w:rPr>
          <w:rFonts w:ascii="Arial" w:eastAsia="Times New Roman" w:hAnsi="Arial" w:cs="Arial"/>
          <w:b/>
          <w:bCs/>
          <w:color w:val="000000"/>
          <w:lang w:eastAsia="fr-FR"/>
        </w:rPr>
      </w:pPr>
      <w:r w:rsidRPr="001936E9">
        <w:rPr>
          <w:rFonts w:ascii="Arial" w:eastAsia="Times New Roman" w:hAnsi="Arial" w:cs="Arial"/>
          <w:b/>
          <w:bCs/>
          <w:color w:val="000000"/>
          <w:lang w:eastAsia="fr-FR"/>
        </w:rPr>
        <w:t>Répartition des effectifs par catégorie en ETPT (T2 - T3)</w:t>
      </w:r>
    </w:p>
    <w:p w:rsidR="001936E9" w:rsidRPr="001936E9" w:rsidRDefault="001936E9" w:rsidP="001936E9">
      <w:pPr>
        <w:spacing w:before="100" w:beforeAutospacing="1"/>
        <w:ind w:left="1219" w:hanging="1219"/>
        <w:rPr>
          <w:rFonts w:ascii="Times New Roman" w:eastAsia="Times New Roman" w:hAnsi="Times New Roman" w:cs="Times New Roman"/>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2736" behindDoc="0" locked="0" layoutInCell="1" allowOverlap="1" wp14:anchorId="48873519" wp14:editId="060CD7AD">
                <wp:simplePos x="0" y="0"/>
                <wp:positionH relativeFrom="margin">
                  <wp:posOffset>3851910</wp:posOffset>
                </wp:positionH>
                <wp:positionV relativeFrom="paragraph">
                  <wp:posOffset>930968</wp:posOffset>
                </wp:positionV>
                <wp:extent cx="1779905" cy="1404620"/>
                <wp:effectExtent l="0" t="0" r="10795" b="17145"/>
                <wp:wrapSquare wrapText="bothSides"/>
                <wp:docPr id="2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9905" cy="1404620"/>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jc w:val="center"/>
                              <w:rPr>
                                <w:b/>
                              </w:rPr>
                            </w:pPr>
                            <w:r>
                              <w:rPr>
                                <w:b/>
                              </w:rPr>
                              <w:t xml:space="preserve">En 2013, 45% des effectifs des établissements publics étaient des agents de catégorie 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873519" id="_x0000_s1051" type="#_x0000_t202" style="position:absolute;left:0;text-align:left;margin-left:303.3pt;margin-top:73.3pt;width:140.15pt;height:110.6pt;z-index:251892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">
                <v:textbox style="mso-fit-shape-to-text:t">
                  <w:txbxContent>
                    <w:p w:rsidR="007B1397" w:rsidRPr="0092070A" w:rsidRDefault="007B1397" w:rsidP="001936E9">
                      <w:pPr>
                        <w:jc w:val="center"/>
                        <w:rPr>
                          <w:b/>
                        </w:rPr>
                      </w:pPr>
                      <w:r>
                        <w:rPr>
                          <w:b/>
                        </w:rPr>
                        <w:t xml:space="preserve">En 2013, 45% des effectifs des établissements publics étaient des agents de catégorie A. </w:t>
                      </w:r>
                    </w:p>
                  </w:txbxContent>
                </v:textbox>
                <w10:wrap type="square" anchorx="margin"/>
              </v:shape>
            </w:pict>
          </mc:Fallback>
        </mc:AlternateContent>
      </w:r>
      <w:r w:rsidRPr="001936E9">
        <w:rPr>
          <w:rFonts w:ascii="Times New Roman" w:eastAsia="Times New Roman" w:hAnsi="Times New Roman" w:cs="Times New Roman"/>
          <w:noProof/>
          <w:color w:val="000000"/>
          <w:lang w:eastAsia="fr-FR"/>
        </w:rPr>
        <w:drawing>
          <wp:inline distT="0" distB="0" distL="0" distR="0" wp14:anchorId="35BAC849" wp14:editId="59A27A73">
            <wp:extent cx="3397847" cy="2484120"/>
            <wp:effectExtent l="0" t="0" r="0" b="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a:extLst>
                        <a:ext uri="{28A0092B-C50C-407E-A947-70E740481C1C}">
                          <a14:useLocalDpi xmlns:a14="http://schemas.microsoft.com/office/drawing/2010/main" val="0"/>
                        </a:ext>
                      </a:extLst>
                    </a:blip>
                    <a:srcRect/>
                    <a:stretch/>
                  </pic:blipFill>
                  <pic:spPr bwMode="auto">
                    <a:xfrm>
                      <a:off x="0" y="0"/>
                      <a:ext cx="3426466" cy="2505043"/>
                    </a:xfrm>
                    <a:prstGeom prst="rect">
                      <a:avLst/>
                    </a:prstGeom>
                    <a:noFill/>
                  </pic:spPr>
                </pic:pic>
              </a:graphicData>
            </a:graphic>
          </wp:inline>
        </w:drawing>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lastRenderedPageBreak/>
        <w:t>Répartition des effectifs selon la fonction en ETPT (T2 - T3)</w:t>
      </w:r>
    </w:p>
    <w:p w:rsidR="001936E9" w:rsidRPr="001936E9" w:rsidRDefault="001936E9" w:rsidP="001936E9">
      <w:pPr>
        <w:spacing w:before="100" w:beforeAutospacing="1"/>
        <w:jc w:val="center"/>
        <w:rPr>
          <w:rFonts w:ascii="Times New Roman" w:eastAsia="Times New Roman" w:hAnsi="Times New Roman" w:cs="Times New Roman"/>
          <w:color w:val="000000"/>
          <w:lang w:eastAsia="fr-FR"/>
        </w:rPr>
      </w:pPr>
      <w:r w:rsidRPr="001936E9">
        <w:rPr>
          <w:rFonts w:ascii="Times New Roman" w:eastAsia="Times New Roman" w:hAnsi="Times New Roman" w:cs="Times New Roman"/>
          <w:noProof/>
          <w:color w:val="000000"/>
          <w:lang w:eastAsia="fr-FR"/>
        </w:rPr>
        <w:drawing>
          <wp:inline distT="0" distB="0" distL="0" distR="0" wp14:anchorId="49407720" wp14:editId="4926EF4D">
            <wp:extent cx="3489960" cy="1953716"/>
            <wp:effectExtent l="0" t="0" r="0" b="889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95508" cy="1956822"/>
                    </a:xfrm>
                    <a:prstGeom prst="rect">
                      <a:avLst/>
                    </a:prstGeom>
                    <a:noFill/>
                  </pic:spPr>
                </pic:pic>
              </a:graphicData>
            </a:graphic>
          </wp:inline>
        </w:drawing>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t>Répartition selon la catégorie statutaire et le genre en ETPT</w:t>
      </w:r>
      <w:r w:rsidRPr="001936E9">
        <w:rPr>
          <w:rFonts w:ascii="Arial" w:eastAsia="Times New Roman" w:hAnsi="Arial" w:cs="Arial"/>
          <w:b/>
          <w:bCs/>
          <w:color w:val="FF0000"/>
          <w:lang w:eastAsia="fr-FR"/>
        </w:rPr>
        <w:t xml:space="preserve"> </w:t>
      </w:r>
      <w:r w:rsidRPr="001936E9">
        <w:rPr>
          <w:rFonts w:ascii="Arial" w:eastAsia="Times New Roman" w:hAnsi="Arial" w:cs="Arial"/>
          <w:b/>
          <w:bCs/>
          <w:color w:val="000000"/>
          <w:lang w:eastAsia="fr-FR"/>
        </w:rPr>
        <w:t xml:space="preserve">(T2 - T3) </w:t>
      </w:r>
    </w:p>
    <w:p w:rsidR="001936E9" w:rsidRPr="001936E9" w:rsidRDefault="00022954" w:rsidP="001936E9">
      <w:pPr>
        <w:spacing w:before="100" w:beforeAutospacing="1"/>
        <w:rPr>
          <w:rFonts w:ascii="Times New Roman" w:eastAsia="Times New Roman" w:hAnsi="Times New Roman" w:cs="Times New Roman"/>
          <w:color w:val="000000"/>
          <w:lang w:eastAsia="fr-FR"/>
        </w:rPr>
      </w:pPr>
      <w:r w:rsidRPr="00022954">
        <w:rPr>
          <w:noProof/>
          <w:lang w:eastAsia="fr-FR"/>
        </w:rPr>
        <w:drawing>
          <wp:inline distT="0" distB="0" distL="0" distR="0">
            <wp:extent cx="5760720" cy="1507412"/>
            <wp:effectExtent l="0" t="0" r="0" b="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1507412"/>
                    </a:xfrm>
                    <a:prstGeom prst="rect">
                      <a:avLst/>
                    </a:prstGeom>
                    <a:noFill/>
                    <a:ln>
                      <a:noFill/>
                    </a:ln>
                  </pic:spPr>
                </pic:pic>
              </a:graphicData>
            </a:graphic>
          </wp:inline>
        </w:drawing>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t>Répartition selon la fonction et le genre en ETPT (T2 - T3)</w:t>
      </w:r>
    </w:p>
    <w:p w:rsidR="001936E9" w:rsidRPr="001936E9" w:rsidRDefault="00022954" w:rsidP="001936E9">
      <w:pPr>
        <w:spacing w:before="100" w:beforeAutospacing="1"/>
        <w:rPr>
          <w:rFonts w:ascii="Times New Roman" w:eastAsia="Times New Roman" w:hAnsi="Times New Roman" w:cs="Times New Roman"/>
          <w:color w:val="000000"/>
          <w:lang w:eastAsia="fr-FR"/>
        </w:rPr>
      </w:pPr>
      <w:r w:rsidRPr="00022954">
        <w:rPr>
          <w:noProof/>
          <w:lang w:eastAsia="fr-FR"/>
        </w:rPr>
        <w:drawing>
          <wp:inline distT="0" distB="0" distL="0" distR="0">
            <wp:extent cx="5760720" cy="1280946"/>
            <wp:effectExtent l="0" t="0" r="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1280946"/>
                    </a:xfrm>
                    <a:prstGeom prst="rect">
                      <a:avLst/>
                    </a:prstGeom>
                    <a:noFill/>
                    <a:ln>
                      <a:noFill/>
                    </a:ln>
                  </pic:spPr>
                </pic:pic>
              </a:graphicData>
            </a:graphic>
          </wp:inline>
        </w:drawing>
      </w:r>
    </w:p>
    <w:p w:rsidR="00A1382D" w:rsidRDefault="00A1382D" w:rsidP="00A1382D">
      <w:pPr>
        <w:spacing w:before="100" w:beforeAutospacing="1"/>
        <w:rPr>
          <w:rFonts w:ascii="Arial" w:eastAsia="Times New Roman" w:hAnsi="Arial" w:cs="Arial"/>
          <w:b/>
          <w:bCs/>
          <w:color w:val="000000"/>
          <w:lang w:eastAsia="fr-FR"/>
        </w:rPr>
      </w:pPr>
      <w:r w:rsidRPr="001936E9">
        <w:rPr>
          <w:rFonts w:ascii="Arial" w:eastAsia="Times New Roman" w:hAnsi="Arial" w:cs="Arial"/>
          <w:b/>
          <w:bCs/>
          <w:color w:val="000000"/>
          <w:lang w:eastAsia="fr-FR"/>
        </w:rPr>
        <w:t>Répartition des agents non titulaires selon la nature du contrat (T2 - T3)</w:t>
      </w:r>
    </w:p>
    <w:p w:rsidR="00A1382D" w:rsidRDefault="00A1382D" w:rsidP="00A1382D">
      <w:pPr>
        <w:spacing w:before="100" w:beforeAutospacing="1"/>
        <w:jc w:val="both"/>
        <w:rPr>
          <w:rFonts w:ascii="Times New Roman" w:eastAsia="Times New Roman" w:hAnsi="Times New Roman" w:cs="Times New Roman"/>
          <w:noProof/>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0" distB="0" distL="114300" distR="114300" simplePos="0" relativeHeight="251914240" behindDoc="0" locked="0" layoutInCell="1" allowOverlap="1" wp14:anchorId="123DA422" wp14:editId="61CE691E">
                <wp:simplePos x="0" y="0"/>
                <wp:positionH relativeFrom="column">
                  <wp:posOffset>3649345</wp:posOffset>
                </wp:positionH>
                <wp:positionV relativeFrom="paragraph">
                  <wp:posOffset>1130935</wp:posOffset>
                </wp:positionV>
                <wp:extent cx="2026920" cy="844550"/>
                <wp:effectExtent l="0" t="0" r="11430" b="27305"/>
                <wp:wrapNone/>
                <wp:docPr id="3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844550"/>
                        </a:xfrm>
                        <a:prstGeom prst="rect">
                          <a:avLst/>
                        </a:prstGeom>
                        <a:solidFill>
                          <a:srgbClr val="FFFFFF"/>
                        </a:solidFill>
                        <a:ln w="9525">
                          <a:solidFill>
                            <a:srgbClr val="000000"/>
                          </a:solidFill>
                          <a:miter lim="800000"/>
                          <a:headEnd/>
                          <a:tailEnd/>
                        </a:ln>
                      </wps:spPr>
                      <wps:txbx>
                        <w:txbxContent>
                          <w:p w:rsidR="007B1397" w:rsidRPr="0092070A" w:rsidRDefault="007B1397" w:rsidP="00A1382D">
                            <w:pPr>
                              <w:jc w:val="center"/>
                              <w:rPr>
                                <w:b/>
                              </w:rPr>
                            </w:pPr>
                            <w:r>
                              <w:rPr>
                                <w:b/>
                              </w:rPr>
                              <w:t xml:space="preserve">79% des agents non titulaires des établissements publics sont en CDI.  </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123DA422" id="_x0000_s1052" type="#_x0000_t202" style="position:absolute;left:0;text-align:left;margin-left:287.35pt;margin-top:89.05pt;width:159.6pt;height:66.5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">
                <v:textbox style="mso-fit-shape-to-text:t">
                  <w:txbxContent>
                    <w:p w:rsidR="007B1397" w:rsidRPr="0092070A" w:rsidRDefault="007B1397" w:rsidP="00A1382D">
                      <w:pPr>
                        <w:jc w:val="center"/>
                        <w:rPr>
                          <w:b/>
                        </w:rPr>
                      </w:pPr>
                      <w:r>
                        <w:rPr>
                          <w:b/>
                        </w:rPr>
                        <w:t xml:space="preserve">79% des agents non titulaires des établissements publics sont en CDI.  </w:t>
                      </w:r>
                    </w:p>
                  </w:txbxContent>
                </v:textbox>
              </v:shape>
            </w:pict>
          </mc:Fallback>
        </mc:AlternateContent>
      </w:r>
      <w:r w:rsidR="004B4CC0">
        <w:rPr>
          <w:rFonts w:ascii="Times New Roman" w:eastAsia="Times New Roman" w:hAnsi="Times New Roman" w:cs="Times New Roman"/>
          <w:noProof/>
          <w:color w:val="000000"/>
          <w:lang w:eastAsia="fr-FR"/>
        </w:rPr>
        <w:drawing>
          <wp:inline distT="0" distB="0" distL="0" distR="0" wp14:anchorId="0B0FE350">
            <wp:extent cx="2956560" cy="2149027"/>
            <wp:effectExtent l="0" t="0" r="0" b="381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76461" cy="2163492"/>
                    </a:xfrm>
                    <a:prstGeom prst="rect">
                      <a:avLst/>
                    </a:prstGeom>
                    <a:noFill/>
                  </pic:spPr>
                </pic:pic>
              </a:graphicData>
            </a:graphic>
          </wp:inline>
        </w:drawing>
      </w:r>
      <w:r w:rsidRPr="00A1382D">
        <w:rPr>
          <w:rFonts w:ascii="Times New Roman" w:eastAsia="Times New Roman" w:hAnsi="Times New Roman" w:cs="Times New Roman"/>
          <w:noProof/>
          <w:color w:val="000000"/>
          <w:lang w:eastAsia="fr-FR"/>
        </w:rPr>
        <w:t xml:space="preserve"> </w:t>
      </w:r>
    </w:p>
    <w:p w:rsidR="001936E9" w:rsidRPr="001936E9" w:rsidRDefault="001936E9" w:rsidP="001936E9">
      <w:pPr>
        <w:spacing w:before="100" w:beforeAutospacing="1"/>
        <w:rPr>
          <w:rFonts w:ascii="Times New Roman" w:eastAsia="Times New Roman" w:hAnsi="Times New Roman" w:cs="Times New Roman"/>
          <w:color w:val="000000"/>
          <w:bdr w:val="single" w:sz="6" w:space="4" w:color="000000" w:frame="1"/>
          <w:shd w:val="clear" w:color="auto" w:fill="FFFFFF"/>
          <w:lang w:eastAsia="fr-FR"/>
        </w:rPr>
      </w:pPr>
      <w:r w:rsidRPr="001936E9">
        <w:rPr>
          <w:rFonts w:ascii="Arial" w:eastAsia="Times New Roman" w:hAnsi="Arial" w:cs="Arial"/>
          <w:b/>
          <w:bCs/>
          <w:color w:val="000000"/>
          <w:lang w:eastAsia="fr-FR"/>
        </w:rPr>
        <w:lastRenderedPageBreak/>
        <w:t xml:space="preserve">Age moyen des agents des agents des établissements publics </w:t>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3760" behindDoc="0" locked="0" layoutInCell="1" allowOverlap="1" wp14:anchorId="5871508A" wp14:editId="0E2B92A8">
                <wp:simplePos x="0" y="0"/>
                <wp:positionH relativeFrom="margin">
                  <wp:align>right</wp:align>
                </wp:positionH>
                <wp:positionV relativeFrom="paragraph">
                  <wp:posOffset>172085</wp:posOffset>
                </wp:positionV>
                <wp:extent cx="2309495" cy="1059180"/>
                <wp:effectExtent l="0" t="0" r="14605" b="26670"/>
                <wp:wrapSquare wrapText="bothSides"/>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495" cy="1059180"/>
                        </a:xfrm>
                        <a:prstGeom prst="rect">
                          <a:avLst/>
                        </a:prstGeom>
                        <a:solidFill>
                          <a:srgbClr val="FFFFFF"/>
                        </a:solidFill>
                        <a:ln w="9525">
                          <a:solidFill>
                            <a:srgbClr val="000000"/>
                          </a:solidFill>
                          <a:miter lim="800000"/>
                          <a:headEnd/>
                          <a:tailEnd/>
                        </a:ln>
                      </wps:spPr>
                      <wps:txbx>
                        <w:txbxContent>
                          <w:p w:rsidR="007B1397" w:rsidRPr="0092070A" w:rsidRDefault="007B1397" w:rsidP="00EA4363">
                            <w:pPr>
                              <w:jc w:val="center"/>
                              <w:rPr>
                                <w:b/>
                              </w:rPr>
                            </w:pPr>
                            <w:r>
                              <w:rPr>
                                <w:b/>
                              </w:rPr>
                              <w:t>L’âge moyen de l’ensemble des agents des établissements publics s’élève  à 44 ans contre 48,6 ans pour l’ensemble des agents du ministère du 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1508A" id="_x0000_s1053" type="#_x0000_t202" style="position:absolute;margin-left:130.65pt;margin-top:13.55pt;width:181.85pt;height:83.4pt;z-index:2518937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">
                <v:textbox>
                  <w:txbxContent>
                    <w:p w:rsidR="007B1397" w:rsidRPr="0092070A" w:rsidRDefault="007B1397" w:rsidP="00EA4363">
                      <w:pPr>
                        <w:jc w:val="center"/>
                        <w:rPr>
                          <w:b/>
                        </w:rPr>
                      </w:pPr>
                      <w:r>
                        <w:rPr>
                          <w:b/>
                        </w:rPr>
                        <w:t>L’âge moyen de l’ensemble des agents des établissements publics s’élève  à 44 ans contre 48,6 ans pour l’ensemble des agents du ministère du T2.</w:t>
                      </w:r>
                    </w:p>
                  </w:txbxContent>
                </v:textbox>
                <w10:wrap type="square" anchorx="margin"/>
              </v:shape>
            </w:pict>
          </mc:Fallback>
        </mc:AlternateContent>
      </w:r>
      <w:r w:rsidRPr="001936E9">
        <w:rPr>
          <w:rFonts w:ascii="Calibri" w:eastAsia="Calibri" w:hAnsi="Calibri" w:cs="Times New Roman"/>
          <w:noProof/>
          <w:sz w:val="22"/>
          <w:szCs w:val="22"/>
          <w:lang w:eastAsia="fr-FR"/>
        </w:rPr>
        <w:drawing>
          <wp:inline distT="0" distB="0" distL="0" distR="0" wp14:anchorId="38A5E650" wp14:editId="4F815624">
            <wp:extent cx="2743200" cy="973455"/>
            <wp:effectExtent l="0" t="0" r="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75081" cy="984768"/>
                    </a:xfrm>
                    <a:prstGeom prst="rect">
                      <a:avLst/>
                    </a:prstGeom>
                    <a:noFill/>
                    <a:ln>
                      <a:noFill/>
                    </a:ln>
                  </pic:spPr>
                </pic:pic>
              </a:graphicData>
            </a:graphic>
          </wp:inline>
        </w:drawing>
      </w:r>
    </w:p>
    <w:p w:rsidR="001936E9" w:rsidRPr="001936E9" w:rsidRDefault="001936E9" w:rsidP="001936E9">
      <w:pPr>
        <w:spacing w:before="100" w:beforeAutospacing="1"/>
        <w:rPr>
          <w:rFonts w:ascii="Arial" w:eastAsia="Times New Roman" w:hAnsi="Arial" w:cs="Arial"/>
          <w:b/>
          <w:bCs/>
          <w:color w:val="000000"/>
          <w:lang w:eastAsia="fr-FR"/>
        </w:rPr>
      </w:pP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t>Pyramide des âges en effectifs physiques (T2 - T3)</w:t>
      </w:r>
    </w:p>
    <w:p w:rsidR="001936E9" w:rsidRPr="001936E9" w:rsidRDefault="00A1382D" w:rsidP="001936E9">
      <w:pPr>
        <w:spacing w:before="100" w:beforeAutospacing="1"/>
        <w:rPr>
          <w:rFonts w:ascii="Times New Roman" w:eastAsia="Times New Roman" w:hAnsi="Times New Roman" w:cs="Times New Roman"/>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4784" behindDoc="0" locked="0" layoutInCell="1" allowOverlap="1" wp14:anchorId="4ADC1B8B" wp14:editId="79198C51">
                <wp:simplePos x="0" y="0"/>
                <wp:positionH relativeFrom="margin">
                  <wp:posOffset>-635</wp:posOffset>
                </wp:positionH>
                <wp:positionV relativeFrom="paragraph">
                  <wp:posOffset>5624830</wp:posOffset>
                </wp:positionV>
                <wp:extent cx="6012180" cy="1051560"/>
                <wp:effectExtent l="0" t="0" r="26670" b="15240"/>
                <wp:wrapSquare wrapText="bothSides"/>
                <wp:docPr id="3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1051560"/>
                        </a:xfrm>
                        <a:prstGeom prst="rect">
                          <a:avLst/>
                        </a:prstGeom>
                        <a:solidFill>
                          <a:srgbClr val="FFFFFF"/>
                        </a:solidFill>
                        <a:ln w="9525">
                          <a:solidFill>
                            <a:srgbClr val="000000"/>
                          </a:solidFill>
                          <a:miter lim="800000"/>
                          <a:headEnd/>
                          <a:tailEnd/>
                        </a:ln>
                      </wps:spPr>
                      <wps:txbx>
                        <w:txbxContent>
                          <w:p w:rsidR="007B1397" w:rsidRPr="00A1382D" w:rsidRDefault="007B1397" w:rsidP="001936E9">
                            <w:pPr>
                              <w:jc w:val="center"/>
                              <w:rPr>
                                <w:b/>
                              </w:rPr>
                            </w:pPr>
                            <w:r w:rsidRPr="00A1382D">
                              <w:rPr>
                                <w:b/>
                              </w:rPr>
                              <w:t>55% des effectifs des établissements publics ont entre 40 et 60 ans.</w:t>
                            </w:r>
                          </w:p>
                          <w:p w:rsidR="007B1397" w:rsidRPr="00A1382D" w:rsidRDefault="007B1397" w:rsidP="001936E9">
                            <w:pPr>
                              <w:jc w:val="center"/>
                              <w:rPr>
                                <w:b/>
                              </w:rPr>
                            </w:pPr>
                            <w:r w:rsidRPr="00A1382D">
                              <w:rPr>
                                <w:b/>
                              </w:rPr>
                              <w:t xml:space="preserve">La </w:t>
                            </w:r>
                            <w:r>
                              <w:rPr>
                                <w:b/>
                              </w:rPr>
                              <w:t>part des agents de</w:t>
                            </w:r>
                            <w:r w:rsidRPr="00A1382D">
                              <w:rPr>
                                <w:b/>
                              </w:rPr>
                              <w:t xml:space="preserve"> moins de 25 ans est la plus faible. </w:t>
                            </w:r>
                          </w:p>
                          <w:p w:rsidR="007B1397" w:rsidRPr="00A1382D" w:rsidRDefault="007B1397" w:rsidP="001936E9">
                            <w:pPr>
                              <w:jc w:val="center"/>
                              <w:rPr>
                                <w:b/>
                              </w:rPr>
                            </w:pPr>
                            <w:r w:rsidRPr="00A1382D">
                              <w:rPr>
                                <w:b/>
                              </w:rPr>
                              <w:t xml:space="preserve">Les effectifs ayant entre 68 et 83 ans correspondent à des personnalités reconnues intervenant à la Comédie Française, à l’Opéra national de Paris ou dans certaines écoles d’enseignement. </w:t>
                            </w:r>
                          </w:p>
                          <w:p w:rsidR="007B1397" w:rsidRPr="0092070A" w:rsidRDefault="007B1397" w:rsidP="001936E9">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C1B8B" id="_x0000_s1054" type="#_x0000_t202" style="position:absolute;margin-left:-.05pt;margin-top:442.9pt;width:473.4pt;height:82.8pt;z-index:251894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">
                <v:textbox>
                  <w:txbxContent>
                    <w:p w:rsidR="007B1397" w:rsidRPr="00A1382D" w:rsidRDefault="007B1397" w:rsidP="001936E9">
                      <w:pPr>
                        <w:jc w:val="center"/>
                        <w:rPr>
                          <w:b/>
                        </w:rPr>
                      </w:pPr>
                      <w:r w:rsidRPr="00A1382D">
                        <w:rPr>
                          <w:b/>
                        </w:rPr>
                        <w:t>55% des effectifs des établissements publics ont entre 40 et 60 ans.</w:t>
                      </w:r>
                    </w:p>
                    <w:p w:rsidR="007B1397" w:rsidRPr="00A1382D" w:rsidRDefault="007B1397" w:rsidP="001936E9">
                      <w:pPr>
                        <w:jc w:val="center"/>
                        <w:rPr>
                          <w:b/>
                        </w:rPr>
                      </w:pPr>
                      <w:r w:rsidRPr="00A1382D">
                        <w:rPr>
                          <w:b/>
                        </w:rPr>
                        <w:t xml:space="preserve">La </w:t>
                      </w:r>
                      <w:r>
                        <w:rPr>
                          <w:b/>
                        </w:rPr>
                        <w:t>part des agents de</w:t>
                      </w:r>
                      <w:r w:rsidRPr="00A1382D">
                        <w:rPr>
                          <w:b/>
                        </w:rPr>
                        <w:t xml:space="preserve"> moins de 25 ans est la plus faible. </w:t>
                      </w:r>
                    </w:p>
                    <w:p w:rsidR="007B1397" w:rsidRPr="00A1382D" w:rsidRDefault="007B1397" w:rsidP="001936E9">
                      <w:pPr>
                        <w:jc w:val="center"/>
                        <w:rPr>
                          <w:b/>
                        </w:rPr>
                      </w:pPr>
                      <w:r w:rsidRPr="00A1382D">
                        <w:rPr>
                          <w:b/>
                        </w:rPr>
                        <w:t xml:space="preserve">Les effectifs ayant entre 68 et 83 ans correspondent à des personnalités reconnues intervenant à la Comédie Française, à l’Opéra national de Paris ou dans certaines écoles d’enseignement. </w:t>
                      </w:r>
                    </w:p>
                    <w:p w:rsidR="007B1397" w:rsidRPr="0092070A" w:rsidRDefault="007B1397" w:rsidP="001936E9">
                      <w:pPr>
                        <w:jc w:val="center"/>
                        <w:rPr>
                          <w:b/>
                        </w:rPr>
                      </w:pPr>
                    </w:p>
                  </w:txbxContent>
                </v:textbox>
                <w10:wrap type="square" anchorx="margin"/>
              </v:shape>
            </w:pict>
          </mc:Fallback>
        </mc:AlternateContent>
      </w:r>
      <w:r>
        <w:rPr>
          <w:rFonts w:ascii="Times New Roman" w:eastAsia="Times New Roman" w:hAnsi="Times New Roman" w:cs="Times New Roman"/>
          <w:noProof/>
          <w:color w:val="000000"/>
          <w:lang w:eastAsia="fr-FR"/>
        </w:rPr>
        <w:drawing>
          <wp:inline distT="0" distB="0" distL="0" distR="0" wp14:anchorId="597208C7" wp14:editId="06C7A9A4">
            <wp:extent cx="5859780" cy="5187281"/>
            <wp:effectExtent l="0" t="0" r="7620" b="0"/>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8387" cy="5194900"/>
                    </a:xfrm>
                    <a:prstGeom prst="rect">
                      <a:avLst/>
                    </a:prstGeom>
                    <a:noFill/>
                  </pic:spPr>
                </pic:pic>
              </a:graphicData>
            </a:graphic>
          </wp:inline>
        </w:drawing>
      </w:r>
    </w:p>
    <w:p w:rsidR="001936E9" w:rsidRPr="004B4CC0" w:rsidRDefault="004B4CC0" w:rsidP="001936E9">
      <w:pPr>
        <w:spacing w:before="100" w:beforeAutospacing="1"/>
        <w:rPr>
          <w:rFonts w:ascii="Arial" w:eastAsia="Times New Roman" w:hAnsi="Arial" w:cs="Arial"/>
          <w:b/>
          <w:bCs/>
          <w:color w:val="000000"/>
          <w:lang w:eastAsia="fr-FR"/>
        </w:rPr>
      </w:pPr>
      <w:r w:rsidRPr="004B4CC0">
        <w:rPr>
          <w:rFonts w:ascii="Arial" w:eastAsia="Times New Roman" w:hAnsi="Arial" w:cs="Arial"/>
          <w:b/>
          <w:bCs/>
          <w:color w:val="000000"/>
          <w:lang w:eastAsia="fr-FR"/>
        </w:rPr>
        <w:lastRenderedPageBreak/>
        <w:t xml:space="preserve">Pyramide des âges </w:t>
      </w:r>
      <w:r w:rsidR="00612D21">
        <w:rPr>
          <w:rFonts w:ascii="Arial" w:eastAsia="Times New Roman" w:hAnsi="Arial" w:cs="Arial"/>
          <w:b/>
          <w:bCs/>
          <w:color w:val="000000"/>
          <w:lang w:eastAsia="fr-FR"/>
        </w:rPr>
        <w:t>en effectifs physiques des agents</w:t>
      </w:r>
      <w:r w:rsidRPr="004B4CC0">
        <w:rPr>
          <w:rFonts w:ascii="Arial" w:eastAsia="Times New Roman" w:hAnsi="Arial" w:cs="Arial"/>
          <w:b/>
          <w:bCs/>
          <w:color w:val="000000"/>
          <w:lang w:eastAsia="fr-FR"/>
        </w:rPr>
        <w:t xml:space="preserve"> du Titre 3</w:t>
      </w:r>
    </w:p>
    <w:p w:rsidR="004B4CC0" w:rsidRPr="001936E9" w:rsidRDefault="004B4CC0" w:rsidP="001936E9">
      <w:pPr>
        <w:spacing w:before="100" w:beforeAutospacing="1"/>
        <w:rPr>
          <w:rFonts w:ascii="Times New Roman" w:eastAsia="Times New Roman" w:hAnsi="Times New Roman" w:cs="Times New Roman"/>
          <w:color w:val="000000"/>
          <w:lang w:eastAsia="fr-FR"/>
        </w:rPr>
      </w:pPr>
      <w:r>
        <w:rPr>
          <w:rFonts w:ascii="Times New Roman" w:eastAsia="Times New Roman" w:hAnsi="Times New Roman" w:cs="Times New Roman"/>
          <w:noProof/>
          <w:color w:val="000000"/>
          <w:lang w:eastAsia="fr-FR"/>
        </w:rPr>
        <w:drawing>
          <wp:inline distT="0" distB="0" distL="0" distR="0" wp14:anchorId="22D6485B">
            <wp:extent cx="5860800" cy="5659568"/>
            <wp:effectExtent l="0" t="0" r="6985" b="0"/>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0800" cy="5659568"/>
                    </a:xfrm>
                    <a:prstGeom prst="rect">
                      <a:avLst/>
                    </a:prstGeom>
                    <a:noFill/>
                  </pic:spPr>
                </pic:pic>
              </a:graphicData>
            </a:graphic>
          </wp:inline>
        </w:drawing>
      </w:r>
    </w:p>
    <w:p w:rsidR="001936E9" w:rsidRPr="001936E9" w:rsidRDefault="004B4CC0" w:rsidP="001936E9">
      <w:pPr>
        <w:spacing w:after="160" w:line="259" w:lineRule="auto"/>
        <w:rPr>
          <w:rFonts w:ascii="Arial" w:eastAsia="Times New Roman" w:hAnsi="Arial" w:cs="Arial"/>
          <w:b/>
          <w:bCs/>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916288" behindDoc="0" locked="0" layoutInCell="1" allowOverlap="1" wp14:anchorId="7D51E293" wp14:editId="496E2E44">
                <wp:simplePos x="0" y="0"/>
                <wp:positionH relativeFrom="margin">
                  <wp:posOffset>-635</wp:posOffset>
                </wp:positionH>
                <wp:positionV relativeFrom="paragraph">
                  <wp:posOffset>334645</wp:posOffset>
                </wp:positionV>
                <wp:extent cx="6012180" cy="556260"/>
                <wp:effectExtent l="0" t="0" r="26670" b="15240"/>
                <wp:wrapSquare wrapText="bothSides"/>
                <wp:docPr id="3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556260"/>
                        </a:xfrm>
                        <a:prstGeom prst="rect">
                          <a:avLst/>
                        </a:prstGeom>
                        <a:solidFill>
                          <a:srgbClr val="FFFFFF"/>
                        </a:solidFill>
                        <a:ln w="9525">
                          <a:solidFill>
                            <a:srgbClr val="000000"/>
                          </a:solidFill>
                          <a:miter lim="800000"/>
                          <a:headEnd/>
                          <a:tailEnd/>
                        </a:ln>
                      </wps:spPr>
                      <wps:txbx>
                        <w:txbxContent>
                          <w:p w:rsidR="007B1397" w:rsidRDefault="007B1397" w:rsidP="00E12E45">
                            <w:pPr>
                              <w:jc w:val="center"/>
                              <w:rPr>
                                <w:b/>
                              </w:rPr>
                            </w:pPr>
                            <w:r>
                              <w:rPr>
                                <w:b/>
                              </w:rPr>
                              <w:t xml:space="preserve">La moyenne d’âge des agents du titre 3 est de 43 ans. </w:t>
                            </w:r>
                          </w:p>
                          <w:p w:rsidR="007B1397" w:rsidRPr="0092070A" w:rsidRDefault="007B1397" w:rsidP="00E12E45">
                            <w:pPr>
                              <w:jc w:val="center"/>
                              <w:rPr>
                                <w:b/>
                              </w:rPr>
                            </w:pPr>
                            <w:r>
                              <w:rPr>
                                <w:b/>
                              </w:rPr>
                              <w:t xml:space="preserve">67% des agents ont moins de 50 ans, et 9% ont plus de 60 ans.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1E293" id="_x0000_s1055" type="#_x0000_t202" style="position:absolute;margin-left:-.05pt;margin-top:26.35pt;width:473.4pt;height:43.8pt;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">
                <v:textbox>
                  <w:txbxContent>
                    <w:p w:rsidR="007B1397" w:rsidRDefault="007B1397" w:rsidP="00E12E45">
                      <w:pPr>
                        <w:jc w:val="center"/>
                        <w:rPr>
                          <w:b/>
                        </w:rPr>
                      </w:pPr>
                      <w:r>
                        <w:rPr>
                          <w:b/>
                        </w:rPr>
                        <w:t xml:space="preserve">La moyenne d’âge des agents du titre 3 est de 43 ans. </w:t>
                      </w:r>
                    </w:p>
                    <w:p w:rsidR="007B1397" w:rsidRPr="0092070A" w:rsidRDefault="007B1397" w:rsidP="00E12E45">
                      <w:pPr>
                        <w:jc w:val="center"/>
                        <w:rPr>
                          <w:b/>
                        </w:rPr>
                      </w:pPr>
                      <w:r>
                        <w:rPr>
                          <w:b/>
                        </w:rPr>
                        <w:t xml:space="preserve">67% des agents ont moins de 50 ans, et 9% ont plus de 60 ans. </w:t>
                      </w:r>
                    </w:p>
                  </w:txbxContent>
                </v:textbox>
                <w10:wrap type="square" anchorx="margin"/>
              </v:shape>
            </w:pict>
          </mc:Fallback>
        </mc:AlternateContent>
      </w:r>
    </w:p>
    <w:p w:rsidR="004B4CC0" w:rsidRDefault="004B4CC0">
      <w:pPr>
        <w:spacing w:after="160" w:line="259" w:lineRule="auto"/>
        <w:rPr>
          <w:rFonts w:ascii="Arial" w:eastAsia="Times New Roman" w:hAnsi="Arial" w:cs="Arial"/>
          <w:b/>
          <w:bCs/>
          <w:color w:val="000000"/>
          <w:lang w:eastAsia="fr-FR"/>
        </w:rPr>
      </w:pPr>
      <w:r>
        <w:rPr>
          <w:rFonts w:ascii="Arial" w:eastAsia="Times New Roman" w:hAnsi="Arial" w:cs="Arial"/>
          <w:b/>
          <w:bCs/>
          <w:color w:val="000000"/>
          <w:lang w:eastAsia="fr-FR"/>
        </w:rPr>
        <w:br w:type="page"/>
      </w:r>
    </w:p>
    <w:p w:rsidR="001936E9" w:rsidRDefault="001936E9" w:rsidP="001936E9">
      <w:pPr>
        <w:spacing w:before="100" w:beforeAutospacing="1"/>
        <w:rPr>
          <w:rFonts w:ascii="Arial" w:eastAsia="Times New Roman" w:hAnsi="Arial" w:cs="Arial"/>
          <w:b/>
          <w:bCs/>
          <w:color w:val="000000"/>
          <w:lang w:eastAsia="fr-FR"/>
        </w:rPr>
      </w:pPr>
      <w:r w:rsidRPr="001936E9">
        <w:rPr>
          <w:rFonts w:ascii="Arial" w:eastAsia="Times New Roman" w:hAnsi="Arial" w:cs="Arial"/>
          <w:b/>
          <w:bCs/>
          <w:color w:val="000000"/>
          <w:lang w:eastAsia="fr-FR"/>
        </w:rPr>
        <w:lastRenderedPageBreak/>
        <w:t>Ventilation des familles de métier au sein de</w:t>
      </w:r>
      <w:r w:rsidR="00394ADD">
        <w:rPr>
          <w:rFonts w:ascii="Arial" w:eastAsia="Times New Roman" w:hAnsi="Arial" w:cs="Arial"/>
          <w:b/>
          <w:bCs/>
          <w:color w:val="000000"/>
          <w:lang w:eastAsia="fr-FR"/>
        </w:rPr>
        <w:t xml:space="preserve"> chaque catégorie de personnel </w:t>
      </w:r>
    </w:p>
    <w:p w:rsidR="00394ADD" w:rsidRPr="001936E9" w:rsidRDefault="00394ADD" w:rsidP="00394ADD">
      <w:pPr>
        <w:rPr>
          <w:rFonts w:ascii="Arial" w:eastAsia="Times New Roman" w:hAnsi="Arial" w:cs="Arial"/>
          <w:b/>
          <w:bCs/>
          <w:color w:val="000000"/>
          <w:lang w:eastAsia="fr-FR"/>
        </w:rPr>
      </w:pPr>
    </w:p>
    <w:p w:rsidR="00B92D79" w:rsidRDefault="0034370E" w:rsidP="001936E9">
      <w:pPr>
        <w:spacing w:after="160" w:line="259" w:lineRule="auto"/>
        <w:jc w:val="center"/>
        <w:rPr>
          <w:rFonts w:ascii="Calibri" w:eastAsia="Calibri" w:hAnsi="Calibri" w:cs="Times New Roman"/>
          <w:sz w:val="22"/>
          <w:szCs w:val="22"/>
        </w:rPr>
      </w:pPr>
      <w:r>
        <w:rPr>
          <w:rFonts w:ascii="Calibri" w:eastAsia="Calibri" w:hAnsi="Calibri" w:cs="Times New Roman"/>
          <w:noProof/>
          <w:sz w:val="22"/>
          <w:szCs w:val="22"/>
          <w:lang w:eastAsia="fr-FR"/>
        </w:rPr>
        <w:drawing>
          <wp:inline distT="0" distB="0" distL="0" distR="0" wp14:anchorId="02A15E87">
            <wp:extent cx="5760720" cy="4137629"/>
            <wp:effectExtent l="0" t="0" r="0" b="0"/>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79762" cy="4151306"/>
                    </a:xfrm>
                    <a:prstGeom prst="rect">
                      <a:avLst/>
                    </a:prstGeom>
                    <a:noFill/>
                  </pic:spPr>
                </pic:pic>
              </a:graphicData>
            </a:graphic>
          </wp:inline>
        </w:drawing>
      </w:r>
    </w:p>
    <w:p w:rsidR="0034370E" w:rsidRPr="001936E9" w:rsidRDefault="0034370E" w:rsidP="0034370E">
      <w:pPr>
        <w:tabs>
          <w:tab w:val="left" w:pos="949"/>
        </w:tabs>
        <w:jc w:val="center"/>
        <w:rPr>
          <w:rFonts w:ascii="Calibri" w:eastAsia="Calibri" w:hAnsi="Calibri" w:cs="Times New Roman"/>
          <w:sz w:val="22"/>
          <w:szCs w:val="22"/>
        </w:rPr>
      </w:pPr>
      <w:r>
        <w:rPr>
          <w:rFonts w:ascii="Calibri" w:eastAsia="Calibri" w:hAnsi="Calibri" w:cs="Times New Roman"/>
          <w:noProof/>
          <w:sz w:val="22"/>
          <w:szCs w:val="22"/>
          <w:lang w:eastAsia="fr-FR"/>
        </w:rPr>
        <w:drawing>
          <wp:inline distT="0" distB="0" distL="0" distR="0" wp14:anchorId="55FD8B1B">
            <wp:extent cx="5893813" cy="3931920"/>
            <wp:effectExtent l="0" t="0" r="0" b="0"/>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95598" cy="3933111"/>
                    </a:xfrm>
                    <a:prstGeom prst="rect">
                      <a:avLst/>
                    </a:prstGeom>
                    <a:noFill/>
                  </pic:spPr>
                </pic:pic>
              </a:graphicData>
            </a:graphic>
          </wp:inline>
        </w:drawing>
      </w:r>
    </w:p>
    <w:p w:rsidR="001936E9" w:rsidRDefault="001936E9" w:rsidP="00394ADD">
      <w:pPr>
        <w:spacing w:line="259" w:lineRule="auto"/>
        <w:ind w:firstLine="708"/>
        <w:jc w:val="center"/>
        <w:rPr>
          <w:rFonts w:ascii="Calibri" w:eastAsia="Calibri" w:hAnsi="Calibri" w:cs="Times New Roman"/>
          <w:sz w:val="22"/>
          <w:szCs w:val="22"/>
        </w:rPr>
      </w:pPr>
    </w:p>
    <w:p w:rsidR="0034370E" w:rsidRPr="001936E9" w:rsidRDefault="0034370E" w:rsidP="00394ADD">
      <w:pPr>
        <w:spacing w:line="259" w:lineRule="auto"/>
        <w:ind w:firstLine="708"/>
        <w:jc w:val="center"/>
        <w:rPr>
          <w:rFonts w:ascii="Calibri" w:eastAsia="Calibri" w:hAnsi="Calibri" w:cs="Times New Roman"/>
          <w:sz w:val="22"/>
          <w:szCs w:val="22"/>
        </w:rPr>
      </w:pPr>
    </w:p>
    <w:p w:rsidR="001936E9" w:rsidRDefault="0034370E" w:rsidP="001936E9">
      <w:pPr>
        <w:tabs>
          <w:tab w:val="left" w:pos="1269"/>
        </w:tabs>
        <w:spacing w:after="160" w:line="259" w:lineRule="auto"/>
        <w:jc w:val="center"/>
        <w:rPr>
          <w:rFonts w:ascii="Calibri" w:eastAsia="Calibri" w:hAnsi="Calibri" w:cs="Times New Roman"/>
          <w:sz w:val="22"/>
          <w:szCs w:val="22"/>
        </w:rPr>
      </w:pPr>
      <w:r>
        <w:rPr>
          <w:rFonts w:ascii="Calibri" w:eastAsia="Calibri" w:hAnsi="Calibri" w:cs="Times New Roman"/>
          <w:noProof/>
          <w:sz w:val="22"/>
          <w:szCs w:val="22"/>
          <w:lang w:eastAsia="fr-FR"/>
        </w:rPr>
        <w:lastRenderedPageBreak/>
        <w:drawing>
          <wp:inline distT="0" distB="0" distL="0" distR="0" wp14:anchorId="54EB304F">
            <wp:extent cx="5051939" cy="4023360"/>
            <wp:effectExtent l="0" t="0" r="0" b="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58448" cy="4028543"/>
                    </a:xfrm>
                    <a:prstGeom prst="rect">
                      <a:avLst/>
                    </a:prstGeom>
                    <a:noFill/>
                  </pic:spPr>
                </pic:pic>
              </a:graphicData>
            </a:graphic>
          </wp:inline>
        </w:drawing>
      </w:r>
    </w:p>
    <w:p w:rsidR="00402B6A" w:rsidRPr="0034370E" w:rsidRDefault="00402B6A" w:rsidP="00402B6A">
      <w:pPr>
        <w:widowControl w:val="0"/>
        <w:autoSpaceDE w:val="0"/>
        <w:autoSpaceDN w:val="0"/>
        <w:adjustRightInd w:val="0"/>
        <w:jc w:val="both"/>
        <w:rPr>
          <w:rFonts w:ascii="Arial" w:eastAsia="Cambria" w:hAnsi="Arial" w:cs="Times New Roman"/>
          <w:sz w:val="22"/>
          <w:szCs w:val="22"/>
        </w:rPr>
      </w:pPr>
      <w:r w:rsidRPr="0034370E">
        <w:rPr>
          <w:rFonts w:ascii="Arial" w:eastAsia="Cambria" w:hAnsi="Arial" w:cs="Times New Roman"/>
          <w:sz w:val="22"/>
          <w:szCs w:val="22"/>
        </w:rPr>
        <w:t>Précision :</w:t>
      </w:r>
    </w:p>
    <w:p w:rsidR="00402B6A" w:rsidRPr="0034370E" w:rsidRDefault="00402B6A" w:rsidP="00402B6A">
      <w:pPr>
        <w:widowControl w:val="0"/>
        <w:autoSpaceDE w:val="0"/>
        <w:autoSpaceDN w:val="0"/>
        <w:adjustRightInd w:val="0"/>
        <w:jc w:val="both"/>
        <w:rPr>
          <w:rFonts w:ascii="Arial" w:eastAsia="Cambria" w:hAnsi="Arial" w:cs="Times New Roman"/>
          <w:sz w:val="22"/>
          <w:szCs w:val="22"/>
        </w:rPr>
      </w:pPr>
      <w:r w:rsidRPr="0034370E">
        <w:rPr>
          <w:rFonts w:ascii="Arial" w:eastAsia="Cambria" w:hAnsi="Arial" w:cs="Times New Roman"/>
          <w:sz w:val="22"/>
          <w:szCs w:val="22"/>
        </w:rPr>
        <w:t xml:space="preserve">La famille de métier « Affaires générales » correspond aux métiers qui contribuent au fonctionnement général des établissements publics. Dans le répertoire des métiers du ministère de la Culture et de la Communication (RMCC), elle regroupe les métiers suivants : coordonnateur d’administration générale, secrétaire, assistant de direction, gestionnaire - instructeur administratif, assistant administratif , rédacteur, expert en qualité, expert en ingénierie d’achat, responsable d’une entité d’achat, acheteur public, chargé des marchés publics et des aspects juridiques de la dépense, responsable de centre de ressources documentaires, gestionnaire de ressources documentaires, gestionnaire courrier – archives courantes. </w:t>
      </w:r>
    </w:p>
    <w:p w:rsidR="00402B6A" w:rsidRDefault="00402B6A" w:rsidP="00402B6A">
      <w:pPr>
        <w:tabs>
          <w:tab w:val="left" w:pos="949"/>
        </w:tabs>
        <w:rPr>
          <w:rFonts w:ascii="Calibri" w:eastAsia="Calibri" w:hAnsi="Calibri" w:cs="Times New Roman"/>
          <w:noProof/>
          <w:sz w:val="22"/>
          <w:szCs w:val="22"/>
          <w:lang w:eastAsia="fr-FR"/>
        </w:rPr>
      </w:pPr>
    </w:p>
    <w:p w:rsidR="00402B6A" w:rsidRDefault="00402B6A" w:rsidP="001936E9">
      <w:pPr>
        <w:tabs>
          <w:tab w:val="left" w:pos="1269"/>
        </w:tabs>
        <w:spacing w:after="160" w:line="259" w:lineRule="auto"/>
        <w:jc w:val="center"/>
        <w:rPr>
          <w:rFonts w:ascii="Calibri" w:eastAsia="Calibri" w:hAnsi="Calibri" w:cs="Times New Roman"/>
          <w:sz w:val="22"/>
          <w:szCs w:val="22"/>
        </w:rPr>
      </w:pPr>
    </w:p>
    <w:p w:rsidR="0034370E" w:rsidRPr="001936E9" w:rsidRDefault="0034370E" w:rsidP="001936E9">
      <w:pPr>
        <w:tabs>
          <w:tab w:val="left" w:pos="1269"/>
        </w:tabs>
        <w:spacing w:after="160" w:line="259" w:lineRule="auto"/>
        <w:jc w:val="center"/>
        <w:rPr>
          <w:rFonts w:ascii="Calibri" w:eastAsia="Calibri" w:hAnsi="Calibri" w:cs="Times New Roman"/>
          <w:sz w:val="22"/>
          <w:szCs w:val="22"/>
        </w:rPr>
      </w:pPr>
      <w:r>
        <w:rPr>
          <w:rFonts w:ascii="Calibri" w:eastAsia="Calibri" w:hAnsi="Calibri" w:cs="Times New Roman"/>
          <w:noProof/>
          <w:sz w:val="22"/>
          <w:szCs w:val="22"/>
          <w:lang w:eastAsia="fr-FR"/>
        </w:rPr>
        <w:lastRenderedPageBreak/>
        <w:drawing>
          <wp:inline distT="0" distB="0" distL="0" distR="0" wp14:anchorId="7771721D">
            <wp:extent cx="5257763" cy="4130040"/>
            <wp:effectExtent l="0" t="0" r="635" b="381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63754" cy="4134746"/>
                    </a:xfrm>
                    <a:prstGeom prst="rect">
                      <a:avLst/>
                    </a:prstGeom>
                    <a:noFill/>
                  </pic:spPr>
                </pic:pic>
              </a:graphicData>
            </a:graphic>
          </wp:inline>
        </w:drawing>
      </w:r>
    </w:p>
    <w:p w:rsidR="001936E9" w:rsidRDefault="0034370E" w:rsidP="001936E9">
      <w:pPr>
        <w:tabs>
          <w:tab w:val="left" w:pos="1269"/>
        </w:tabs>
        <w:spacing w:after="160" w:line="259" w:lineRule="auto"/>
        <w:jc w:val="center"/>
        <w:rPr>
          <w:rFonts w:ascii="Calibri" w:eastAsia="Calibri" w:hAnsi="Calibri" w:cs="Times New Roman"/>
          <w:sz w:val="22"/>
          <w:szCs w:val="22"/>
        </w:rPr>
      </w:pPr>
      <w:r>
        <w:rPr>
          <w:rFonts w:ascii="Calibri" w:eastAsia="Calibri" w:hAnsi="Calibri" w:cs="Times New Roman"/>
          <w:noProof/>
          <w:sz w:val="22"/>
          <w:szCs w:val="22"/>
          <w:lang w:eastAsia="fr-FR"/>
        </w:rPr>
        <w:drawing>
          <wp:inline distT="0" distB="0" distL="0" distR="0" wp14:anchorId="66D63D7C">
            <wp:extent cx="5795879" cy="4137660"/>
            <wp:effectExtent l="0" t="0" r="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02079" cy="4142086"/>
                    </a:xfrm>
                    <a:prstGeom prst="rect">
                      <a:avLst/>
                    </a:prstGeom>
                    <a:noFill/>
                  </pic:spPr>
                </pic:pic>
              </a:graphicData>
            </a:graphic>
          </wp:inline>
        </w:drawing>
      </w:r>
    </w:p>
    <w:p w:rsidR="00DA2118" w:rsidRPr="001936E9" w:rsidRDefault="0034370E" w:rsidP="001936E9">
      <w:pPr>
        <w:tabs>
          <w:tab w:val="left" w:pos="1269"/>
        </w:tabs>
        <w:spacing w:after="160" w:line="259" w:lineRule="auto"/>
        <w:jc w:val="center"/>
        <w:rPr>
          <w:rFonts w:ascii="Calibri" w:eastAsia="Calibri" w:hAnsi="Calibri" w:cs="Times New Roman"/>
          <w:sz w:val="22"/>
          <w:szCs w:val="22"/>
        </w:rPr>
      </w:pPr>
      <w:r>
        <w:rPr>
          <w:rFonts w:ascii="Calibri" w:eastAsia="Calibri" w:hAnsi="Calibri" w:cs="Times New Roman"/>
          <w:noProof/>
          <w:sz w:val="22"/>
          <w:szCs w:val="22"/>
          <w:lang w:eastAsia="fr-FR"/>
        </w:rPr>
        <w:lastRenderedPageBreak/>
        <w:drawing>
          <wp:inline distT="0" distB="0" distL="0" distR="0" wp14:anchorId="5D234CAD">
            <wp:extent cx="6035418" cy="3916680"/>
            <wp:effectExtent l="0" t="0" r="3810" b="7620"/>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37505" cy="3918034"/>
                    </a:xfrm>
                    <a:prstGeom prst="rect">
                      <a:avLst/>
                    </a:prstGeom>
                    <a:noFill/>
                  </pic:spPr>
                </pic:pic>
              </a:graphicData>
            </a:graphic>
          </wp:inline>
        </w:drawing>
      </w:r>
    </w:p>
    <w:p w:rsidR="001936E9" w:rsidRDefault="001936E9" w:rsidP="00D54C8C">
      <w:pPr>
        <w:spacing w:after="160" w:line="259" w:lineRule="auto"/>
        <w:rPr>
          <w:rFonts w:ascii="Calibri" w:eastAsia="Calibri" w:hAnsi="Calibri" w:cs="Times New Roman"/>
          <w:sz w:val="22"/>
          <w:szCs w:val="22"/>
        </w:rPr>
      </w:pPr>
    </w:p>
    <w:p w:rsidR="00D54C8C" w:rsidRPr="00D54C8C" w:rsidRDefault="00D54C8C" w:rsidP="00D54C8C">
      <w:pPr>
        <w:tabs>
          <w:tab w:val="left" w:pos="1220"/>
        </w:tabs>
        <w:jc w:val="both"/>
        <w:rPr>
          <w:rFonts w:ascii="Arial" w:eastAsia="Cambria" w:hAnsi="Arial" w:cs="Times New Roman"/>
          <w:b/>
        </w:rPr>
      </w:pPr>
      <w:r w:rsidRPr="00D54C8C">
        <w:rPr>
          <w:rFonts w:ascii="Arial" w:eastAsia="Cambria" w:hAnsi="Arial" w:cs="Times New Roman"/>
          <w:b/>
        </w:rPr>
        <w:t>Répartition des effectifs des établissements publics entre EPA et EPIC en ETPT</w:t>
      </w:r>
    </w:p>
    <w:p w:rsidR="00D54C8C" w:rsidRDefault="0005511E" w:rsidP="00D54C8C">
      <w:pPr>
        <w:spacing w:after="160" w:line="259" w:lineRule="auto"/>
        <w:jc w:val="center"/>
        <w:rPr>
          <w:rFonts w:ascii="Calibri" w:eastAsia="Calibri" w:hAnsi="Calibri" w:cs="Times New Roman"/>
          <w:sz w:val="22"/>
          <w:szCs w:val="22"/>
        </w:rPr>
      </w:pPr>
      <w:r>
        <w:rPr>
          <w:rFonts w:ascii="Calibri" w:eastAsia="Calibri" w:hAnsi="Calibri" w:cs="Times New Roman"/>
          <w:noProof/>
          <w:sz w:val="22"/>
          <w:szCs w:val="22"/>
          <w:lang w:eastAsia="fr-FR"/>
        </w:rPr>
        <w:drawing>
          <wp:inline distT="0" distB="0" distL="0" distR="0" wp14:anchorId="40CFD823">
            <wp:extent cx="5414010" cy="3066415"/>
            <wp:effectExtent l="0" t="0" r="0" b="635"/>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14010" cy="3066415"/>
                    </a:xfrm>
                    <a:prstGeom prst="rect">
                      <a:avLst/>
                    </a:prstGeom>
                    <a:noFill/>
                  </pic:spPr>
                </pic:pic>
              </a:graphicData>
            </a:graphic>
          </wp:inline>
        </w:drawing>
      </w:r>
    </w:p>
    <w:p w:rsidR="00660B6D" w:rsidRDefault="006B67BC" w:rsidP="00D54C8C">
      <w:pPr>
        <w:spacing w:after="160" w:line="259" w:lineRule="auto"/>
        <w:jc w:val="center"/>
        <w:rPr>
          <w:rFonts w:ascii="Calibri" w:eastAsia="Calibri" w:hAnsi="Calibri" w:cs="Times New Roman"/>
          <w:sz w:val="22"/>
          <w:szCs w:val="22"/>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911168" behindDoc="0" locked="0" layoutInCell="1" allowOverlap="1" wp14:anchorId="7CD258F7" wp14:editId="2CABFBEF">
                <wp:simplePos x="0" y="0"/>
                <wp:positionH relativeFrom="margin">
                  <wp:posOffset>448945</wp:posOffset>
                </wp:positionH>
                <wp:positionV relativeFrom="paragraph">
                  <wp:posOffset>5715</wp:posOffset>
                </wp:positionV>
                <wp:extent cx="5463540" cy="1404620"/>
                <wp:effectExtent l="0" t="0" r="22860" b="18415"/>
                <wp:wrapSquare wrapText="bothSides"/>
                <wp:docPr id="1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1404620"/>
                        </a:xfrm>
                        <a:prstGeom prst="rect">
                          <a:avLst/>
                        </a:prstGeom>
                        <a:solidFill>
                          <a:srgbClr val="FFFFFF"/>
                        </a:solidFill>
                        <a:ln w="9525">
                          <a:solidFill>
                            <a:srgbClr val="000000"/>
                          </a:solidFill>
                          <a:miter lim="800000"/>
                          <a:headEnd/>
                          <a:tailEnd/>
                        </a:ln>
                      </wps:spPr>
                      <wps:txbx>
                        <w:txbxContent>
                          <w:p w:rsidR="007B1397" w:rsidRPr="0092070A" w:rsidRDefault="007B1397" w:rsidP="006B67BC">
                            <w:pPr>
                              <w:jc w:val="center"/>
                              <w:rPr>
                                <w:b/>
                              </w:rPr>
                            </w:pPr>
                            <w:r>
                              <w:rPr>
                                <w:b/>
                              </w:rPr>
                              <w:t xml:space="preserve">76% des agents des EP travaillent dans un établissement public à caractère administratif.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D258F7" id="_x0000_s1056" type="#_x0000_t202" style="position:absolute;left:0;text-align:left;margin-left:35.35pt;margin-top:.45pt;width:430.2pt;height:110.6pt;z-index:251911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">
                <v:textbox style="mso-fit-shape-to-text:t">
                  <w:txbxContent>
                    <w:p w:rsidR="007B1397" w:rsidRPr="0092070A" w:rsidRDefault="007B1397" w:rsidP="006B67BC">
                      <w:pPr>
                        <w:jc w:val="center"/>
                        <w:rPr>
                          <w:b/>
                        </w:rPr>
                      </w:pPr>
                      <w:r>
                        <w:rPr>
                          <w:b/>
                        </w:rPr>
                        <w:t xml:space="preserve">76% des agents des EP travaillent dans un établissement public à caractère administratif. </w:t>
                      </w:r>
                    </w:p>
                  </w:txbxContent>
                </v:textbox>
                <w10:wrap type="square" anchorx="margin"/>
              </v:shape>
            </w:pict>
          </mc:Fallback>
        </mc:AlternateContent>
      </w:r>
    </w:p>
    <w:p w:rsidR="00660B6D" w:rsidRPr="001936E9" w:rsidRDefault="00660B6D" w:rsidP="00D54C8C">
      <w:pPr>
        <w:spacing w:after="160" w:line="259" w:lineRule="auto"/>
        <w:jc w:val="center"/>
        <w:rPr>
          <w:rFonts w:ascii="Calibri" w:eastAsia="Calibri" w:hAnsi="Calibri" w:cs="Times New Roman"/>
          <w:sz w:val="22"/>
          <w:szCs w:val="22"/>
        </w:rPr>
      </w:pPr>
    </w:p>
    <w:p w:rsidR="00D54C8C" w:rsidRDefault="00D54C8C">
      <w:pPr>
        <w:spacing w:after="160" w:line="259" w:lineRule="auto"/>
        <w:rPr>
          <w:rFonts w:ascii="Florencesans Exp" w:eastAsia="Cambria" w:hAnsi="Florencesans Exp" w:cs="Times New Roman"/>
        </w:rPr>
      </w:pPr>
      <w:bookmarkStart w:id="1" w:name="_Toc406770614"/>
      <w:r>
        <w:rPr>
          <w:rFonts w:ascii="Florencesans Exp" w:eastAsia="Cambria" w:hAnsi="Florencesans Exp" w:cs="Times New Roman"/>
        </w:rPr>
        <w:br w:type="page"/>
      </w:r>
    </w:p>
    <w:p w:rsidR="001936E9" w:rsidRPr="001936E9" w:rsidRDefault="00302249" w:rsidP="00302249">
      <w:pPr>
        <w:widowControl w:val="0"/>
        <w:autoSpaceDE w:val="0"/>
        <w:autoSpaceDN w:val="0"/>
        <w:adjustRightInd w:val="0"/>
        <w:rPr>
          <w:rFonts w:ascii="Florencesans Exp" w:eastAsia="Cambria" w:hAnsi="Florencesans Exp" w:cs="Times New Roman"/>
        </w:rPr>
      </w:pPr>
      <w:r>
        <w:rPr>
          <w:rFonts w:ascii="Florencesans Exp" w:eastAsia="Cambria" w:hAnsi="Florencesans Exp" w:cs="Times New Roman"/>
        </w:rPr>
        <w:lastRenderedPageBreak/>
        <w:t>1. B. 2.</w:t>
      </w:r>
      <w:r w:rsidR="001936E9" w:rsidRPr="001936E9">
        <w:rPr>
          <w:rFonts w:ascii="Florencesans Exp" w:eastAsia="Cambria" w:hAnsi="Florencesans Exp" w:cs="Times New Roman"/>
        </w:rPr>
        <w:t xml:space="preserve"> PRESENTATION DES EFFECTIFS EN ACTIVITE AU SEIN DES ETABLISSEMENTS PUBLICS A CARACTERE ADMINISTRATIF (EPA)</w:t>
      </w:r>
      <w:bookmarkEnd w:id="1"/>
    </w:p>
    <w:p w:rsidR="001936E9" w:rsidRPr="001936E9" w:rsidRDefault="001936E9" w:rsidP="001936E9">
      <w:pPr>
        <w:tabs>
          <w:tab w:val="left" w:pos="1220"/>
        </w:tabs>
        <w:rPr>
          <w:rFonts w:ascii="BlairMdITC TT-Medium" w:eastAsia="Cambria" w:hAnsi="BlairMdITC TT-Medium" w:cs="Times New Roman"/>
          <w:b/>
          <w:color w:val="FF0080"/>
        </w:rPr>
      </w:pP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t xml:space="preserve">Répartition T2/T3 en ETPT dans les EPA </w:t>
      </w:r>
    </w:p>
    <w:p w:rsidR="001936E9" w:rsidRPr="001936E9" w:rsidRDefault="00D104FD" w:rsidP="0005511E">
      <w:pPr>
        <w:tabs>
          <w:tab w:val="left" w:pos="1220"/>
        </w:tabs>
        <w:rPr>
          <w:rFonts w:ascii="Arial" w:eastAsia="Cambria" w:hAnsi="Arial" w:cs="Times New Roman"/>
          <w:b/>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6832" behindDoc="0" locked="0" layoutInCell="1" allowOverlap="1" wp14:anchorId="57082210" wp14:editId="6E0FA8A2">
                <wp:simplePos x="0" y="0"/>
                <wp:positionH relativeFrom="margin">
                  <wp:posOffset>4358005</wp:posOffset>
                </wp:positionH>
                <wp:positionV relativeFrom="page">
                  <wp:posOffset>2529840</wp:posOffset>
                </wp:positionV>
                <wp:extent cx="1653540" cy="844550"/>
                <wp:effectExtent l="0" t="0" r="22860" b="27305"/>
                <wp:wrapSquare wrapText="bothSides"/>
                <wp:docPr id="3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844550"/>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jc w:val="center"/>
                              <w:rPr>
                                <w:b/>
                              </w:rPr>
                            </w:pPr>
                            <w:r>
                              <w:rPr>
                                <w:b/>
                              </w:rPr>
                              <w:t xml:space="preserve">71% des agents des EPA sont rémunérés sur le titre 3.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082210" id="_x0000_s1057" type="#_x0000_t202" style="position:absolute;margin-left:343.15pt;margin-top:199.2pt;width:130.2pt;height:66.5pt;z-index:2518968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">
                <v:textbox style="mso-fit-shape-to-text:t">
                  <w:txbxContent>
                    <w:p w:rsidR="007B1397" w:rsidRPr="0092070A" w:rsidRDefault="007B1397" w:rsidP="001936E9">
                      <w:pPr>
                        <w:jc w:val="center"/>
                        <w:rPr>
                          <w:b/>
                        </w:rPr>
                      </w:pPr>
                      <w:r>
                        <w:rPr>
                          <w:b/>
                        </w:rPr>
                        <w:t xml:space="preserve">71% des agents des EPA sont rémunérés sur le titre 3. </w:t>
                      </w:r>
                    </w:p>
                  </w:txbxContent>
                </v:textbox>
                <w10:wrap type="square" anchorx="margin" anchory="page"/>
              </v:shape>
            </w:pict>
          </mc:Fallback>
        </mc:AlternateContent>
      </w:r>
      <w:r w:rsidR="0005511E">
        <w:rPr>
          <w:rFonts w:ascii="Arial" w:eastAsia="Cambria" w:hAnsi="Arial" w:cs="Times New Roman"/>
          <w:b/>
          <w:noProof/>
          <w:lang w:eastAsia="fr-FR"/>
        </w:rPr>
        <w:drawing>
          <wp:inline distT="0" distB="0" distL="0" distR="0" wp14:anchorId="0C833278">
            <wp:extent cx="3855720" cy="2356485"/>
            <wp:effectExtent l="0" t="0" r="0" b="5715"/>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57665" cy="2357674"/>
                    </a:xfrm>
                    <a:prstGeom prst="rect">
                      <a:avLst/>
                    </a:prstGeom>
                    <a:noFill/>
                  </pic:spPr>
                </pic:pic>
              </a:graphicData>
            </a:graphic>
          </wp:inline>
        </w:drawing>
      </w:r>
    </w:p>
    <w:p w:rsidR="00FE021B" w:rsidRDefault="00FE021B" w:rsidP="001936E9">
      <w:pPr>
        <w:tabs>
          <w:tab w:val="left" w:pos="1220"/>
        </w:tabs>
        <w:jc w:val="both"/>
        <w:rPr>
          <w:rFonts w:ascii="Arial" w:eastAsia="Cambria" w:hAnsi="Arial" w:cs="Times New Roman"/>
          <w:b/>
        </w:rPr>
      </w:pP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t>Répartition hommes/femmes des effectifs des EPA en ETPT (T2 - T3)</w:t>
      </w:r>
    </w:p>
    <w:p w:rsidR="001936E9" w:rsidRPr="001936E9" w:rsidRDefault="00B93019" w:rsidP="001D664E">
      <w:pPr>
        <w:tabs>
          <w:tab w:val="left" w:pos="1220"/>
        </w:tabs>
        <w:rPr>
          <w:rFonts w:ascii="Arial" w:eastAsia="Cambria" w:hAnsi="Arial" w:cs="Times New Roman"/>
        </w:rPr>
      </w:pPr>
      <w:r>
        <w:rPr>
          <w:rFonts w:ascii="Arial" w:eastAsia="Cambria" w:hAnsi="Arial" w:cs="Times New Roman"/>
          <w:noProof/>
          <w:lang w:eastAsia="fr-FR"/>
        </w:rPr>
        <w:drawing>
          <wp:inline distT="0" distB="0" distL="0" distR="0" wp14:anchorId="7080AA35">
            <wp:extent cx="3985260" cy="2393366"/>
            <wp:effectExtent l="0" t="0" r="0" b="698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94388" cy="2398848"/>
                    </a:xfrm>
                    <a:prstGeom prst="rect">
                      <a:avLst/>
                    </a:prstGeom>
                    <a:noFill/>
                  </pic:spPr>
                </pic:pic>
              </a:graphicData>
            </a:graphic>
          </wp:inline>
        </w:drawing>
      </w:r>
    </w:p>
    <w:p w:rsidR="008E3941" w:rsidRDefault="008E3941" w:rsidP="001936E9">
      <w:pPr>
        <w:tabs>
          <w:tab w:val="left" w:pos="1220"/>
        </w:tabs>
        <w:jc w:val="both"/>
        <w:rPr>
          <w:rFonts w:ascii="Arial" w:eastAsia="Cambria" w:hAnsi="Arial" w:cs="Times New Roman"/>
          <w:b/>
        </w:rPr>
      </w:pPr>
    </w:p>
    <w:p w:rsidR="001936E9" w:rsidRPr="001936E9" w:rsidRDefault="008E3941" w:rsidP="001936E9">
      <w:pPr>
        <w:tabs>
          <w:tab w:val="left" w:pos="1220"/>
        </w:tabs>
        <w:jc w:val="both"/>
        <w:rPr>
          <w:rFonts w:ascii="Arial" w:eastAsia="Cambria" w:hAnsi="Arial" w:cs="Times New Roman"/>
          <w:b/>
        </w:rPr>
      </w:pPr>
      <w:r>
        <w:rPr>
          <w:rFonts w:ascii="Arial" w:eastAsia="Cambria" w:hAnsi="Arial" w:cs="Times New Roman"/>
          <w:b/>
        </w:rPr>
        <w:t>R</w:t>
      </w:r>
      <w:r w:rsidR="001936E9" w:rsidRPr="001936E9">
        <w:rPr>
          <w:rFonts w:ascii="Arial" w:eastAsia="Cambria" w:hAnsi="Arial" w:cs="Times New Roman"/>
          <w:b/>
        </w:rPr>
        <w:t>épartition des effectifs des EPA selon le statut en ETPT (T2 - T3)</w:t>
      </w:r>
    </w:p>
    <w:p w:rsidR="001936E9" w:rsidRPr="001936E9" w:rsidRDefault="001936E9" w:rsidP="001936E9">
      <w:pPr>
        <w:tabs>
          <w:tab w:val="left" w:pos="1220"/>
        </w:tabs>
        <w:rPr>
          <w:rFonts w:ascii="Arial" w:eastAsia="Cambria" w:hAnsi="Arial" w:cs="Times New Roman"/>
        </w:rPr>
      </w:pPr>
    </w:p>
    <w:p w:rsidR="001936E9" w:rsidRPr="001936E9" w:rsidRDefault="001936E9" w:rsidP="00D104FD">
      <w:pPr>
        <w:tabs>
          <w:tab w:val="left" w:pos="1220"/>
        </w:tabs>
        <w:ind w:left="904" w:firstLine="512"/>
        <w:jc w:val="both"/>
        <w:rPr>
          <w:rFonts w:ascii="Arial" w:eastAsia="Cambria" w:hAnsi="Arial" w:cs="Times New Roman"/>
        </w:rPr>
      </w:pPr>
    </w:p>
    <w:p w:rsidR="008E3941" w:rsidRDefault="00E03F8D" w:rsidP="001D664E">
      <w:pPr>
        <w:tabs>
          <w:tab w:val="left" w:pos="1220"/>
        </w:tabs>
        <w:ind w:firstLine="708"/>
        <w:jc w:val="center"/>
        <w:rPr>
          <w:rFonts w:ascii="Arial" w:eastAsia="Cambria" w:hAnsi="Arial" w:cs="Times New Roman"/>
          <w:b/>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7856" behindDoc="0" locked="0" layoutInCell="1" allowOverlap="1" wp14:anchorId="5B20D2C4" wp14:editId="15428F09">
                <wp:simplePos x="0" y="0"/>
                <wp:positionH relativeFrom="margin">
                  <wp:posOffset>4518660</wp:posOffset>
                </wp:positionH>
                <wp:positionV relativeFrom="page">
                  <wp:posOffset>8199120</wp:posOffset>
                </wp:positionV>
                <wp:extent cx="1727200" cy="658495"/>
                <wp:effectExtent l="0" t="0" r="25400" b="27305"/>
                <wp:wrapSquare wrapText="bothSides"/>
                <wp:docPr id="3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658495"/>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jc w:val="center"/>
                              <w:rPr>
                                <w:b/>
                              </w:rPr>
                            </w:pPr>
                            <w:r>
                              <w:rPr>
                                <w:b/>
                              </w:rPr>
                              <w:t xml:space="preserve">53% des agents des EPA sont des agents non titulaires.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20D2C4" id="_x0000_s1058" type="#_x0000_t202" style="position:absolute;left:0;text-align:left;margin-left:355.8pt;margin-top:645.6pt;width:136pt;height:51.85pt;z-index:2518978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">
                <v:textbox style="mso-fit-shape-to-text:t">
                  <w:txbxContent>
                    <w:p w:rsidR="007B1397" w:rsidRPr="0092070A" w:rsidRDefault="007B1397" w:rsidP="001936E9">
                      <w:pPr>
                        <w:jc w:val="center"/>
                        <w:rPr>
                          <w:b/>
                        </w:rPr>
                      </w:pPr>
                      <w:r>
                        <w:rPr>
                          <w:b/>
                        </w:rPr>
                        <w:t xml:space="preserve">53% des agents des EPA sont des agents non titulaires. </w:t>
                      </w:r>
                    </w:p>
                  </w:txbxContent>
                </v:textbox>
                <w10:wrap type="square" anchorx="margin" anchory="page"/>
              </v:shape>
            </w:pict>
          </mc:Fallback>
        </mc:AlternateContent>
      </w:r>
      <w:r>
        <w:rPr>
          <w:rFonts w:ascii="Arial" w:eastAsia="Cambria" w:hAnsi="Arial" w:cs="Times New Roman"/>
          <w:b/>
          <w:noProof/>
          <w:lang w:eastAsia="fr-FR"/>
        </w:rPr>
        <w:drawing>
          <wp:inline distT="0" distB="0" distL="0" distR="0" wp14:anchorId="6F864E54">
            <wp:extent cx="3801864" cy="2202180"/>
            <wp:effectExtent l="0" t="0" r="8255" b="7620"/>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19080" cy="2212152"/>
                    </a:xfrm>
                    <a:prstGeom prst="rect">
                      <a:avLst/>
                    </a:prstGeom>
                    <a:noFill/>
                  </pic:spPr>
                </pic:pic>
              </a:graphicData>
            </a:graphic>
          </wp:inline>
        </w:drawing>
      </w:r>
    </w:p>
    <w:p w:rsidR="00D104FD" w:rsidRDefault="00D104FD" w:rsidP="001936E9">
      <w:pPr>
        <w:tabs>
          <w:tab w:val="left" w:pos="1220"/>
        </w:tabs>
        <w:jc w:val="both"/>
        <w:rPr>
          <w:rFonts w:ascii="Arial" w:eastAsia="Cambria" w:hAnsi="Arial" w:cs="Times New Roman"/>
          <w:b/>
        </w:rPr>
      </w:pP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t>Répartition des effectifs des EPA selon la catégorie en ETPT (T2 - T3)</w:t>
      </w:r>
    </w:p>
    <w:p w:rsidR="001936E9" w:rsidRPr="001936E9" w:rsidRDefault="001936E9" w:rsidP="001936E9">
      <w:pPr>
        <w:tabs>
          <w:tab w:val="left" w:pos="1220"/>
        </w:tabs>
        <w:rPr>
          <w:rFonts w:ascii="Arial" w:eastAsia="Cambria" w:hAnsi="Arial" w:cs="Times New Roman"/>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8880" behindDoc="0" locked="0" layoutInCell="1" allowOverlap="1" wp14:anchorId="39066177" wp14:editId="44D5DE5C">
                <wp:simplePos x="0" y="0"/>
                <wp:positionH relativeFrom="margin">
                  <wp:align>right</wp:align>
                </wp:positionH>
                <wp:positionV relativeFrom="paragraph">
                  <wp:posOffset>1169035</wp:posOffset>
                </wp:positionV>
                <wp:extent cx="1689735" cy="1404620"/>
                <wp:effectExtent l="0" t="0" r="24765" b="27305"/>
                <wp:wrapSquare wrapText="bothSides"/>
                <wp:docPr id="3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735" cy="1404620"/>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rPr>
                                <w:b/>
                              </w:rPr>
                            </w:pPr>
                            <w:r>
                              <w:rPr>
                                <w:b/>
                              </w:rPr>
                              <w:t xml:space="preserve">41% des agents des EPA sont des agents de catégorie 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066177" id="_x0000_s1059" type="#_x0000_t202" style="position:absolute;margin-left:81.85pt;margin-top:92.05pt;width:133.05pt;height:110.6pt;z-index:2518988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">
                <v:textbox style="mso-fit-shape-to-text:t">
                  <w:txbxContent>
                    <w:p w:rsidR="007B1397" w:rsidRPr="0092070A" w:rsidRDefault="007B1397" w:rsidP="001936E9">
                      <w:pPr>
                        <w:rPr>
                          <w:b/>
                        </w:rPr>
                      </w:pPr>
                      <w:r>
                        <w:rPr>
                          <w:b/>
                        </w:rPr>
                        <w:t xml:space="preserve">41% des agents des EPA sont des agents de catégorie A. </w:t>
                      </w:r>
                    </w:p>
                  </w:txbxContent>
                </v:textbox>
                <w10:wrap type="square" anchorx="margin"/>
              </v:shape>
            </w:pict>
          </mc:Fallback>
        </mc:AlternateContent>
      </w:r>
      <w:r w:rsidRPr="001936E9">
        <w:rPr>
          <w:rFonts w:ascii="Arial" w:eastAsia="Cambria" w:hAnsi="Arial" w:cs="Times New Roman"/>
          <w:noProof/>
          <w:lang w:eastAsia="fr-FR"/>
        </w:rPr>
        <w:drawing>
          <wp:inline distT="0" distB="0" distL="0" distR="0" wp14:anchorId="5BC037E0" wp14:editId="782C7F03">
            <wp:extent cx="3756660" cy="2298709"/>
            <wp:effectExtent l="0" t="0" r="0" b="635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62566" cy="2302323"/>
                    </a:xfrm>
                    <a:prstGeom prst="rect">
                      <a:avLst/>
                    </a:prstGeom>
                    <a:noFill/>
                  </pic:spPr>
                </pic:pic>
              </a:graphicData>
            </a:graphic>
          </wp:inline>
        </w:drawing>
      </w:r>
    </w:p>
    <w:p w:rsidR="00FE021B" w:rsidRDefault="00FE021B" w:rsidP="001936E9">
      <w:pPr>
        <w:tabs>
          <w:tab w:val="left" w:pos="1220"/>
        </w:tabs>
        <w:jc w:val="both"/>
        <w:rPr>
          <w:rFonts w:ascii="Arial" w:eastAsia="Cambria" w:hAnsi="Arial" w:cs="Times New Roman"/>
          <w:b/>
        </w:rPr>
      </w:pP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t>Répartition des effectifs des EPA selon la fonction en ETPT (T2 - T3)</w:t>
      </w:r>
    </w:p>
    <w:p w:rsidR="001936E9" w:rsidRPr="001936E9" w:rsidRDefault="001936E9" w:rsidP="001936E9">
      <w:pPr>
        <w:tabs>
          <w:tab w:val="left" w:pos="1220"/>
        </w:tabs>
        <w:jc w:val="both"/>
        <w:rPr>
          <w:rFonts w:ascii="Arial" w:eastAsia="Cambria" w:hAnsi="Arial" w:cs="Times New Roman"/>
          <w:b/>
        </w:rPr>
      </w:pPr>
    </w:p>
    <w:p w:rsidR="00A02B47" w:rsidRDefault="001936E9" w:rsidP="00D104FD">
      <w:pPr>
        <w:tabs>
          <w:tab w:val="left" w:pos="1220"/>
        </w:tabs>
        <w:rPr>
          <w:rFonts w:ascii="Arial" w:eastAsia="Cambria" w:hAnsi="Arial" w:cs="Times New Roman"/>
          <w:b/>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899904" behindDoc="0" locked="0" layoutInCell="1" allowOverlap="1" wp14:anchorId="5E1192D8" wp14:editId="633B52F1">
                <wp:simplePos x="0" y="0"/>
                <wp:positionH relativeFrom="margin">
                  <wp:posOffset>4103370</wp:posOffset>
                </wp:positionH>
                <wp:positionV relativeFrom="margin">
                  <wp:align>center</wp:align>
                </wp:positionV>
                <wp:extent cx="1674495" cy="879475"/>
                <wp:effectExtent l="0" t="0" r="20955" b="15875"/>
                <wp:wrapSquare wrapText="bothSides"/>
                <wp:docPr id="3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879475"/>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rPr>
                                <w:b/>
                              </w:rPr>
                            </w:pPr>
                            <w:r>
                              <w:rPr>
                                <w:b/>
                              </w:rPr>
                              <w:t xml:space="preserve">Trois quart des agents travaillant en EPA exercent une fonction métier.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192D8" id="_x0000_s1060" type="#_x0000_t202" style="position:absolute;margin-left:323.1pt;margin-top:0;width:131.85pt;height:69.25pt;z-index:251899904;visibility:visible;mso-wrap-style:square;mso-width-percent:0;mso-height-percent:0;mso-wrap-distance-left:9pt;mso-wrap-distance-top:3.6pt;mso-wrap-distance-right:9pt;mso-wrap-distance-bottom:3.6pt;mso-position-horizontal:absolute;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">
                <v:textbox>
                  <w:txbxContent>
                    <w:p w:rsidR="007B1397" w:rsidRPr="0092070A" w:rsidRDefault="007B1397" w:rsidP="001936E9">
                      <w:pPr>
                        <w:rPr>
                          <w:b/>
                        </w:rPr>
                      </w:pPr>
                      <w:r>
                        <w:rPr>
                          <w:b/>
                        </w:rPr>
                        <w:t xml:space="preserve">Trois quart des agents travaillant en EPA exercent une fonction métier. </w:t>
                      </w:r>
                    </w:p>
                  </w:txbxContent>
                </v:textbox>
                <w10:wrap type="square" anchorx="margin" anchory="margin"/>
              </v:shape>
            </w:pict>
          </mc:Fallback>
        </mc:AlternateContent>
      </w:r>
      <w:r w:rsidR="00D104FD">
        <w:rPr>
          <w:rFonts w:ascii="Arial" w:eastAsia="Cambria" w:hAnsi="Arial" w:cs="Times New Roman"/>
          <w:b/>
        </w:rPr>
        <w:t xml:space="preserve">      </w:t>
      </w:r>
      <w:r w:rsidRPr="001936E9">
        <w:rPr>
          <w:rFonts w:ascii="Arial" w:eastAsia="Cambria" w:hAnsi="Arial" w:cs="Times New Roman"/>
          <w:b/>
          <w:noProof/>
          <w:lang w:eastAsia="fr-FR"/>
        </w:rPr>
        <w:drawing>
          <wp:inline distT="0" distB="0" distL="0" distR="0" wp14:anchorId="75E9C5A8" wp14:editId="2450C3A1">
            <wp:extent cx="3647690" cy="2263140"/>
            <wp:effectExtent l="0" t="0" r="0" b="381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99650" cy="2295377"/>
                    </a:xfrm>
                    <a:prstGeom prst="rect">
                      <a:avLst/>
                    </a:prstGeom>
                    <a:noFill/>
                  </pic:spPr>
                </pic:pic>
              </a:graphicData>
            </a:graphic>
          </wp:inline>
        </w:drawing>
      </w:r>
    </w:p>
    <w:p w:rsidR="005A468D" w:rsidRDefault="005A468D" w:rsidP="001936E9">
      <w:pPr>
        <w:tabs>
          <w:tab w:val="left" w:pos="1220"/>
        </w:tabs>
        <w:jc w:val="both"/>
        <w:rPr>
          <w:rFonts w:ascii="Arial" w:eastAsia="Cambria" w:hAnsi="Arial" w:cs="Times New Roman"/>
          <w:b/>
        </w:rPr>
      </w:pP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t>Répartition des effectifs des EPA par catégorie et par fonction en ETPT (T2 - T3)</w:t>
      </w:r>
    </w:p>
    <w:p w:rsidR="001936E9" w:rsidRPr="001936E9" w:rsidRDefault="001936E9" w:rsidP="001936E9">
      <w:pPr>
        <w:tabs>
          <w:tab w:val="left" w:pos="1220"/>
        </w:tabs>
        <w:jc w:val="both"/>
        <w:rPr>
          <w:rFonts w:ascii="Arial" w:eastAsia="Cambria" w:hAnsi="Arial" w:cs="Times New Roman"/>
          <w:b/>
        </w:rPr>
      </w:pPr>
    </w:p>
    <w:p w:rsidR="001936E9" w:rsidRPr="001936E9" w:rsidRDefault="0005511E" w:rsidP="001936E9">
      <w:pPr>
        <w:tabs>
          <w:tab w:val="left" w:pos="1220"/>
        </w:tabs>
        <w:rPr>
          <w:rFonts w:ascii="Arial" w:eastAsia="Cambria" w:hAnsi="Arial" w:cs="Times New Roman"/>
        </w:rPr>
      </w:pPr>
      <w:r w:rsidRPr="0005511E">
        <w:rPr>
          <w:noProof/>
          <w:lang w:eastAsia="fr-FR"/>
        </w:rPr>
        <w:drawing>
          <wp:inline distT="0" distB="0" distL="0" distR="0">
            <wp:extent cx="5760720" cy="944880"/>
            <wp:effectExtent l="0" t="0" r="0" b="762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944880"/>
                    </a:xfrm>
                    <a:prstGeom prst="rect">
                      <a:avLst/>
                    </a:prstGeom>
                    <a:noFill/>
                    <a:ln>
                      <a:noFill/>
                    </a:ln>
                  </pic:spPr>
                </pic:pic>
              </a:graphicData>
            </a:graphic>
          </wp:inline>
        </w:drawing>
      </w:r>
    </w:p>
    <w:p w:rsidR="001936E9" w:rsidRDefault="001936E9" w:rsidP="001936E9">
      <w:pPr>
        <w:tabs>
          <w:tab w:val="left" w:pos="1220"/>
        </w:tabs>
        <w:rPr>
          <w:rFonts w:ascii="Arial" w:eastAsia="Cambria" w:hAnsi="Arial" w:cs="Times New Roman"/>
        </w:rPr>
      </w:pPr>
    </w:p>
    <w:p w:rsidR="00795120" w:rsidRPr="001936E9" w:rsidRDefault="00795120" w:rsidP="001936E9">
      <w:pPr>
        <w:tabs>
          <w:tab w:val="left" w:pos="1220"/>
        </w:tabs>
        <w:rPr>
          <w:rFonts w:ascii="Arial" w:eastAsia="Cambria" w:hAnsi="Arial" w:cs="Times New Roman"/>
        </w:rPr>
      </w:pP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t>Répartition des effectifs des EPA par statut et par genre en ETPT (T2 - T3)</w:t>
      </w:r>
    </w:p>
    <w:p w:rsidR="001936E9" w:rsidRPr="001936E9" w:rsidRDefault="001936E9" w:rsidP="001936E9">
      <w:pPr>
        <w:tabs>
          <w:tab w:val="left" w:pos="1220"/>
        </w:tabs>
        <w:jc w:val="both"/>
        <w:rPr>
          <w:rFonts w:ascii="Arial" w:eastAsia="Cambria" w:hAnsi="Arial" w:cs="Times New Roman"/>
          <w:b/>
        </w:rPr>
      </w:pPr>
    </w:p>
    <w:p w:rsidR="001936E9" w:rsidRPr="001936E9" w:rsidRDefault="00ED4555" w:rsidP="001936E9">
      <w:pPr>
        <w:tabs>
          <w:tab w:val="left" w:pos="1220"/>
        </w:tabs>
        <w:jc w:val="both"/>
        <w:rPr>
          <w:rFonts w:ascii="Arial" w:eastAsia="Cambria" w:hAnsi="Arial" w:cs="Times New Roman"/>
          <w:b/>
        </w:rPr>
      </w:pPr>
      <w:r w:rsidRPr="00ED4555">
        <w:rPr>
          <w:noProof/>
          <w:lang w:eastAsia="fr-FR"/>
        </w:rPr>
        <w:drawing>
          <wp:inline distT="0" distB="0" distL="0" distR="0">
            <wp:extent cx="5768340" cy="1028700"/>
            <wp:effectExtent l="0" t="0" r="381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8340" cy="1028700"/>
                    </a:xfrm>
                    <a:prstGeom prst="rect">
                      <a:avLst/>
                    </a:prstGeom>
                    <a:noFill/>
                    <a:ln>
                      <a:noFill/>
                    </a:ln>
                  </pic:spPr>
                </pic:pic>
              </a:graphicData>
            </a:graphic>
          </wp:inline>
        </w:drawing>
      </w:r>
    </w:p>
    <w:p w:rsidR="00ED4555" w:rsidRDefault="00ED4555" w:rsidP="001936E9">
      <w:pPr>
        <w:tabs>
          <w:tab w:val="left" w:pos="1220"/>
        </w:tabs>
        <w:jc w:val="both"/>
        <w:rPr>
          <w:rFonts w:ascii="Arial" w:eastAsia="Cambria" w:hAnsi="Arial" w:cs="Times New Roman"/>
          <w:b/>
        </w:rPr>
      </w:pP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lastRenderedPageBreak/>
        <w:t>Répartition des agents non titulaires des EPA selon la nature du contrat (T2 - T3)</w:t>
      </w:r>
    </w:p>
    <w:p w:rsidR="00FE021B" w:rsidRDefault="001936E9" w:rsidP="00FE021B">
      <w:pPr>
        <w:tabs>
          <w:tab w:val="left" w:pos="1220"/>
        </w:tabs>
        <w:rPr>
          <w:rFonts w:ascii="Arial" w:eastAsia="Cambria" w:hAnsi="Arial" w:cs="Times New Roman"/>
          <w:b/>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900928" behindDoc="0" locked="0" layoutInCell="1" allowOverlap="1" wp14:anchorId="33FBCB2F" wp14:editId="5DAEAA21">
                <wp:simplePos x="0" y="0"/>
                <wp:positionH relativeFrom="margin">
                  <wp:posOffset>3575108</wp:posOffset>
                </wp:positionH>
                <wp:positionV relativeFrom="paragraph">
                  <wp:posOffset>936105</wp:posOffset>
                </wp:positionV>
                <wp:extent cx="1498600" cy="1404620"/>
                <wp:effectExtent l="0" t="0" r="25400" b="26670"/>
                <wp:wrapSquare wrapText="bothSides"/>
                <wp:docPr id="3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1404620"/>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rPr>
                                <w:b/>
                              </w:rPr>
                            </w:pPr>
                            <w:r>
                              <w:rPr>
                                <w:b/>
                              </w:rPr>
                              <w:t xml:space="preserve">Plus de deux tiers des agents non titulaires des EPA sont en CDI.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BCB2F" id="_x0000_s1061" type="#_x0000_t202" style="position:absolute;margin-left:281.5pt;margin-top:73.7pt;width:118pt;height:110.6pt;z-index:251900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">
                <v:textbox style="mso-fit-shape-to-text:t">
                  <w:txbxContent>
                    <w:p w:rsidR="007B1397" w:rsidRPr="0092070A" w:rsidRDefault="007B1397" w:rsidP="001936E9">
                      <w:pPr>
                        <w:rPr>
                          <w:b/>
                        </w:rPr>
                      </w:pPr>
                      <w:r>
                        <w:rPr>
                          <w:b/>
                        </w:rPr>
                        <w:t xml:space="preserve">Plus de deux tiers des agents non titulaires des EPA sont en CDI.  </w:t>
                      </w:r>
                    </w:p>
                  </w:txbxContent>
                </v:textbox>
                <w10:wrap type="square" anchorx="margin"/>
              </v:shape>
            </w:pict>
          </mc:Fallback>
        </mc:AlternateContent>
      </w:r>
      <w:r w:rsidR="00795120">
        <w:rPr>
          <w:rFonts w:ascii="Arial" w:eastAsia="Cambria" w:hAnsi="Arial" w:cs="Times New Roman"/>
          <w:b/>
          <w:noProof/>
          <w:lang w:eastAsia="fr-FR"/>
        </w:rPr>
        <w:drawing>
          <wp:inline distT="0" distB="0" distL="0" distR="0" wp14:anchorId="6B916E9D">
            <wp:extent cx="3429476" cy="2057400"/>
            <wp:effectExtent l="0" t="0" r="0" b="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35196" cy="2060831"/>
                    </a:xfrm>
                    <a:prstGeom prst="rect">
                      <a:avLst/>
                    </a:prstGeom>
                    <a:noFill/>
                  </pic:spPr>
                </pic:pic>
              </a:graphicData>
            </a:graphic>
          </wp:inline>
        </w:drawing>
      </w:r>
      <w:r w:rsidRPr="001936E9">
        <w:rPr>
          <w:rFonts w:ascii="Arial" w:eastAsia="Cambria" w:hAnsi="Arial" w:cs="Times New Roman"/>
        </w:rPr>
        <w:br w:type="textWrapping" w:clear="all"/>
      </w: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t>Répartition des agents non titulaires des EPA selon le genre et selon la nature du contrat en ETPT (T2 - T3)</w:t>
      </w:r>
    </w:p>
    <w:p w:rsidR="001936E9" w:rsidRPr="001936E9" w:rsidRDefault="001936E9" w:rsidP="001936E9">
      <w:pPr>
        <w:tabs>
          <w:tab w:val="left" w:pos="1220"/>
        </w:tabs>
        <w:jc w:val="both"/>
        <w:rPr>
          <w:rFonts w:ascii="BlairMdITC TT-Medium" w:eastAsia="Cambria" w:hAnsi="BlairMdITC TT-Medium" w:cs="Times New Roman"/>
          <w:b/>
          <w:color w:val="FF0080"/>
        </w:rPr>
      </w:pPr>
    </w:p>
    <w:p w:rsidR="001936E9" w:rsidRPr="001936E9" w:rsidRDefault="00ED4555" w:rsidP="001936E9">
      <w:pPr>
        <w:tabs>
          <w:tab w:val="left" w:pos="1220"/>
        </w:tabs>
        <w:rPr>
          <w:rFonts w:ascii="BlairMdITC TT-Medium" w:eastAsia="Cambria" w:hAnsi="BlairMdITC TT-Medium" w:cs="Times New Roman"/>
          <w:b/>
          <w:color w:val="FF0080"/>
        </w:rPr>
      </w:pPr>
      <w:r w:rsidRPr="00ED4555">
        <w:rPr>
          <w:noProof/>
          <w:lang w:eastAsia="fr-FR"/>
        </w:rPr>
        <w:drawing>
          <wp:inline distT="0" distB="0" distL="0" distR="0">
            <wp:extent cx="5722620" cy="967740"/>
            <wp:effectExtent l="0" t="0" r="0" b="381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2620" cy="967740"/>
                    </a:xfrm>
                    <a:prstGeom prst="rect">
                      <a:avLst/>
                    </a:prstGeom>
                    <a:noFill/>
                    <a:ln>
                      <a:noFill/>
                    </a:ln>
                  </pic:spPr>
                </pic:pic>
              </a:graphicData>
            </a:graphic>
          </wp:inline>
        </w:drawing>
      </w:r>
    </w:p>
    <w:p w:rsidR="001936E9" w:rsidRDefault="001936E9" w:rsidP="001936E9">
      <w:pPr>
        <w:tabs>
          <w:tab w:val="left" w:pos="1220"/>
        </w:tabs>
        <w:jc w:val="both"/>
        <w:rPr>
          <w:rFonts w:ascii="Arial" w:eastAsia="Cambria" w:hAnsi="Arial" w:cs="Times New Roman"/>
          <w:b/>
        </w:rPr>
      </w:pPr>
    </w:p>
    <w:p w:rsidR="00795120" w:rsidRPr="001936E9" w:rsidRDefault="00795120" w:rsidP="001936E9">
      <w:pPr>
        <w:tabs>
          <w:tab w:val="left" w:pos="1220"/>
        </w:tabs>
        <w:jc w:val="both"/>
        <w:rPr>
          <w:rFonts w:ascii="Arial" w:eastAsia="Cambria" w:hAnsi="Arial" w:cs="Times New Roman"/>
          <w:b/>
        </w:rPr>
      </w:pPr>
    </w:p>
    <w:p w:rsidR="001936E9" w:rsidRPr="001936E9" w:rsidRDefault="001936E9" w:rsidP="001936E9">
      <w:pPr>
        <w:tabs>
          <w:tab w:val="left" w:pos="1220"/>
        </w:tabs>
        <w:jc w:val="both"/>
        <w:rPr>
          <w:rFonts w:ascii="Arial" w:eastAsia="Cambria" w:hAnsi="Arial" w:cs="Times New Roman"/>
          <w:b/>
        </w:rPr>
      </w:pPr>
      <w:r w:rsidRPr="001936E9">
        <w:rPr>
          <w:rFonts w:ascii="Arial" w:eastAsia="Cambria" w:hAnsi="Arial" w:cs="Times New Roman"/>
          <w:b/>
        </w:rPr>
        <w:t>Répartition des agents non titulaires des EPA selon la catégorie et selon la nature du contrat en ETPT (T2 - T3)</w:t>
      </w:r>
    </w:p>
    <w:p w:rsidR="001936E9" w:rsidRPr="001936E9" w:rsidRDefault="001936E9" w:rsidP="001936E9">
      <w:pPr>
        <w:tabs>
          <w:tab w:val="left" w:pos="1220"/>
        </w:tabs>
        <w:jc w:val="both"/>
        <w:rPr>
          <w:rFonts w:ascii="Arial" w:eastAsia="Cambria" w:hAnsi="Arial" w:cs="Times New Roman"/>
          <w:sz w:val="22"/>
        </w:rPr>
      </w:pPr>
    </w:p>
    <w:p w:rsidR="001936E9" w:rsidRPr="001936E9" w:rsidRDefault="00ED4555" w:rsidP="001936E9">
      <w:pPr>
        <w:spacing w:after="160" w:line="259" w:lineRule="auto"/>
        <w:rPr>
          <w:rFonts w:ascii="Florencesans Exp" w:eastAsia="Cambria" w:hAnsi="Florencesans Exp" w:cs="Times New Roman"/>
        </w:rPr>
      </w:pPr>
      <w:r w:rsidRPr="00ED4555">
        <w:rPr>
          <w:noProof/>
          <w:lang w:eastAsia="fr-FR"/>
        </w:rPr>
        <w:drawing>
          <wp:inline distT="0" distB="0" distL="0" distR="0">
            <wp:extent cx="5758932" cy="1127760"/>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1539" cy="1128271"/>
                    </a:xfrm>
                    <a:prstGeom prst="rect">
                      <a:avLst/>
                    </a:prstGeom>
                    <a:noFill/>
                    <a:ln>
                      <a:noFill/>
                    </a:ln>
                  </pic:spPr>
                </pic:pic>
              </a:graphicData>
            </a:graphic>
          </wp:inline>
        </w:drawing>
      </w:r>
    </w:p>
    <w:p w:rsidR="001936E9" w:rsidRPr="001936E9" w:rsidRDefault="001936E9" w:rsidP="001936E9">
      <w:pPr>
        <w:spacing w:after="160" w:line="259" w:lineRule="auto"/>
        <w:rPr>
          <w:rFonts w:ascii="Calibri" w:eastAsia="Calibri" w:hAnsi="Calibri" w:cs="Times New Roman"/>
          <w:sz w:val="22"/>
          <w:szCs w:val="22"/>
        </w:rPr>
      </w:pPr>
    </w:p>
    <w:p w:rsidR="00CF4CB1" w:rsidRDefault="00CF4CB1">
      <w:pPr>
        <w:spacing w:after="160" w:line="259" w:lineRule="auto"/>
        <w:rPr>
          <w:rFonts w:ascii="Florencesans Exp" w:eastAsia="Cambria" w:hAnsi="Florencesans Exp" w:cs="Times New Roman"/>
        </w:rPr>
      </w:pPr>
      <w:bookmarkStart w:id="2" w:name="_Toc406173828"/>
      <w:bookmarkStart w:id="3" w:name="__RefHeading__1125_1436112049"/>
      <w:bookmarkStart w:id="4" w:name="_Toc406770615"/>
      <w:bookmarkEnd w:id="2"/>
      <w:bookmarkEnd w:id="3"/>
      <w:r>
        <w:rPr>
          <w:rFonts w:ascii="Florencesans Exp" w:eastAsia="Cambria" w:hAnsi="Florencesans Exp" w:cs="Times New Roman"/>
        </w:rPr>
        <w:br w:type="page"/>
      </w:r>
    </w:p>
    <w:p w:rsidR="001936E9" w:rsidRPr="00302249" w:rsidRDefault="00302249" w:rsidP="00302249">
      <w:pPr>
        <w:widowControl w:val="0"/>
        <w:autoSpaceDE w:val="0"/>
        <w:autoSpaceDN w:val="0"/>
        <w:adjustRightInd w:val="0"/>
        <w:rPr>
          <w:rFonts w:ascii="Florencesans Exp" w:eastAsia="Cambria" w:hAnsi="Florencesans Exp" w:cs="Times New Roman"/>
        </w:rPr>
      </w:pPr>
      <w:r w:rsidRPr="00302249">
        <w:rPr>
          <w:rFonts w:ascii="Florencesans Exp" w:eastAsia="Cambria" w:hAnsi="Florencesans Exp" w:cs="Times New Roman"/>
        </w:rPr>
        <w:lastRenderedPageBreak/>
        <w:t>1. B.</w:t>
      </w:r>
      <w:r>
        <w:rPr>
          <w:rFonts w:ascii="Florencesans Exp" w:eastAsia="Cambria" w:hAnsi="Florencesans Exp" w:cs="Times New Roman"/>
        </w:rPr>
        <w:t xml:space="preserve"> </w:t>
      </w:r>
      <w:r w:rsidRPr="00302249">
        <w:rPr>
          <w:rFonts w:ascii="Florencesans Exp" w:eastAsia="Cambria" w:hAnsi="Florencesans Exp" w:cs="Times New Roman"/>
        </w:rPr>
        <w:t>3</w:t>
      </w:r>
      <w:r>
        <w:rPr>
          <w:rFonts w:ascii="Florencesans Exp" w:eastAsia="Cambria" w:hAnsi="Florencesans Exp" w:cs="Times New Roman"/>
        </w:rPr>
        <w:t>.</w:t>
      </w:r>
      <w:r w:rsidR="006167C9" w:rsidRPr="00302249">
        <w:rPr>
          <w:rFonts w:ascii="Florencesans Exp" w:eastAsia="Cambria" w:hAnsi="Florencesans Exp" w:cs="Times New Roman"/>
        </w:rPr>
        <w:t xml:space="preserve"> </w:t>
      </w:r>
      <w:r w:rsidR="001936E9" w:rsidRPr="00302249">
        <w:rPr>
          <w:rFonts w:ascii="Florencesans Exp" w:eastAsia="Cambria" w:hAnsi="Florencesans Exp" w:cs="Times New Roman"/>
        </w:rPr>
        <w:t>PRESENTATION DES EFFECTIFS EN ACTIVITE AU SEIN DES ETABLISSEMENTS PUBLICS A CARACTERE INDUSTRIEL ET COMMERCIAL (EPIC)</w:t>
      </w:r>
      <w:bookmarkEnd w:id="4"/>
    </w:p>
    <w:p w:rsidR="001936E9" w:rsidRPr="001936E9" w:rsidRDefault="001936E9" w:rsidP="001936E9">
      <w:pPr>
        <w:rPr>
          <w:rFonts w:ascii="Arial" w:eastAsia="Times New Roman" w:hAnsi="Arial" w:cs="Arial"/>
          <w:bCs/>
          <w:color w:val="000000"/>
          <w:sz w:val="16"/>
          <w:lang w:eastAsia="fr-FR"/>
        </w:rPr>
      </w:pP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t>Répartition hommes/femmes des effectifs des EPIC en ETPT (T3)</w:t>
      </w:r>
    </w:p>
    <w:p w:rsidR="001936E9" w:rsidRPr="001936E9" w:rsidRDefault="004A0C77" w:rsidP="00175436">
      <w:pPr>
        <w:spacing w:before="100" w:beforeAutospacing="1"/>
        <w:ind w:left="708"/>
        <w:rPr>
          <w:rFonts w:ascii="Times New Roman" w:eastAsia="Times New Roman" w:hAnsi="Times New Roman" w:cs="Times New Roman"/>
          <w:color w:val="000000"/>
          <w:lang w:eastAsia="fr-FR"/>
        </w:rPr>
      </w:pPr>
      <w:r>
        <w:rPr>
          <w:rFonts w:ascii="Times New Roman" w:eastAsia="Times New Roman" w:hAnsi="Times New Roman" w:cs="Times New Roman"/>
          <w:noProof/>
          <w:color w:val="000000"/>
          <w:lang w:eastAsia="fr-FR"/>
        </w:rPr>
        <w:drawing>
          <wp:inline distT="0" distB="0" distL="0" distR="0" wp14:anchorId="507FAF5C">
            <wp:extent cx="3040380" cy="1866900"/>
            <wp:effectExtent l="0" t="0" r="762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57943" cy="1877684"/>
                    </a:xfrm>
                    <a:prstGeom prst="rect">
                      <a:avLst/>
                    </a:prstGeom>
                    <a:noFill/>
                  </pic:spPr>
                </pic:pic>
              </a:graphicData>
            </a:graphic>
          </wp:inline>
        </w:drawing>
      </w:r>
    </w:p>
    <w:p w:rsidR="001936E9" w:rsidRDefault="001936E9" w:rsidP="004A44AF">
      <w:pPr>
        <w:spacing w:before="100" w:beforeAutospacing="1"/>
        <w:jc w:val="both"/>
        <w:rPr>
          <w:rFonts w:ascii="Times New Roman" w:eastAsia="Times New Roman" w:hAnsi="Times New Roman" w:cs="Times New Roman"/>
          <w:noProof/>
          <w:color w:val="000000"/>
          <w:lang w:eastAsia="fr-FR"/>
        </w:rPr>
      </w:pPr>
      <w:r w:rsidRPr="001936E9">
        <w:rPr>
          <w:rFonts w:ascii="Arial" w:eastAsia="Times New Roman" w:hAnsi="Arial" w:cs="Arial"/>
          <w:b/>
          <w:bCs/>
          <w:color w:val="000000"/>
          <w:lang w:eastAsia="fr-FR"/>
        </w:rPr>
        <w:t>Répartition des effectifs des EPIC selon le statut en ETPT (T3)</w:t>
      </w:r>
      <w:r w:rsidR="00D104FD">
        <w:rPr>
          <w:rFonts w:ascii="Arial" w:eastAsia="Times New Roman" w:hAnsi="Arial" w:cs="Arial"/>
          <w:b/>
          <w:bCs/>
          <w:color w:val="000000"/>
          <w:lang w:eastAsia="fr-FR"/>
        </w:rPr>
        <w:t xml:space="preserve">      </w:t>
      </w:r>
    </w:p>
    <w:p w:rsidR="004A0C77" w:rsidRPr="00D104FD" w:rsidRDefault="004A44AF" w:rsidP="000A442C">
      <w:pPr>
        <w:spacing w:before="100" w:beforeAutospacing="1"/>
        <w:ind w:left="708"/>
        <w:rPr>
          <w:rFonts w:ascii="Times New Roman" w:eastAsia="Times New Roman" w:hAnsi="Times New Roman" w:cs="Times New Roman"/>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901952" behindDoc="0" locked="0" layoutInCell="1" allowOverlap="1" wp14:anchorId="5776FCC0" wp14:editId="0ACB30C3">
                <wp:simplePos x="0" y="0"/>
                <wp:positionH relativeFrom="margin">
                  <wp:posOffset>4381500</wp:posOffset>
                </wp:positionH>
                <wp:positionV relativeFrom="page">
                  <wp:posOffset>5273040</wp:posOffset>
                </wp:positionV>
                <wp:extent cx="1584960" cy="662940"/>
                <wp:effectExtent l="0" t="0" r="15240" b="22860"/>
                <wp:wrapSquare wrapText="bothSides"/>
                <wp:docPr id="3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662940"/>
                        </a:xfrm>
                        <a:prstGeom prst="rect">
                          <a:avLst/>
                        </a:prstGeom>
                        <a:solidFill>
                          <a:srgbClr val="FFFFFF"/>
                        </a:solidFill>
                        <a:ln w="9525">
                          <a:solidFill>
                            <a:srgbClr val="000000"/>
                          </a:solidFill>
                          <a:miter lim="800000"/>
                          <a:headEnd/>
                          <a:tailEnd/>
                        </a:ln>
                      </wps:spPr>
                      <wps:txbx>
                        <w:txbxContent>
                          <w:p w:rsidR="007B1397" w:rsidRPr="001123B7" w:rsidRDefault="007B1397" w:rsidP="00D104FD">
                            <w:pPr>
                              <w:jc w:val="center"/>
                              <w:rPr>
                                <w:b/>
                                <w:sz w:val="20"/>
                              </w:rPr>
                            </w:pPr>
                            <w:r w:rsidRPr="001123B7">
                              <w:rPr>
                                <w:b/>
                                <w:sz w:val="20"/>
                              </w:rPr>
                              <w:t>96% des agents des EPIC sont des agents non titulaires.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6FCC0" id="_x0000_s1062" type="#_x0000_t202" style="position:absolute;left:0;text-align:left;margin-left:345pt;margin-top:415.2pt;width:124.8pt;height:52.2pt;z-index:251901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">
                <v:textbox>
                  <w:txbxContent>
                    <w:p w:rsidR="007B1397" w:rsidRPr="001123B7" w:rsidRDefault="007B1397" w:rsidP="00D104FD">
                      <w:pPr>
                        <w:jc w:val="center"/>
                        <w:rPr>
                          <w:b/>
                          <w:sz w:val="20"/>
                        </w:rPr>
                      </w:pPr>
                      <w:r w:rsidRPr="001123B7">
                        <w:rPr>
                          <w:b/>
                          <w:sz w:val="20"/>
                        </w:rPr>
                        <w:t>96% des agents des EPIC sont des agents non titulaires.</w:t>
                      </w:r>
                    </w:p>
                  </w:txbxContent>
                </v:textbox>
                <w10:wrap type="square" anchorx="margin" anchory="page"/>
              </v:shape>
            </w:pict>
          </mc:Fallback>
        </mc:AlternateContent>
      </w:r>
      <w:r w:rsidR="000A442C" w:rsidRPr="001936E9">
        <w:rPr>
          <w:rFonts w:ascii="Arial" w:eastAsia="Times New Roman" w:hAnsi="Arial" w:cs="Arial"/>
          <w:b/>
          <w:bCs/>
          <w:noProof/>
          <w:color w:val="000000"/>
          <w:lang w:eastAsia="fr-FR"/>
        </w:rPr>
        <mc:AlternateContent>
          <mc:Choice Requires="wps">
            <w:drawing>
              <wp:anchor distT="45720" distB="45720" distL="114300" distR="114300" simplePos="0" relativeHeight="251905024" behindDoc="0" locked="0" layoutInCell="1" allowOverlap="1" wp14:anchorId="267D30D6" wp14:editId="2BC74ACD">
                <wp:simplePos x="0" y="0"/>
                <wp:positionH relativeFrom="column">
                  <wp:posOffset>3661410</wp:posOffset>
                </wp:positionH>
                <wp:positionV relativeFrom="paragraph">
                  <wp:posOffset>1052195</wp:posOffset>
                </wp:positionV>
                <wp:extent cx="131618" cy="193560"/>
                <wp:effectExtent l="0" t="0" r="1905" b="0"/>
                <wp:wrapNone/>
                <wp:docPr id="3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31618" cy="193560"/>
                        </a:xfrm>
                        <a:prstGeom prst="rect">
                          <a:avLst/>
                        </a:prstGeom>
                        <a:solidFill>
                          <a:srgbClr val="FFFFFF"/>
                        </a:solidFill>
                        <a:ln w="9525">
                          <a:noFill/>
                          <a:miter lim="800000"/>
                          <a:headEnd/>
                          <a:tailEnd/>
                        </a:ln>
                      </wps:spPr>
                      <wps:txbx>
                        <w:txbxContent>
                          <w:p w:rsidR="007B1397" w:rsidRDefault="007B1397" w:rsidP="001936E9">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D30D6" id="_x0000_s1063" type="#_x0000_t202" style="position:absolute;left:0;text-align:left;margin-left:288.3pt;margin-top:82.85pt;width:10.35pt;height:15.25pt;flip:y;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" stroked="f">
                <v:textbox>
                  <w:txbxContent>
                    <w:p w:rsidR="007B1397" w:rsidRDefault="007B1397" w:rsidP="001936E9">
                      <w:r>
                        <w:t>*</w:t>
                      </w:r>
                    </w:p>
                  </w:txbxContent>
                </v:textbox>
              </v:shape>
            </w:pict>
          </mc:Fallback>
        </mc:AlternateContent>
      </w:r>
      <w:r w:rsidR="004A0C77">
        <w:rPr>
          <w:rFonts w:ascii="Times New Roman" w:eastAsia="Times New Roman" w:hAnsi="Times New Roman" w:cs="Times New Roman"/>
          <w:noProof/>
          <w:color w:val="000000"/>
          <w:lang w:eastAsia="fr-FR"/>
        </w:rPr>
        <w:drawing>
          <wp:inline distT="0" distB="0" distL="0" distR="0" wp14:anchorId="2386CE5B" wp14:editId="05A74018">
            <wp:extent cx="3634740" cy="2180541"/>
            <wp:effectExtent l="0" t="0" r="381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58560" cy="2194831"/>
                    </a:xfrm>
                    <a:prstGeom prst="rect">
                      <a:avLst/>
                    </a:prstGeom>
                    <a:noFill/>
                  </pic:spPr>
                </pic:pic>
              </a:graphicData>
            </a:graphic>
          </wp:inline>
        </w:drawing>
      </w:r>
    </w:p>
    <w:p w:rsidR="00D104FD" w:rsidRPr="004A44AF" w:rsidRDefault="00D104FD" w:rsidP="00D104FD">
      <w:pPr>
        <w:rPr>
          <w:b/>
          <w:sz w:val="18"/>
        </w:rPr>
      </w:pPr>
      <w:r w:rsidRPr="004A44AF">
        <w:rPr>
          <w:b/>
          <w:sz w:val="18"/>
        </w:rPr>
        <w:t>*Les agents titulaires des EPIC correspondent aux agents d’UNIVERSCIENCE dont le recrutement est autorisé par l’Article 42 loi mobilité n°2009-972.</w:t>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t>Répartition des effectifs des EPIC selon la catégorie en ETPT (T3)</w:t>
      </w:r>
    </w:p>
    <w:p w:rsidR="001936E9" w:rsidRPr="001936E9" w:rsidRDefault="001936E9" w:rsidP="00175436">
      <w:pPr>
        <w:spacing w:before="100" w:beforeAutospacing="1"/>
        <w:jc w:val="center"/>
        <w:rPr>
          <w:rFonts w:ascii="Times New Roman" w:eastAsia="Times New Roman" w:hAnsi="Times New Roman" w:cs="Times New Roman"/>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902976" behindDoc="0" locked="0" layoutInCell="1" allowOverlap="1" wp14:anchorId="6D6824C6" wp14:editId="4F57B232">
                <wp:simplePos x="0" y="0"/>
                <wp:positionH relativeFrom="margin">
                  <wp:posOffset>4258945</wp:posOffset>
                </wp:positionH>
                <wp:positionV relativeFrom="page">
                  <wp:posOffset>8023860</wp:posOffset>
                </wp:positionV>
                <wp:extent cx="1714500" cy="727075"/>
                <wp:effectExtent l="0" t="0" r="19050" b="15875"/>
                <wp:wrapSquare wrapText="bothSides"/>
                <wp:docPr id="3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727075"/>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jc w:val="center"/>
                              <w:rPr>
                                <w:b/>
                              </w:rPr>
                            </w:pPr>
                            <w:r>
                              <w:rPr>
                                <w:b/>
                              </w:rPr>
                              <w:t>57% des agents des EPIC sont des agents de catégorie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824C6" id="_x0000_s1064" type="#_x0000_t202" style="position:absolute;left:0;text-align:left;margin-left:335.35pt;margin-top:631.8pt;width:135pt;height:57.25pt;z-index:2519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">
                <v:textbox>
                  <w:txbxContent>
                    <w:p w:rsidR="007B1397" w:rsidRPr="0092070A" w:rsidRDefault="007B1397" w:rsidP="001936E9">
                      <w:pPr>
                        <w:jc w:val="center"/>
                        <w:rPr>
                          <w:b/>
                        </w:rPr>
                      </w:pPr>
                      <w:r>
                        <w:rPr>
                          <w:b/>
                        </w:rPr>
                        <w:t>57% des agents des EPIC sont des agents de catégorie A.</w:t>
                      </w:r>
                    </w:p>
                  </w:txbxContent>
                </v:textbox>
                <w10:wrap type="square" anchorx="margin" anchory="page"/>
              </v:shape>
            </w:pict>
          </mc:Fallback>
        </mc:AlternateContent>
      </w:r>
      <w:r w:rsidRPr="001936E9">
        <w:rPr>
          <w:rFonts w:ascii="Times New Roman" w:eastAsia="Times New Roman" w:hAnsi="Times New Roman" w:cs="Times New Roman"/>
          <w:noProof/>
          <w:color w:val="000000"/>
          <w:lang w:eastAsia="fr-FR"/>
        </w:rPr>
        <w:drawing>
          <wp:inline distT="0" distB="0" distL="0" distR="0" wp14:anchorId="725C0226" wp14:editId="4ECB71C7">
            <wp:extent cx="3756660" cy="2336552"/>
            <wp:effectExtent l="0" t="0" r="0" b="6985"/>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35494" cy="2447782"/>
                    </a:xfrm>
                    <a:prstGeom prst="rect">
                      <a:avLst/>
                    </a:prstGeom>
                    <a:noFill/>
                  </pic:spPr>
                </pic:pic>
              </a:graphicData>
            </a:graphic>
          </wp:inline>
        </w:drawing>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lastRenderedPageBreak/>
        <w:t>Répartition des effectifs des EPIC selon la fonction en ETPT (T3)</w:t>
      </w:r>
    </w:p>
    <w:p w:rsidR="001936E9" w:rsidRPr="001936E9" w:rsidRDefault="001936E9" w:rsidP="00175436">
      <w:pPr>
        <w:spacing w:before="100" w:beforeAutospacing="1"/>
        <w:jc w:val="center"/>
        <w:rPr>
          <w:rFonts w:ascii="Times New Roman" w:eastAsia="Times New Roman" w:hAnsi="Times New Roman" w:cs="Times New Roman"/>
          <w:color w:val="000000"/>
          <w:lang w:eastAsia="fr-FR"/>
        </w:rPr>
      </w:pPr>
      <w:r w:rsidRPr="001936E9">
        <w:rPr>
          <w:rFonts w:ascii="Times New Roman" w:eastAsia="Times New Roman" w:hAnsi="Times New Roman" w:cs="Times New Roman"/>
          <w:noProof/>
          <w:color w:val="000000"/>
          <w:lang w:eastAsia="fr-FR"/>
        </w:rPr>
        <mc:AlternateContent>
          <mc:Choice Requires="wps">
            <w:drawing>
              <wp:anchor distT="45720" distB="45720" distL="114300" distR="114300" simplePos="0" relativeHeight="251904000" behindDoc="0" locked="0" layoutInCell="1" allowOverlap="1" wp14:anchorId="6DD8B070" wp14:editId="2CF5AE07">
                <wp:simplePos x="0" y="0"/>
                <wp:positionH relativeFrom="margin">
                  <wp:posOffset>4434205</wp:posOffset>
                </wp:positionH>
                <wp:positionV relativeFrom="page">
                  <wp:posOffset>1790700</wp:posOffset>
                </wp:positionV>
                <wp:extent cx="1706880" cy="844550"/>
                <wp:effectExtent l="0" t="0" r="26670" b="12700"/>
                <wp:wrapSquare wrapText="bothSides"/>
                <wp:docPr id="3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844550"/>
                        </a:xfrm>
                        <a:prstGeom prst="rect">
                          <a:avLst/>
                        </a:prstGeom>
                        <a:solidFill>
                          <a:srgbClr val="FFFFFF"/>
                        </a:solidFill>
                        <a:ln w="9525">
                          <a:solidFill>
                            <a:srgbClr val="000000"/>
                          </a:solidFill>
                          <a:miter lim="800000"/>
                          <a:headEnd/>
                          <a:tailEnd/>
                        </a:ln>
                      </wps:spPr>
                      <wps:txbx>
                        <w:txbxContent>
                          <w:p w:rsidR="007B1397" w:rsidRPr="0092070A" w:rsidRDefault="007B1397" w:rsidP="001936E9">
                            <w:pPr>
                              <w:jc w:val="center"/>
                              <w:rPr>
                                <w:b/>
                              </w:rPr>
                            </w:pPr>
                            <w:r>
                              <w:rPr>
                                <w:b/>
                              </w:rPr>
                              <w:t>71% des agents travaillant en EPIC exercent une fonction métier.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D8B070" id="_x0000_s1065" type="#_x0000_t202" style="position:absolute;left:0;text-align:left;margin-left:349.15pt;margin-top:141pt;width:134.4pt;height:66.5pt;z-index:251904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">
                <v:textbox style="mso-fit-shape-to-text:t">
                  <w:txbxContent>
                    <w:p w:rsidR="007B1397" w:rsidRPr="0092070A" w:rsidRDefault="007B1397" w:rsidP="001936E9">
                      <w:pPr>
                        <w:jc w:val="center"/>
                        <w:rPr>
                          <w:b/>
                        </w:rPr>
                      </w:pPr>
                      <w:r>
                        <w:rPr>
                          <w:b/>
                        </w:rPr>
                        <w:t>71% des agents travaillant en EPIC exercent une fonction métier.</w:t>
                      </w:r>
                    </w:p>
                  </w:txbxContent>
                </v:textbox>
                <w10:wrap type="square" anchorx="margin" anchory="page"/>
              </v:shape>
            </w:pict>
          </mc:Fallback>
        </mc:AlternateContent>
      </w:r>
      <w:r w:rsidRPr="001936E9">
        <w:rPr>
          <w:rFonts w:ascii="Arial" w:eastAsia="Cambria" w:hAnsi="Arial" w:cs="Times New Roman"/>
          <w:noProof/>
          <w:lang w:eastAsia="fr-FR"/>
        </w:rPr>
        <w:drawing>
          <wp:inline distT="0" distB="0" distL="0" distR="0" wp14:anchorId="68220766" wp14:editId="7C82D17B">
            <wp:extent cx="3394364" cy="1926339"/>
            <wp:effectExtent l="0" t="0" r="0"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35529" cy="1949701"/>
                    </a:xfrm>
                    <a:prstGeom prst="rect">
                      <a:avLst/>
                    </a:prstGeom>
                    <a:noFill/>
                  </pic:spPr>
                </pic:pic>
              </a:graphicData>
            </a:graphic>
          </wp:inline>
        </w:drawing>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t>Répartition des effectifs des EPIC par catégorie et par fonction en ETPT (T3)</w:t>
      </w:r>
    </w:p>
    <w:p w:rsidR="001936E9" w:rsidRPr="001936E9" w:rsidRDefault="004A44AF" w:rsidP="001936E9">
      <w:pPr>
        <w:spacing w:before="100" w:beforeAutospacing="1"/>
        <w:rPr>
          <w:rFonts w:ascii="Times New Roman" w:eastAsia="Times New Roman" w:hAnsi="Times New Roman" w:cs="Times New Roman"/>
          <w:color w:val="000000"/>
          <w:lang w:eastAsia="fr-FR"/>
        </w:rPr>
      </w:pPr>
      <w:r w:rsidRPr="004A44AF">
        <w:rPr>
          <w:noProof/>
          <w:lang w:eastAsia="fr-FR"/>
        </w:rPr>
        <w:drawing>
          <wp:inline distT="0" distB="0" distL="0" distR="0">
            <wp:extent cx="5448300" cy="739140"/>
            <wp:effectExtent l="0" t="0" r="0" b="381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48300" cy="739140"/>
                    </a:xfrm>
                    <a:prstGeom prst="rect">
                      <a:avLst/>
                    </a:prstGeom>
                    <a:noFill/>
                    <a:ln>
                      <a:noFill/>
                    </a:ln>
                  </pic:spPr>
                </pic:pic>
              </a:graphicData>
            </a:graphic>
          </wp:inline>
        </w:drawing>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t>Répartition des effectifs des EPIC par statut et par genre en ETPT (T3)</w:t>
      </w:r>
    </w:p>
    <w:p w:rsidR="001936E9" w:rsidRPr="001936E9" w:rsidRDefault="004A44AF" w:rsidP="001936E9">
      <w:pPr>
        <w:spacing w:before="100" w:beforeAutospacing="1"/>
        <w:rPr>
          <w:rFonts w:ascii="Times New Roman" w:eastAsia="Times New Roman" w:hAnsi="Times New Roman" w:cs="Times New Roman"/>
          <w:color w:val="000000"/>
          <w:lang w:eastAsia="fr-FR"/>
        </w:rPr>
      </w:pPr>
      <w:r w:rsidRPr="004A44AF">
        <w:rPr>
          <w:noProof/>
          <w:lang w:eastAsia="fr-FR"/>
        </w:rPr>
        <w:drawing>
          <wp:inline distT="0" distB="0" distL="0" distR="0">
            <wp:extent cx="5463540" cy="922020"/>
            <wp:effectExtent l="0" t="0" r="381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63540" cy="922020"/>
                    </a:xfrm>
                    <a:prstGeom prst="rect">
                      <a:avLst/>
                    </a:prstGeom>
                    <a:noFill/>
                    <a:ln>
                      <a:noFill/>
                    </a:ln>
                  </pic:spPr>
                </pic:pic>
              </a:graphicData>
            </a:graphic>
          </wp:inline>
        </w:drawing>
      </w:r>
    </w:p>
    <w:p w:rsidR="001936E9" w:rsidRPr="001936E9" w:rsidRDefault="001936E9" w:rsidP="001936E9">
      <w:pPr>
        <w:spacing w:before="100" w:beforeAutospacing="1"/>
        <w:rPr>
          <w:rFonts w:ascii="Times New Roman" w:eastAsia="Times New Roman" w:hAnsi="Times New Roman" w:cs="Times New Roman"/>
          <w:color w:val="000000"/>
          <w:lang w:eastAsia="fr-FR"/>
        </w:rPr>
      </w:pPr>
      <w:r w:rsidRPr="001936E9">
        <w:rPr>
          <w:rFonts w:ascii="Arial" w:eastAsia="Times New Roman" w:hAnsi="Arial" w:cs="Arial"/>
          <w:b/>
          <w:bCs/>
          <w:color w:val="000000"/>
          <w:lang w:eastAsia="fr-FR"/>
        </w:rPr>
        <w:t>Répartition des agents non titulaires des EPIC selon le genre et selon la nature du contrat en ETPT</w:t>
      </w:r>
    </w:p>
    <w:p w:rsidR="001936E9" w:rsidRPr="001936E9" w:rsidRDefault="004A44AF" w:rsidP="001936E9">
      <w:pPr>
        <w:spacing w:before="100" w:beforeAutospacing="1"/>
        <w:rPr>
          <w:rFonts w:ascii="Times New Roman" w:eastAsia="Times New Roman" w:hAnsi="Times New Roman" w:cs="Times New Roman"/>
          <w:color w:val="000000"/>
          <w:lang w:eastAsia="fr-FR"/>
        </w:rPr>
      </w:pPr>
      <w:r w:rsidRPr="004A44AF">
        <w:rPr>
          <w:noProof/>
          <w:lang w:eastAsia="fr-FR"/>
        </w:rPr>
        <w:drawing>
          <wp:inline distT="0" distB="0" distL="0" distR="0">
            <wp:extent cx="5478780" cy="868680"/>
            <wp:effectExtent l="0" t="0" r="7620" b="762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8780" cy="868680"/>
                    </a:xfrm>
                    <a:prstGeom prst="rect">
                      <a:avLst/>
                    </a:prstGeom>
                    <a:noFill/>
                    <a:ln>
                      <a:noFill/>
                    </a:ln>
                  </pic:spPr>
                </pic:pic>
              </a:graphicData>
            </a:graphic>
          </wp:inline>
        </w:drawing>
      </w:r>
    </w:p>
    <w:p w:rsidR="001936E9" w:rsidRPr="001936E9" w:rsidRDefault="001936E9" w:rsidP="001936E9">
      <w:pPr>
        <w:spacing w:before="100" w:beforeAutospacing="1"/>
        <w:rPr>
          <w:rFonts w:ascii="Arial" w:eastAsia="Times New Roman" w:hAnsi="Arial" w:cs="Arial"/>
          <w:b/>
          <w:bCs/>
          <w:color w:val="000000"/>
          <w:lang w:eastAsia="fr-FR"/>
        </w:rPr>
      </w:pPr>
      <w:r w:rsidRPr="001936E9">
        <w:rPr>
          <w:rFonts w:ascii="Arial" w:eastAsia="Times New Roman" w:hAnsi="Arial" w:cs="Arial"/>
          <w:b/>
          <w:bCs/>
          <w:color w:val="000000"/>
          <w:lang w:eastAsia="fr-FR"/>
        </w:rPr>
        <w:t>Répartition des agents non titulaires des EPIC selon la catégorie et selon la nature du contrat en ETPT</w:t>
      </w:r>
    </w:p>
    <w:p w:rsidR="001936E9" w:rsidRPr="001936E9" w:rsidRDefault="001936E9" w:rsidP="001936E9">
      <w:pPr>
        <w:rPr>
          <w:rFonts w:ascii="Arial" w:eastAsia="Times New Roman" w:hAnsi="Arial" w:cs="Arial"/>
          <w:bCs/>
          <w:color w:val="000000"/>
          <w:lang w:eastAsia="fr-FR"/>
        </w:rPr>
      </w:pPr>
    </w:p>
    <w:p w:rsidR="001936E9" w:rsidRPr="001936E9" w:rsidRDefault="004A44AF" w:rsidP="001936E9">
      <w:pPr>
        <w:tabs>
          <w:tab w:val="left" w:pos="1220"/>
        </w:tabs>
        <w:rPr>
          <w:rFonts w:ascii="Arial" w:eastAsia="Cambria" w:hAnsi="Arial" w:cs="Times New Roman"/>
        </w:rPr>
      </w:pPr>
      <w:r w:rsidRPr="004A44AF">
        <w:rPr>
          <w:noProof/>
          <w:lang w:eastAsia="fr-FR"/>
        </w:rPr>
        <w:drawing>
          <wp:inline distT="0" distB="0" distL="0" distR="0">
            <wp:extent cx="5478780" cy="952500"/>
            <wp:effectExtent l="0" t="0" r="7620" b="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8780" cy="952500"/>
                    </a:xfrm>
                    <a:prstGeom prst="rect">
                      <a:avLst/>
                    </a:prstGeom>
                    <a:noFill/>
                    <a:ln>
                      <a:noFill/>
                    </a:ln>
                  </pic:spPr>
                </pic:pic>
              </a:graphicData>
            </a:graphic>
          </wp:inline>
        </w:drawing>
      </w:r>
    </w:p>
    <w:p w:rsidR="001936E9" w:rsidRPr="001936E9" w:rsidRDefault="001936E9" w:rsidP="001936E9">
      <w:pPr>
        <w:spacing w:after="160" w:line="259" w:lineRule="auto"/>
        <w:rPr>
          <w:rFonts w:ascii="Arial" w:eastAsia="Times New Roman" w:hAnsi="Arial" w:cs="Arial"/>
          <w:b/>
          <w:bCs/>
          <w:color w:val="000000"/>
          <w:lang w:eastAsia="fr-FR"/>
        </w:rPr>
      </w:pPr>
      <w:r w:rsidRPr="001936E9">
        <w:rPr>
          <w:rFonts w:ascii="Arial" w:eastAsia="Times New Roman" w:hAnsi="Arial" w:cs="Arial"/>
          <w:b/>
          <w:bCs/>
          <w:color w:val="000000"/>
          <w:lang w:eastAsia="fr-FR"/>
        </w:rPr>
        <w:br w:type="page"/>
      </w:r>
    </w:p>
    <w:p w:rsidR="006167C9" w:rsidRDefault="00302249" w:rsidP="00302249">
      <w:pPr>
        <w:widowControl w:val="0"/>
        <w:autoSpaceDE w:val="0"/>
        <w:autoSpaceDN w:val="0"/>
        <w:adjustRightInd w:val="0"/>
        <w:rPr>
          <w:rFonts w:ascii="Florencesans Exp" w:eastAsia="Cambria" w:hAnsi="Florencesans Exp" w:cs="Times New Roman"/>
        </w:rPr>
      </w:pPr>
      <w:r w:rsidRPr="00302249">
        <w:rPr>
          <w:rFonts w:ascii="Florencesans Exp" w:eastAsia="Cambria" w:hAnsi="Florencesans Exp" w:cs="Times New Roman"/>
        </w:rPr>
        <w:lastRenderedPageBreak/>
        <w:t>1. B.</w:t>
      </w:r>
      <w:r>
        <w:rPr>
          <w:rFonts w:ascii="Florencesans Exp" w:eastAsia="Cambria" w:hAnsi="Florencesans Exp" w:cs="Times New Roman"/>
        </w:rPr>
        <w:t xml:space="preserve"> </w:t>
      </w:r>
      <w:r w:rsidRPr="00302249">
        <w:rPr>
          <w:rFonts w:ascii="Florencesans Exp" w:eastAsia="Cambria" w:hAnsi="Florencesans Exp" w:cs="Times New Roman"/>
        </w:rPr>
        <w:t>4</w:t>
      </w:r>
      <w:r w:rsidR="006167C9" w:rsidRPr="00302249">
        <w:rPr>
          <w:rFonts w:ascii="Florencesans Exp" w:eastAsia="Cambria" w:hAnsi="Florencesans Exp" w:cs="Times New Roman"/>
        </w:rPr>
        <w:t xml:space="preserve"> </w:t>
      </w:r>
      <w:r w:rsidR="001936E9" w:rsidRPr="00302249">
        <w:rPr>
          <w:rFonts w:ascii="Florencesans Exp" w:eastAsia="Cambria" w:hAnsi="Florencesans Exp" w:cs="Times New Roman"/>
        </w:rPr>
        <w:t>Z</w:t>
      </w:r>
      <w:r>
        <w:rPr>
          <w:rFonts w:ascii="Florencesans Exp" w:eastAsia="Cambria" w:hAnsi="Florencesans Exp" w:cs="Times New Roman"/>
        </w:rPr>
        <w:t>OOM SUR LES AGENTS HORS PLAFOND ET HORS CHAMP au 31 DECEMBRE 2013</w:t>
      </w:r>
    </w:p>
    <w:p w:rsidR="00302249" w:rsidRPr="00302249" w:rsidRDefault="00302249" w:rsidP="00302249">
      <w:pPr>
        <w:widowControl w:val="0"/>
        <w:autoSpaceDE w:val="0"/>
        <w:autoSpaceDN w:val="0"/>
        <w:adjustRightInd w:val="0"/>
        <w:rPr>
          <w:rFonts w:ascii="Florencesans Exp" w:eastAsia="Cambria" w:hAnsi="Florencesans Exp" w:cs="Times New Roman"/>
        </w:rPr>
      </w:pPr>
    </w:p>
    <w:p w:rsidR="00646BCA" w:rsidRDefault="00220E78" w:rsidP="006167C9">
      <w:pPr>
        <w:tabs>
          <w:tab w:val="left" w:pos="1220"/>
        </w:tabs>
        <w:rPr>
          <w:rFonts w:ascii="BlairMdITC TT-Medium" w:eastAsia="Cambria" w:hAnsi="BlairMdITC TT-Medium" w:cs="Times New Roman"/>
          <w:b/>
          <w:color w:val="FF0080"/>
          <w:sz w:val="28"/>
        </w:rPr>
      </w:pPr>
      <w:r w:rsidRPr="00220E78">
        <w:rPr>
          <w:noProof/>
          <w:lang w:eastAsia="fr-FR"/>
        </w:rPr>
        <w:drawing>
          <wp:inline distT="0" distB="0" distL="0" distR="0">
            <wp:extent cx="5760090" cy="8397240"/>
            <wp:effectExtent l="0" t="0" r="0" b="381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900" cy="8398421"/>
                    </a:xfrm>
                    <a:prstGeom prst="rect">
                      <a:avLst/>
                    </a:prstGeom>
                    <a:noFill/>
                    <a:ln>
                      <a:noFill/>
                    </a:ln>
                  </pic:spPr>
                </pic:pic>
              </a:graphicData>
            </a:graphic>
          </wp:inline>
        </w:drawing>
      </w:r>
    </w:p>
    <w:p w:rsidR="00646BCA" w:rsidRPr="00332467" w:rsidRDefault="00F2030C" w:rsidP="004A44AF">
      <w:pPr>
        <w:spacing w:after="160" w:line="259" w:lineRule="auto"/>
        <w:rPr>
          <w:rFonts w:ascii="Florencesans Exp" w:eastAsia="Cambria" w:hAnsi="Florencesans Exp" w:cs="Times New Roman"/>
          <w:b/>
          <w:color w:val="E917DF"/>
          <w:sz w:val="28"/>
        </w:rPr>
      </w:pPr>
      <w:r>
        <w:rPr>
          <w:rFonts w:ascii="Florencesans Exp" w:eastAsia="Cambria" w:hAnsi="Florencesans Exp" w:cs="Times New Roman"/>
          <w:b/>
          <w:color w:val="E917DF"/>
          <w:sz w:val="28"/>
        </w:rPr>
        <w:br w:type="page"/>
      </w:r>
      <w:r w:rsidR="00646BCA" w:rsidRPr="00332467">
        <w:rPr>
          <w:rFonts w:ascii="Florencesans Exp" w:eastAsia="Cambria" w:hAnsi="Florencesans Exp" w:cs="Times New Roman"/>
          <w:b/>
          <w:color w:val="E917DF"/>
          <w:sz w:val="28"/>
        </w:rPr>
        <w:lastRenderedPageBreak/>
        <w:t>1. C. LES TRAVAILLEURS EN SITUATION DE HANDICAP</w:t>
      </w:r>
    </w:p>
    <w:p w:rsidR="00646BCA" w:rsidRDefault="00646BCA" w:rsidP="00646BCA">
      <w:pPr>
        <w:tabs>
          <w:tab w:val="left" w:pos="1220"/>
        </w:tabs>
        <w:rPr>
          <w:rFonts w:ascii="BlairMdITC TT-Medium" w:eastAsia="Cambria" w:hAnsi="BlairMdITC TT-Medium" w:cs="Times New Roman"/>
          <w:b/>
          <w:color w:val="FF0080"/>
          <w:sz w:val="22"/>
          <w:szCs w:val="22"/>
        </w:rPr>
      </w:pPr>
    </w:p>
    <w:p w:rsidR="001445B4" w:rsidRDefault="001445B4" w:rsidP="00646BCA">
      <w:pPr>
        <w:tabs>
          <w:tab w:val="left" w:pos="1220"/>
        </w:tabs>
        <w:rPr>
          <w:rFonts w:ascii="BlairMdITC TT-Medium" w:eastAsia="Cambria" w:hAnsi="BlairMdITC TT-Medium" w:cs="Times New Roman"/>
          <w:b/>
          <w:color w:val="FF0080"/>
          <w:sz w:val="22"/>
          <w:szCs w:val="22"/>
        </w:rPr>
      </w:pPr>
    </w:p>
    <w:p w:rsidR="001445B4" w:rsidRPr="00646BCA" w:rsidRDefault="001445B4" w:rsidP="00646BCA">
      <w:pPr>
        <w:tabs>
          <w:tab w:val="left" w:pos="1220"/>
        </w:tabs>
        <w:rPr>
          <w:rFonts w:ascii="BlairMdITC TT-Medium" w:eastAsia="Cambria" w:hAnsi="BlairMdITC TT-Medium" w:cs="Times New Roman"/>
          <w:b/>
          <w:color w:val="FF0080"/>
          <w:sz w:val="22"/>
          <w:szCs w:val="22"/>
        </w:rPr>
      </w:pPr>
    </w:p>
    <w:p w:rsidR="00646BCA" w:rsidRPr="001445B4" w:rsidRDefault="00646BCA" w:rsidP="00646BCA">
      <w:pPr>
        <w:widowControl w:val="0"/>
        <w:autoSpaceDE w:val="0"/>
        <w:autoSpaceDN w:val="0"/>
        <w:adjustRightInd w:val="0"/>
        <w:jc w:val="center"/>
        <w:rPr>
          <w:rFonts w:ascii="Arial" w:eastAsia="Cambria" w:hAnsi="Arial" w:cs="Times"/>
          <w:b/>
          <w:bCs/>
          <w:sz w:val="22"/>
          <w:szCs w:val="22"/>
        </w:rPr>
      </w:pPr>
      <w:r w:rsidRPr="001445B4">
        <w:rPr>
          <w:rFonts w:ascii="Arial" w:eastAsia="Cambria" w:hAnsi="Arial" w:cs="Times"/>
          <w:b/>
          <w:bCs/>
          <w:sz w:val="22"/>
          <w:szCs w:val="22"/>
        </w:rPr>
        <w:t>La mise en œuvre de la législation en faveur du recrutement et de l’intégration des personnes en situation handicap</w:t>
      </w:r>
    </w:p>
    <w:p w:rsidR="00646BCA" w:rsidRPr="001445B4" w:rsidRDefault="00646BCA" w:rsidP="00646BCA">
      <w:pPr>
        <w:widowControl w:val="0"/>
        <w:autoSpaceDE w:val="0"/>
        <w:autoSpaceDN w:val="0"/>
        <w:adjustRightInd w:val="0"/>
        <w:jc w:val="center"/>
        <w:rPr>
          <w:rFonts w:ascii="Arial" w:eastAsia="Cambria" w:hAnsi="Arial" w:cs="Times"/>
          <w:sz w:val="22"/>
          <w:szCs w:val="22"/>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La loi n°2005-102 du 11 février 2005 pour l’égalité des droits et des chances, la participation et la citoyenneté des personnes handicapées pose le cadre législatif qui permet aux personnes en situation de handicap de faire carrière dans la fonction publique. À ce titre, le ministère de la Culture et de la Communication s’est engagé sur des objectifs fixés dans le plan handicap ministériel de recrutement 2010-2013.</w:t>
      </w:r>
    </w:p>
    <w:p w:rsidR="00646BCA" w:rsidRPr="001445B4" w:rsidRDefault="00646BCA" w:rsidP="00646BCA">
      <w:pPr>
        <w:widowControl w:val="0"/>
        <w:autoSpaceDE w:val="0"/>
        <w:autoSpaceDN w:val="0"/>
        <w:adjustRightInd w:val="0"/>
        <w:jc w:val="both"/>
        <w:rPr>
          <w:rFonts w:ascii="Arial" w:eastAsia="Cambria" w:hAnsi="Arial" w:cs="Times"/>
          <w:sz w:val="22"/>
          <w:szCs w:val="22"/>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33 personnes ont été recrutées au sein du MCC en 2013.</w:t>
      </w:r>
    </w:p>
    <w:p w:rsidR="00646BCA" w:rsidRPr="001445B4" w:rsidRDefault="00646BCA" w:rsidP="00646BCA">
      <w:pPr>
        <w:widowControl w:val="0"/>
        <w:autoSpaceDE w:val="0"/>
        <w:autoSpaceDN w:val="0"/>
        <w:adjustRightInd w:val="0"/>
        <w:jc w:val="both"/>
        <w:rPr>
          <w:rFonts w:ascii="Arial" w:eastAsia="Cambria" w:hAnsi="Arial" w:cs="Times"/>
          <w:sz w:val="22"/>
          <w:szCs w:val="22"/>
        </w:rPr>
      </w:pPr>
    </w:p>
    <w:p w:rsidR="00646BCA"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Ces nouveaux recrutements s’ajoutent aux agents déjà en poste au sein du ministère pour déterminer le taux d’emploi légal qui prend également en compte, pour son calcul, les montants mobilisés en commande publique auprès des entreprises adaptées et entreprises et services d’aide par le travail (ESAT).</w:t>
      </w:r>
    </w:p>
    <w:p w:rsidR="001445B4" w:rsidRPr="001445B4" w:rsidRDefault="001445B4" w:rsidP="00646BCA">
      <w:pPr>
        <w:widowControl w:val="0"/>
        <w:autoSpaceDE w:val="0"/>
        <w:autoSpaceDN w:val="0"/>
        <w:adjustRightInd w:val="0"/>
        <w:jc w:val="both"/>
        <w:rPr>
          <w:rFonts w:ascii="Arial" w:eastAsia="Cambria" w:hAnsi="Arial" w:cs="Times"/>
          <w:sz w:val="22"/>
          <w:szCs w:val="22"/>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p>
    <w:tbl>
      <w:tblPr>
        <w:tblW w:w="8430" w:type="dxa"/>
        <w:jc w:val="center"/>
        <w:tblCellMar>
          <w:left w:w="70" w:type="dxa"/>
          <w:right w:w="70" w:type="dxa"/>
        </w:tblCellMar>
        <w:tblLook w:val="0000" w:firstRow="0" w:lastRow="0" w:firstColumn="0" w:lastColumn="0" w:noHBand="0" w:noVBand="0"/>
      </w:tblPr>
      <w:tblGrid>
        <w:gridCol w:w="2430"/>
        <w:gridCol w:w="1500"/>
        <w:gridCol w:w="1500"/>
        <w:gridCol w:w="1500"/>
        <w:gridCol w:w="1500"/>
      </w:tblGrid>
      <w:tr w:rsidR="00646BCA" w:rsidRPr="00C363EE" w:rsidTr="00D1704E">
        <w:trPr>
          <w:trHeight w:val="260"/>
          <w:jc w:val="center"/>
        </w:trPr>
        <w:tc>
          <w:tcPr>
            <w:tcW w:w="2430" w:type="dxa"/>
            <w:tcBorders>
              <w:top w:val="nil"/>
              <w:left w:val="nil"/>
              <w:bottom w:val="nil"/>
              <w:right w:val="nil"/>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Pr>
                <w:rFonts w:ascii="Arial" w:eastAsia="Cambria" w:hAnsi="Arial" w:cs="Times New Roman"/>
                <w:b/>
                <w:color w:val="FFFFFF"/>
                <w:sz w:val="20"/>
                <w:szCs w:val="20"/>
                <w:lang w:eastAsia="fr-FR"/>
              </w:rPr>
              <w:t>2010</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Pr>
                <w:rFonts w:ascii="Arial" w:eastAsia="Cambria" w:hAnsi="Arial" w:cs="Times New Roman"/>
                <w:b/>
                <w:color w:val="FFFFFF"/>
                <w:sz w:val="20"/>
                <w:szCs w:val="20"/>
                <w:lang w:eastAsia="fr-FR"/>
              </w:rPr>
              <w:t>2011</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Pr>
                <w:rFonts w:ascii="Arial" w:eastAsia="Cambria" w:hAnsi="Arial" w:cs="Times New Roman"/>
                <w:b/>
                <w:color w:val="FFFFFF"/>
                <w:sz w:val="20"/>
                <w:szCs w:val="20"/>
                <w:lang w:eastAsia="fr-FR"/>
              </w:rPr>
              <w:t>2012</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Pr>
                <w:rFonts w:ascii="Arial" w:eastAsia="Cambria" w:hAnsi="Arial" w:cs="Times New Roman"/>
                <w:b/>
                <w:color w:val="FFFFFF"/>
                <w:sz w:val="20"/>
                <w:szCs w:val="20"/>
                <w:lang w:eastAsia="fr-FR"/>
              </w:rPr>
              <w:t>2013</w:t>
            </w:r>
          </w:p>
        </w:tc>
      </w:tr>
      <w:tr w:rsidR="00646BCA" w:rsidRPr="00C363EE" w:rsidTr="00D1704E">
        <w:trPr>
          <w:trHeight w:val="260"/>
          <w:jc w:val="center"/>
        </w:trPr>
        <w:tc>
          <w:tcPr>
            <w:tcW w:w="2430" w:type="dxa"/>
            <w:tcBorders>
              <w:top w:val="single" w:sz="4" w:space="0" w:color="808080"/>
              <w:left w:val="single" w:sz="4" w:space="0" w:color="808080"/>
              <w:bottom w:val="single" w:sz="4" w:space="0" w:color="808080"/>
              <w:right w:val="single" w:sz="4" w:space="0" w:color="808080"/>
            </w:tcBorders>
            <w:shd w:val="clear" w:color="auto" w:fill="E917DF"/>
            <w:noWrap/>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taux d'emploi</w:t>
            </w:r>
          </w:p>
        </w:tc>
        <w:tc>
          <w:tcPr>
            <w:tcW w:w="1500" w:type="dxa"/>
            <w:tcBorders>
              <w:top w:val="single" w:sz="4" w:space="0" w:color="808080"/>
              <w:left w:val="nil"/>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3,</w:t>
            </w:r>
            <w:r>
              <w:rPr>
                <w:rFonts w:ascii="Arial" w:eastAsia="Cambria" w:hAnsi="Arial" w:cs="Times New Roman"/>
                <w:sz w:val="20"/>
                <w:szCs w:val="20"/>
                <w:lang w:eastAsia="fr-FR"/>
              </w:rPr>
              <w:t>57</w:t>
            </w:r>
            <w:r w:rsidRPr="00C363EE">
              <w:rPr>
                <w:rFonts w:ascii="Arial" w:eastAsia="Cambria" w:hAnsi="Arial" w:cs="Times New Roman"/>
                <w:sz w:val="20"/>
                <w:szCs w:val="20"/>
                <w:lang w:eastAsia="fr-FR"/>
              </w:rPr>
              <w:t>%</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Pr>
                <w:rFonts w:ascii="Arial" w:eastAsia="Cambria" w:hAnsi="Arial" w:cs="Times New Roman"/>
                <w:sz w:val="20"/>
                <w:szCs w:val="20"/>
                <w:lang w:eastAsia="fr-FR"/>
              </w:rPr>
              <w:t>4</w:t>
            </w:r>
            <w:r w:rsidRPr="00C363EE">
              <w:rPr>
                <w:rFonts w:ascii="Arial" w:eastAsia="Cambria" w:hAnsi="Arial" w:cs="Times New Roman"/>
                <w:sz w:val="20"/>
                <w:szCs w:val="20"/>
                <w:lang w:eastAsia="fr-FR"/>
              </w:rPr>
              <w:t>,</w:t>
            </w:r>
            <w:r>
              <w:rPr>
                <w:rFonts w:ascii="Arial" w:eastAsia="Cambria" w:hAnsi="Arial" w:cs="Times New Roman"/>
                <w:sz w:val="20"/>
                <w:szCs w:val="20"/>
                <w:lang w:eastAsia="fr-FR"/>
              </w:rPr>
              <w:t>12</w:t>
            </w:r>
            <w:r w:rsidRPr="00C363EE">
              <w:rPr>
                <w:rFonts w:ascii="Arial" w:eastAsia="Cambria" w:hAnsi="Arial" w:cs="Times New Roman"/>
                <w:sz w:val="20"/>
                <w:szCs w:val="20"/>
                <w:lang w:eastAsia="fr-FR"/>
              </w:rPr>
              <w:t>%</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4,</w:t>
            </w:r>
            <w:r>
              <w:rPr>
                <w:rFonts w:ascii="Arial" w:eastAsia="Cambria" w:hAnsi="Arial" w:cs="Times New Roman"/>
                <w:sz w:val="20"/>
                <w:szCs w:val="20"/>
                <w:lang w:eastAsia="fr-FR"/>
              </w:rPr>
              <w:t>49</w:t>
            </w:r>
            <w:r w:rsidRPr="00C363EE">
              <w:rPr>
                <w:rFonts w:ascii="Arial" w:eastAsia="Cambria" w:hAnsi="Arial" w:cs="Times New Roman"/>
                <w:sz w:val="20"/>
                <w:szCs w:val="20"/>
                <w:lang w:eastAsia="fr-FR"/>
              </w:rPr>
              <w:t>%</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4,</w:t>
            </w:r>
            <w:r>
              <w:rPr>
                <w:rFonts w:ascii="Arial" w:eastAsia="Cambria" w:hAnsi="Arial" w:cs="Times New Roman"/>
                <w:sz w:val="20"/>
                <w:szCs w:val="20"/>
                <w:lang w:eastAsia="fr-FR"/>
              </w:rPr>
              <w:t>7</w:t>
            </w:r>
            <w:r w:rsidRPr="00C363EE">
              <w:rPr>
                <w:rFonts w:ascii="Arial" w:eastAsia="Cambria" w:hAnsi="Arial" w:cs="Times New Roman"/>
                <w:sz w:val="20"/>
                <w:szCs w:val="20"/>
                <w:lang w:eastAsia="fr-FR"/>
              </w:rPr>
              <w:t>9%</w:t>
            </w:r>
          </w:p>
        </w:tc>
      </w:tr>
    </w:tbl>
    <w:p w:rsidR="00646BCA" w:rsidRPr="001445B4" w:rsidRDefault="00646BCA" w:rsidP="00646BCA">
      <w:pPr>
        <w:widowControl w:val="0"/>
        <w:autoSpaceDE w:val="0"/>
        <w:autoSpaceDN w:val="0"/>
        <w:adjustRightInd w:val="0"/>
        <w:jc w:val="both"/>
        <w:rPr>
          <w:rFonts w:ascii="Arial" w:eastAsia="Cambria" w:hAnsi="Arial" w:cs="Times"/>
          <w:b/>
          <w:bCs/>
          <w:sz w:val="22"/>
          <w:szCs w:val="22"/>
        </w:rPr>
      </w:pPr>
    </w:p>
    <w:p w:rsidR="001445B4" w:rsidRPr="001445B4" w:rsidRDefault="001445B4" w:rsidP="00646BCA">
      <w:pPr>
        <w:widowControl w:val="0"/>
        <w:autoSpaceDE w:val="0"/>
        <w:autoSpaceDN w:val="0"/>
        <w:adjustRightInd w:val="0"/>
        <w:jc w:val="both"/>
        <w:rPr>
          <w:rFonts w:ascii="Arial" w:eastAsia="Cambria" w:hAnsi="Arial" w:cs="Times"/>
          <w:b/>
          <w:bCs/>
          <w:sz w:val="22"/>
          <w:szCs w:val="22"/>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L’objectif de taux d’emploi à atteindre pour l’ensemble des départements ministériels au terme de la loi de 2005 est de 6 %.</w:t>
      </w:r>
    </w:p>
    <w:p w:rsidR="00646BCA" w:rsidRPr="001445B4" w:rsidRDefault="00646BCA" w:rsidP="00646BCA">
      <w:pPr>
        <w:widowControl w:val="0"/>
        <w:autoSpaceDE w:val="0"/>
        <w:autoSpaceDN w:val="0"/>
        <w:adjustRightInd w:val="0"/>
        <w:jc w:val="both"/>
        <w:rPr>
          <w:rFonts w:ascii="Arial" w:eastAsia="Cambria" w:hAnsi="Arial" w:cs="Times"/>
          <w:sz w:val="22"/>
          <w:szCs w:val="22"/>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Tant que cet objectif n’est pas atteint le ministère est tenu de contribuer au fonds d'insertion des personnes handicapées dans la fonction publique (FIPHFP). Le montant de la contribution sur les quatre dernières années est le suivant :</w:t>
      </w:r>
    </w:p>
    <w:p w:rsidR="00646BCA" w:rsidRDefault="00646BCA" w:rsidP="00646BCA">
      <w:pPr>
        <w:widowControl w:val="0"/>
        <w:autoSpaceDE w:val="0"/>
        <w:autoSpaceDN w:val="0"/>
        <w:adjustRightInd w:val="0"/>
        <w:jc w:val="both"/>
        <w:rPr>
          <w:rFonts w:ascii="Arial" w:eastAsia="Cambria" w:hAnsi="Arial" w:cs="Times"/>
          <w:sz w:val="22"/>
          <w:szCs w:val="22"/>
        </w:rPr>
      </w:pPr>
    </w:p>
    <w:p w:rsidR="001445B4" w:rsidRPr="001445B4" w:rsidRDefault="001445B4" w:rsidP="00646BCA">
      <w:pPr>
        <w:widowControl w:val="0"/>
        <w:autoSpaceDE w:val="0"/>
        <w:autoSpaceDN w:val="0"/>
        <w:adjustRightInd w:val="0"/>
        <w:jc w:val="both"/>
        <w:rPr>
          <w:rFonts w:ascii="Arial" w:eastAsia="Cambria" w:hAnsi="Arial" w:cs="Times"/>
          <w:sz w:val="22"/>
          <w:szCs w:val="22"/>
        </w:rPr>
      </w:pPr>
    </w:p>
    <w:tbl>
      <w:tblPr>
        <w:tblW w:w="8289" w:type="dxa"/>
        <w:jc w:val="center"/>
        <w:tblLayout w:type="fixed"/>
        <w:tblCellMar>
          <w:left w:w="70" w:type="dxa"/>
          <w:right w:w="70" w:type="dxa"/>
        </w:tblCellMar>
        <w:tblLook w:val="0000" w:firstRow="0" w:lastRow="0" w:firstColumn="0" w:lastColumn="0" w:noHBand="0" w:noVBand="0"/>
      </w:tblPr>
      <w:tblGrid>
        <w:gridCol w:w="2289"/>
        <w:gridCol w:w="1500"/>
        <w:gridCol w:w="1500"/>
        <w:gridCol w:w="1500"/>
        <w:gridCol w:w="1500"/>
      </w:tblGrid>
      <w:tr w:rsidR="00646BCA" w:rsidRPr="00C363EE" w:rsidTr="00D1704E">
        <w:trPr>
          <w:trHeight w:val="260"/>
          <w:jc w:val="center"/>
        </w:trPr>
        <w:tc>
          <w:tcPr>
            <w:tcW w:w="2289" w:type="dxa"/>
            <w:tcBorders>
              <w:top w:val="nil"/>
              <w:left w:val="nil"/>
              <w:bottom w:val="nil"/>
              <w:right w:val="nil"/>
            </w:tcBorders>
            <w:shd w:val="clear" w:color="auto" w:fill="auto"/>
            <w:noWrap/>
            <w:vAlign w:val="bottom"/>
          </w:tcPr>
          <w:p w:rsidR="00646BCA" w:rsidRPr="00C363EE" w:rsidRDefault="00646BCA" w:rsidP="00D1704E">
            <w:pPr>
              <w:rPr>
                <w:rFonts w:ascii="Arial" w:eastAsia="Cambria" w:hAnsi="Arial" w:cs="Times New Roman"/>
                <w:sz w:val="20"/>
                <w:szCs w:val="20"/>
                <w:lang w:eastAsia="fr-FR"/>
              </w:rPr>
            </w:pP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20</w:t>
            </w:r>
            <w:r>
              <w:rPr>
                <w:rFonts w:ascii="Arial" w:eastAsia="Cambria" w:hAnsi="Arial" w:cs="Times New Roman"/>
                <w:b/>
                <w:color w:val="FFFFFF"/>
                <w:sz w:val="20"/>
                <w:szCs w:val="20"/>
                <w:lang w:eastAsia="fr-FR"/>
              </w:rPr>
              <w:t>10</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Pr>
                <w:rFonts w:ascii="Arial" w:eastAsia="Cambria" w:hAnsi="Arial" w:cs="Times New Roman"/>
                <w:b/>
                <w:color w:val="FFFFFF"/>
                <w:sz w:val="20"/>
                <w:szCs w:val="20"/>
                <w:lang w:eastAsia="fr-FR"/>
              </w:rPr>
              <w:t>2011</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Pr>
                <w:rFonts w:ascii="Arial" w:eastAsia="Cambria" w:hAnsi="Arial" w:cs="Times New Roman"/>
                <w:b/>
                <w:color w:val="FFFFFF"/>
                <w:sz w:val="20"/>
                <w:szCs w:val="20"/>
                <w:lang w:eastAsia="fr-FR"/>
              </w:rPr>
              <w:t>2012</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Pr>
                <w:rFonts w:ascii="Arial" w:eastAsia="Cambria" w:hAnsi="Arial" w:cs="Times New Roman"/>
                <w:b/>
                <w:color w:val="FFFFFF"/>
                <w:sz w:val="20"/>
                <w:szCs w:val="20"/>
                <w:lang w:eastAsia="fr-FR"/>
              </w:rPr>
              <w:t>2013</w:t>
            </w:r>
          </w:p>
        </w:tc>
      </w:tr>
      <w:tr w:rsidR="00646BCA" w:rsidRPr="00C363EE" w:rsidTr="00D1704E">
        <w:trPr>
          <w:trHeight w:val="780"/>
          <w:jc w:val="center"/>
        </w:trPr>
        <w:tc>
          <w:tcPr>
            <w:tcW w:w="2289" w:type="dxa"/>
            <w:tcBorders>
              <w:top w:val="single" w:sz="4" w:space="0" w:color="808080"/>
              <w:left w:val="single" w:sz="4" w:space="0" w:color="808080"/>
              <w:bottom w:val="single" w:sz="4" w:space="0" w:color="808080"/>
              <w:right w:val="nil"/>
            </w:tcBorders>
            <w:shd w:val="clear" w:color="auto" w:fill="E917DF"/>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Montant de la contribution versée au FIPHFP</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1 480 636 €</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1 189 55</w:t>
            </w:r>
            <w:r>
              <w:rPr>
                <w:rFonts w:ascii="Arial" w:eastAsia="Cambria" w:hAnsi="Arial" w:cs="Times New Roman"/>
                <w:sz w:val="20"/>
                <w:szCs w:val="20"/>
                <w:lang w:eastAsia="fr-FR"/>
              </w:rPr>
              <w:t>4</w:t>
            </w:r>
            <w:r w:rsidRPr="00C363EE">
              <w:rPr>
                <w:rFonts w:ascii="Arial" w:eastAsia="Cambria" w:hAnsi="Arial" w:cs="Times New Roman"/>
                <w:sz w:val="20"/>
                <w:szCs w:val="20"/>
                <w:lang w:eastAsia="fr-FR"/>
              </w:rPr>
              <w:t xml:space="preserve"> €</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951 478 €</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Pr>
                <w:rFonts w:ascii="Arial" w:eastAsia="Cambria" w:hAnsi="Arial" w:cs="Times New Roman"/>
                <w:sz w:val="20"/>
                <w:szCs w:val="20"/>
                <w:lang w:eastAsia="fr-FR"/>
              </w:rPr>
              <w:t>758 466</w:t>
            </w:r>
            <w:r w:rsidRPr="00C363EE">
              <w:rPr>
                <w:rFonts w:ascii="Arial" w:eastAsia="Cambria" w:hAnsi="Arial" w:cs="Times New Roman"/>
                <w:sz w:val="20"/>
                <w:szCs w:val="20"/>
                <w:lang w:eastAsia="fr-FR"/>
              </w:rPr>
              <w:t xml:space="preserve"> €</w:t>
            </w:r>
          </w:p>
        </w:tc>
      </w:tr>
    </w:tbl>
    <w:p w:rsidR="00646BCA" w:rsidRDefault="00646BCA" w:rsidP="00646BCA">
      <w:pPr>
        <w:widowControl w:val="0"/>
        <w:autoSpaceDE w:val="0"/>
        <w:autoSpaceDN w:val="0"/>
        <w:adjustRightInd w:val="0"/>
        <w:jc w:val="both"/>
        <w:rPr>
          <w:rFonts w:ascii="Arial" w:eastAsia="Cambria" w:hAnsi="Arial" w:cs="Times"/>
          <w:sz w:val="22"/>
          <w:szCs w:val="22"/>
        </w:rPr>
      </w:pPr>
    </w:p>
    <w:p w:rsidR="001445B4" w:rsidRDefault="001445B4">
      <w:pPr>
        <w:spacing w:after="160" w:line="259" w:lineRule="auto"/>
        <w:rPr>
          <w:rFonts w:ascii="Arial" w:eastAsia="Cambria" w:hAnsi="Arial" w:cs="Times"/>
          <w:sz w:val="22"/>
          <w:szCs w:val="22"/>
        </w:rPr>
      </w:pPr>
      <w:r>
        <w:rPr>
          <w:rFonts w:ascii="Arial" w:eastAsia="Cambria" w:hAnsi="Arial" w:cs="Times"/>
          <w:sz w:val="22"/>
          <w:szCs w:val="22"/>
        </w:rPr>
        <w:br w:type="page"/>
      </w:r>
    </w:p>
    <w:p w:rsidR="001445B4" w:rsidRDefault="001445B4" w:rsidP="00646BCA">
      <w:pPr>
        <w:widowControl w:val="0"/>
        <w:autoSpaceDE w:val="0"/>
        <w:autoSpaceDN w:val="0"/>
        <w:adjustRightInd w:val="0"/>
        <w:jc w:val="both"/>
        <w:rPr>
          <w:rFonts w:ascii="Arial" w:eastAsia="Cambria" w:hAnsi="Arial" w:cs="Times"/>
          <w:sz w:val="22"/>
          <w:szCs w:val="22"/>
        </w:rPr>
      </w:pPr>
    </w:p>
    <w:p w:rsidR="00CA62C5" w:rsidRDefault="00CA62C5" w:rsidP="00646BCA">
      <w:pPr>
        <w:widowControl w:val="0"/>
        <w:autoSpaceDE w:val="0"/>
        <w:autoSpaceDN w:val="0"/>
        <w:adjustRightInd w:val="0"/>
        <w:jc w:val="both"/>
        <w:rPr>
          <w:rFonts w:ascii="Arial" w:eastAsia="Cambria" w:hAnsi="Arial" w:cs="Times"/>
          <w:sz w:val="22"/>
          <w:szCs w:val="22"/>
        </w:rPr>
      </w:pPr>
    </w:p>
    <w:p w:rsidR="00CA62C5" w:rsidRPr="001445B4" w:rsidRDefault="00CA62C5" w:rsidP="00646BCA">
      <w:pPr>
        <w:widowControl w:val="0"/>
        <w:autoSpaceDE w:val="0"/>
        <w:autoSpaceDN w:val="0"/>
        <w:adjustRightInd w:val="0"/>
        <w:jc w:val="both"/>
        <w:rPr>
          <w:rFonts w:ascii="Arial" w:eastAsia="Cambria" w:hAnsi="Arial" w:cs="Times"/>
          <w:sz w:val="22"/>
          <w:szCs w:val="22"/>
        </w:rPr>
      </w:pPr>
    </w:p>
    <w:p w:rsidR="00646BCA" w:rsidRDefault="00646BCA" w:rsidP="00646BCA">
      <w:pPr>
        <w:widowControl w:val="0"/>
        <w:autoSpaceDE w:val="0"/>
        <w:autoSpaceDN w:val="0"/>
        <w:adjustRightInd w:val="0"/>
        <w:jc w:val="center"/>
        <w:rPr>
          <w:rFonts w:ascii="Arial" w:eastAsia="Cambria" w:hAnsi="Arial" w:cs="Times"/>
        </w:rPr>
      </w:pPr>
      <w:r>
        <w:rPr>
          <w:rFonts w:ascii="Arial" w:eastAsia="Cambria" w:hAnsi="Arial" w:cs="Times"/>
        </w:rPr>
        <w:t>Evolution de la contribution FIPFFP par rapport à l’évolution du taux d’emploi</w:t>
      </w:r>
    </w:p>
    <w:p w:rsidR="00646BCA" w:rsidRDefault="00646BCA" w:rsidP="00646BCA">
      <w:pPr>
        <w:widowControl w:val="0"/>
        <w:autoSpaceDE w:val="0"/>
        <w:autoSpaceDN w:val="0"/>
        <w:adjustRightInd w:val="0"/>
        <w:jc w:val="both"/>
        <w:rPr>
          <w:rFonts w:ascii="Arial" w:eastAsia="Cambria" w:hAnsi="Arial" w:cs="Times"/>
        </w:rPr>
      </w:pPr>
      <w:r>
        <w:rPr>
          <w:noProof/>
          <w:lang w:eastAsia="fr-FR"/>
        </w:rPr>
        <w:drawing>
          <wp:anchor distT="0" distB="0" distL="114300" distR="114300" simplePos="0" relativeHeight="251697152" behindDoc="1" locked="0" layoutInCell="1" allowOverlap="1" wp14:anchorId="1A917F5F" wp14:editId="5AD02019">
            <wp:simplePos x="0" y="0"/>
            <wp:positionH relativeFrom="margin">
              <wp:posOffset>770255</wp:posOffset>
            </wp:positionH>
            <wp:positionV relativeFrom="paragraph">
              <wp:posOffset>6985</wp:posOffset>
            </wp:positionV>
            <wp:extent cx="4191000" cy="2241550"/>
            <wp:effectExtent l="0" t="0" r="0" b="6350"/>
            <wp:wrapSquare wrapText="bothSides"/>
            <wp:docPr id="35" name="Graphique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Default="00646BCA" w:rsidP="00646BCA">
      <w:pPr>
        <w:widowControl w:val="0"/>
        <w:autoSpaceDE w:val="0"/>
        <w:autoSpaceDN w:val="0"/>
        <w:adjustRightInd w:val="0"/>
        <w:jc w:val="both"/>
        <w:rPr>
          <w:rFonts w:ascii="Arial" w:eastAsia="Cambria" w:hAnsi="Arial" w:cs="Times"/>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Au-delà des chiffres, c’est une mission constante qui est menée sur le</w:t>
      </w:r>
      <w:r w:rsidRPr="001445B4">
        <w:rPr>
          <w:rFonts w:ascii="Arial" w:eastAsia="Cambria" w:hAnsi="Arial" w:cs="Times"/>
          <w:b/>
          <w:bCs/>
          <w:sz w:val="22"/>
          <w:szCs w:val="22"/>
        </w:rPr>
        <w:t xml:space="preserve"> </w:t>
      </w:r>
      <w:r w:rsidRPr="001445B4">
        <w:rPr>
          <w:rFonts w:ascii="Arial" w:eastAsia="Cambria" w:hAnsi="Arial" w:cs="Times"/>
          <w:sz w:val="22"/>
          <w:szCs w:val="22"/>
        </w:rPr>
        <w:t>terrain. L’accompagnement des nouveaux arrivants, les aménagements de poste et le recours au financement du fonds d’insertion pour les personnes handicapées dans la fonction publique (FIPHFP) constituent les principaux moyens mobilisés en faveur de cette politique.</w:t>
      </w:r>
    </w:p>
    <w:p w:rsidR="00646BCA" w:rsidRDefault="00646BCA" w:rsidP="00646BCA">
      <w:pPr>
        <w:widowControl w:val="0"/>
        <w:autoSpaceDE w:val="0"/>
        <w:autoSpaceDN w:val="0"/>
        <w:adjustRightInd w:val="0"/>
        <w:rPr>
          <w:rFonts w:ascii="Arial" w:eastAsia="Cambria" w:hAnsi="Arial" w:cs="Arial"/>
          <w:szCs w:val="15"/>
        </w:rPr>
      </w:pPr>
    </w:p>
    <w:p w:rsidR="001445B4" w:rsidRDefault="001445B4" w:rsidP="00646BCA">
      <w:pPr>
        <w:widowControl w:val="0"/>
        <w:autoSpaceDE w:val="0"/>
        <w:autoSpaceDN w:val="0"/>
        <w:adjustRightInd w:val="0"/>
        <w:rPr>
          <w:rFonts w:ascii="Arial" w:eastAsia="Cambria" w:hAnsi="Arial" w:cs="Arial"/>
          <w:szCs w:val="15"/>
        </w:rPr>
      </w:pPr>
    </w:p>
    <w:p w:rsidR="001445B4" w:rsidRDefault="001445B4">
      <w:pPr>
        <w:spacing w:after="160" w:line="259" w:lineRule="auto"/>
        <w:rPr>
          <w:rFonts w:ascii="Arial" w:eastAsia="Cambria" w:hAnsi="Arial" w:cs="Arial"/>
          <w:szCs w:val="15"/>
        </w:rPr>
      </w:pPr>
      <w:r>
        <w:rPr>
          <w:rFonts w:ascii="Arial" w:eastAsia="Cambria" w:hAnsi="Arial" w:cs="Arial"/>
          <w:szCs w:val="15"/>
        </w:rPr>
        <w:br w:type="page"/>
      </w:r>
    </w:p>
    <w:p w:rsidR="001445B4" w:rsidRPr="00C363EE" w:rsidRDefault="001445B4" w:rsidP="00646BCA">
      <w:pPr>
        <w:widowControl w:val="0"/>
        <w:autoSpaceDE w:val="0"/>
        <w:autoSpaceDN w:val="0"/>
        <w:adjustRightInd w:val="0"/>
        <w:rPr>
          <w:rFonts w:ascii="Arial" w:eastAsia="Cambria" w:hAnsi="Arial" w:cs="Arial"/>
          <w:szCs w:val="15"/>
        </w:rPr>
      </w:pPr>
    </w:p>
    <w:p w:rsidR="00646BCA" w:rsidRPr="00332467" w:rsidRDefault="00646BCA" w:rsidP="00646BCA">
      <w:pPr>
        <w:widowControl w:val="0"/>
        <w:autoSpaceDE w:val="0"/>
        <w:autoSpaceDN w:val="0"/>
        <w:adjustRightInd w:val="0"/>
        <w:ind w:left="1276" w:hanging="1276"/>
        <w:jc w:val="both"/>
        <w:rPr>
          <w:rFonts w:ascii="Florencesans Exp" w:eastAsia="Cambria" w:hAnsi="Florencesans Exp" w:cs="Times New Roman"/>
        </w:rPr>
      </w:pPr>
      <w:r w:rsidRPr="00332467">
        <w:rPr>
          <w:rFonts w:ascii="Florencesans Exp" w:eastAsia="Cambria" w:hAnsi="Florencesans Exp" w:cs="Times New Roman"/>
        </w:rPr>
        <w:t>1. C. 1. NOMBRE DE TRAVAILLEURS HANDICAPES COMPARE A L’OBJECTIF MCC</w:t>
      </w:r>
    </w:p>
    <w:p w:rsidR="00646BCA" w:rsidRPr="00C363EE" w:rsidRDefault="00646BCA" w:rsidP="00646BCA">
      <w:pPr>
        <w:widowControl w:val="0"/>
        <w:autoSpaceDE w:val="0"/>
        <w:autoSpaceDN w:val="0"/>
        <w:adjustRightInd w:val="0"/>
        <w:rPr>
          <w:rFonts w:ascii="Arial" w:eastAsia="Cambria" w:hAnsi="Arial" w:cs="Times"/>
        </w:rPr>
      </w:pPr>
    </w:p>
    <w:p w:rsidR="00646BCA" w:rsidRPr="00646BCA" w:rsidRDefault="00646BCA" w:rsidP="00646BCA">
      <w:pPr>
        <w:widowControl w:val="0"/>
        <w:autoSpaceDE w:val="0"/>
        <w:autoSpaceDN w:val="0"/>
        <w:adjustRightInd w:val="0"/>
        <w:jc w:val="both"/>
        <w:rPr>
          <w:rFonts w:ascii="Arial" w:eastAsia="Cambria" w:hAnsi="Arial" w:cs="Times"/>
          <w:sz w:val="22"/>
          <w:szCs w:val="22"/>
        </w:rPr>
      </w:pPr>
      <w:r w:rsidRPr="00646BCA">
        <w:rPr>
          <w:rFonts w:ascii="Arial" w:eastAsia="Cambria" w:hAnsi="Arial" w:cs="Times"/>
          <w:sz w:val="22"/>
          <w:szCs w:val="22"/>
        </w:rPr>
        <w:t>Cette politique s’est traduite en 2013 par 33 personnes recrutées au sein de notre ministère sur contrat article 27 pour un objectif de 32 recrutements. Ces nouveaux agents ont pris leurs fonctions principalement dans les établissements publics sous tutelle de la direction générale des patrimoines et dans les directions régionales des affaires culturelles. 13 hommes et 20 femmes ont ainsi été recrutés : trois en catégorie A, sept en catégorie B et 23 en catégorie C.</w:t>
      </w:r>
    </w:p>
    <w:p w:rsidR="00646BCA" w:rsidRPr="00646BCA" w:rsidRDefault="00646BCA" w:rsidP="00646BCA">
      <w:pPr>
        <w:widowControl w:val="0"/>
        <w:autoSpaceDE w:val="0"/>
        <w:autoSpaceDN w:val="0"/>
        <w:adjustRightInd w:val="0"/>
        <w:rPr>
          <w:rFonts w:ascii="Arial" w:eastAsia="Cambria" w:hAnsi="Arial" w:cs="Times"/>
          <w:sz w:val="22"/>
          <w:szCs w:val="22"/>
        </w:rPr>
      </w:pPr>
    </w:p>
    <w:p w:rsidR="00646BCA" w:rsidRPr="00646BCA" w:rsidRDefault="00646BCA" w:rsidP="00646BCA">
      <w:pPr>
        <w:widowControl w:val="0"/>
        <w:autoSpaceDE w:val="0"/>
        <w:autoSpaceDN w:val="0"/>
        <w:adjustRightInd w:val="0"/>
        <w:rPr>
          <w:rFonts w:ascii="Arial" w:eastAsia="Cambria" w:hAnsi="Arial" w:cs="Times"/>
          <w:sz w:val="22"/>
          <w:szCs w:val="22"/>
        </w:rPr>
      </w:pPr>
      <w:r w:rsidRPr="00646BCA">
        <w:rPr>
          <w:rFonts w:ascii="Arial" w:eastAsia="Cambria" w:hAnsi="Arial" w:cs="Times"/>
          <w:sz w:val="22"/>
          <w:szCs w:val="22"/>
        </w:rPr>
        <w:t>Les recrutements en 2013 au MCC effectués au titre de l’article 27 :</w:t>
      </w:r>
    </w:p>
    <w:p w:rsidR="00646BCA" w:rsidRPr="00C363EE" w:rsidRDefault="00646BCA" w:rsidP="00646BCA">
      <w:pPr>
        <w:widowControl w:val="0"/>
        <w:autoSpaceDE w:val="0"/>
        <w:autoSpaceDN w:val="0"/>
        <w:adjustRightInd w:val="0"/>
        <w:rPr>
          <w:rFonts w:ascii="Arial" w:eastAsia="Cambria" w:hAnsi="Arial" w:cs="Times"/>
        </w:rPr>
      </w:pPr>
    </w:p>
    <w:tbl>
      <w:tblPr>
        <w:tblW w:w="8080" w:type="dxa"/>
        <w:jc w:val="center"/>
        <w:tblCellMar>
          <w:left w:w="70" w:type="dxa"/>
          <w:right w:w="70" w:type="dxa"/>
        </w:tblCellMar>
        <w:tblLook w:val="0000" w:firstRow="0" w:lastRow="0" w:firstColumn="0" w:lastColumn="0" w:noHBand="0" w:noVBand="0"/>
      </w:tblPr>
      <w:tblGrid>
        <w:gridCol w:w="2080"/>
        <w:gridCol w:w="1500"/>
        <w:gridCol w:w="1500"/>
        <w:gridCol w:w="1500"/>
        <w:gridCol w:w="1500"/>
      </w:tblGrid>
      <w:tr w:rsidR="00646BCA" w:rsidRPr="00C363EE" w:rsidTr="00D1704E">
        <w:trPr>
          <w:trHeight w:val="260"/>
          <w:jc w:val="center"/>
        </w:trPr>
        <w:tc>
          <w:tcPr>
            <w:tcW w:w="2080" w:type="dxa"/>
            <w:tcBorders>
              <w:top w:val="nil"/>
              <w:left w:val="nil"/>
              <w:bottom w:val="nil"/>
              <w:right w:val="nil"/>
            </w:tcBorders>
            <w:shd w:val="clear" w:color="auto" w:fill="auto"/>
            <w:noWrap/>
            <w:vAlign w:val="bottom"/>
          </w:tcPr>
          <w:p w:rsidR="00646BCA" w:rsidRPr="00C363EE" w:rsidRDefault="00646BCA" w:rsidP="00D1704E">
            <w:pPr>
              <w:rPr>
                <w:rFonts w:ascii="Arial" w:eastAsia="Cambria" w:hAnsi="Arial" w:cs="Times New Roman"/>
                <w:sz w:val="20"/>
                <w:szCs w:val="20"/>
                <w:lang w:eastAsia="fr-FR"/>
              </w:rPr>
            </w:pP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tcPr>
          <w:p w:rsidR="00646BCA" w:rsidRPr="003E1C79" w:rsidRDefault="00646BCA" w:rsidP="00D1704E">
            <w:pPr>
              <w:jc w:val="center"/>
              <w:rPr>
                <w:rFonts w:ascii="Arial" w:eastAsia="Cambria" w:hAnsi="Arial" w:cs="Times New Roman"/>
                <w:b/>
                <w:color w:val="FFFFFF"/>
                <w:sz w:val="20"/>
                <w:szCs w:val="20"/>
                <w:lang w:eastAsia="fr-FR"/>
              </w:rPr>
            </w:pPr>
            <w:r w:rsidRPr="003E1C79">
              <w:rPr>
                <w:rFonts w:ascii="Arial" w:eastAsia="Cambria" w:hAnsi="Arial" w:cs="Times New Roman"/>
                <w:b/>
                <w:color w:val="FFFFFF"/>
                <w:sz w:val="20"/>
                <w:szCs w:val="20"/>
                <w:lang w:eastAsia="fr-FR"/>
              </w:rPr>
              <w:t>2010</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tcPr>
          <w:p w:rsidR="00646BCA" w:rsidRPr="003E1C79" w:rsidRDefault="00646BCA" w:rsidP="00D1704E">
            <w:pPr>
              <w:jc w:val="center"/>
              <w:rPr>
                <w:rFonts w:ascii="Arial" w:eastAsia="Cambria" w:hAnsi="Arial" w:cs="Times New Roman"/>
                <w:b/>
                <w:color w:val="FFFFFF"/>
                <w:sz w:val="20"/>
                <w:szCs w:val="20"/>
                <w:lang w:eastAsia="fr-FR"/>
              </w:rPr>
            </w:pPr>
            <w:r w:rsidRPr="003E1C79">
              <w:rPr>
                <w:rFonts w:ascii="Arial" w:eastAsia="Cambria" w:hAnsi="Arial" w:cs="Times New Roman"/>
                <w:b/>
                <w:color w:val="FFFFFF"/>
                <w:sz w:val="20"/>
                <w:szCs w:val="20"/>
                <w:lang w:eastAsia="fr-FR"/>
              </w:rPr>
              <w:t>2011</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tcPr>
          <w:p w:rsidR="00646BCA" w:rsidRPr="003E1C79" w:rsidRDefault="00646BCA" w:rsidP="00D1704E">
            <w:pPr>
              <w:jc w:val="center"/>
              <w:rPr>
                <w:rFonts w:ascii="Arial" w:eastAsia="Cambria" w:hAnsi="Arial" w:cs="Times New Roman"/>
                <w:b/>
                <w:color w:val="FFFFFF"/>
                <w:sz w:val="20"/>
                <w:szCs w:val="20"/>
                <w:lang w:eastAsia="fr-FR"/>
              </w:rPr>
            </w:pPr>
            <w:r w:rsidRPr="003E1C79">
              <w:rPr>
                <w:rFonts w:ascii="Arial" w:eastAsia="Cambria" w:hAnsi="Arial" w:cs="Times New Roman"/>
                <w:b/>
                <w:color w:val="FFFFFF"/>
                <w:sz w:val="20"/>
                <w:szCs w:val="20"/>
                <w:lang w:eastAsia="fr-FR"/>
              </w:rPr>
              <w:t>2012</w:t>
            </w:r>
          </w:p>
        </w:tc>
        <w:tc>
          <w:tcPr>
            <w:tcW w:w="1500" w:type="dxa"/>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201</w:t>
            </w:r>
            <w:r>
              <w:rPr>
                <w:rFonts w:ascii="Arial" w:eastAsia="Cambria" w:hAnsi="Arial" w:cs="Times New Roman"/>
                <w:b/>
                <w:color w:val="FFFFFF"/>
                <w:sz w:val="20"/>
                <w:szCs w:val="20"/>
                <w:lang w:eastAsia="fr-FR"/>
              </w:rPr>
              <w:t>3</w:t>
            </w:r>
          </w:p>
        </w:tc>
      </w:tr>
      <w:tr w:rsidR="00646BCA" w:rsidRPr="00C363EE" w:rsidTr="00D1704E">
        <w:trPr>
          <w:trHeight w:val="520"/>
          <w:jc w:val="center"/>
        </w:trPr>
        <w:tc>
          <w:tcPr>
            <w:tcW w:w="2080" w:type="dxa"/>
            <w:tcBorders>
              <w:top w:val="single" w:sz="4" w:space="0" w:color="808080"/>
              <w:left w:val="single" w:sz="4" w:space="0" w:color="808080"/>
              <w:bottom w:val="single" w:sz="4" w:space="0" w:color="808080"/>
              <w:right w:val="nil"/>
            </w:tcBorders>
            <w:shd w:val="clear" w:color="auto" w:fill="E917DF"/>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objectif de recrutement</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3E1C79" w:rsidRDefault="00646BCA" w:rsidP="00D1704E">
            <w:pPr>
              <w:jc w:val="center"/>
              <w:rPr>
                <w:rFonts w:ascii="Arial" w:eastAsia="Cambria" w:hAnsi="Arial" w:cs="Times New Roman"/>
                <w:sz w:val="20"/>
                <w:szCs w:val="20"/>
                <w:lang w:eastAsia="fr-FR"/>
              </w:rPr>
            </w:pPr>
            <w:r w:rsidRPr="003E1C79">
              <w:rPr>
                <w:rFonts w:ascii="Arial" w:eastAsia="Cambria" w:hAnsi="Arial" w:cs="Times New Roman"/>
                <w:sz w:val="20"/>
                <w:szCs w:val="20"/>
                <w:lang w:eastAsia="fr-FR"/>
              </w:rPr>
              <w:t>23</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3E1C79" w:rsidRDefault="00646BCA" w:rsidP="00D1704E">
            <w:pPr>
              <w:jc w:val="center"/>
              <w:rPr>
                <w:rFonts w:ascii="Arial" w:eastAsia="Cambria" w:hAnsi="Arial" w:cs="Times New Roman"/>
                <w:sz w:val="20"/>
                <w:szCs w:val="20"/>
                <w:lang w:eastAsia="fr-FR"/>
              </w:rPr>
            </w:pPr>
            <w:r w:rsidRPr="003E1C79">
              <w:rPr>
                <w:rFonts w:ascii="Arial" w:eastAsia="Cambria" w:hAnsi="Arial" w:cs="Times New Roman"/>
                <w:sz w:val="20"/>
                <w:szCs w:val="20"/>
                <w:lang w:eastAsia="fr-FR"/>
              </w:rPr>
              <w:t>25</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3E1C79" w:rsidRDefault="00646BCA" w:rsidP="00D1704E">
            <w:pPr>
              <w:jc w:val="center"/>
              <w:rPr>
                <w:rFonts w:ascii="Arial" w:eastAsia="Cambria" w:hAnsi="Arial" w:cs="Times New Roman"/>
                <w:sz w:val="20"/>
                <w:szCs w:val="20"/>
                <w:lang w:eastAsia="fr-FR"/>
              </w:rPr>
            </w:pPr>
            <w:r w:rsidRPr="003E1C79">
              <w:rPr>
                <w:rFonts w:ascii="Arial" w:eastAsia="Cambria" w:hAnsi="Arial" w:cs="Times New Roman"/>
                <w:sz w:val="20"/>
                <w:szCs w:val="20"/>
                <w:lang w:eastAsia="fr-FR"/>
              </w:rPr>
              <w:t>28</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Pr>
                <w:rFonts w:ascii="Arial" w:eastAsia="Cambria" w:hAnsi="Arial" w:cs="Times New Roman"/>
                <w:sz w:val="20"/>
                <w:szCs w:val="20"/>
                <w:lang w:eastAsia="fr-FR"/>
              </w:rPr>
              <w:t>32</w:t>
            </w:r>
          </w:p>
        </w:tc>
      </w:tr>
      <w:tr w:rsidR="00646BCA" w:rsidRPr="00C363EE" w:rsidTr="00D1704E">
        <w:trPr>
          <w:trHeight w:val="520"/>
          <w:jc w:val="center"/>
        </w:trPr>
        <w:tc>
          <w:tcPr>
            <w:tcW w:w="2080" w:type="dxa"/>
            <w:tcBorders>
              <w:top w:val="single" w:sz="4" w:space="0" w:color="808080"/>
              <w:left w:val="single" w:sz="4" w:space="0" w:color="808080"/>
              <w:bottom w:val="single" w:sz="4" w:space="0" w:color="808080"/>
              <w:right w:val="nil"/>
            </w:tcBorders>
            <w:shd w:val="clear" w:color="auto" w:fill="E917DF"/>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recrutements réalisés</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3E1C79" w:rsidRDefault="00646BCA" w:rsidP="00D1704E">
            <w:pPr>
              <w:jc w:val="center"/>
              <w:rPr>
                <w:rFonts w:ascii="Arial" w:eastAsia="Cambria" w:hAnsi="Arial" w:cs="Times New Roman"/>
                <w:sz w:val="20"/>
                <w:szCs w:val="20"/>
                <w:lang w:eastAsia="fr-FR"/>
              </w:rPr>
            </w:pPr>
            <w:r w:rsidRPr="003E1C79">
              <w:rPr>
                <w:rFonts w:ascii="Arial" w:eastAsia="Cambria" w:hAnsi="Arial" w:cs="Times New Roman"/>
                <w:sz w:val="20"/>
                <w:szCs w:val="20"/>
                <w:lang w:eastAsia="fr-FR"/>
              </w:rPr>
              <w:t>24</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3E1C79" w:rsidRDefault="00646BCA" w:rsidP="00D1704E">
            <w:pPr>
              <w:jc w:val="center"/>
              <w:rPr>
                <w:rFonts w:ascii="Arial" w:eastAsia="Cambria" w:hAnsi="Arial" w:cs="Times New Roman"/>
                <w:sz w:val="20"/>
                <w:szCs w:val="20"/>
                <w:lang w:eastAsia="fr-FR"/>
              </w:rPr>
            </w:pPr>
            <w:r w:rsidRPr="003E1C79">
              <w:rPr>
                <w:rFonts w:ascii="Arial" w:eastAsia="Cambria" w:hAnsi="Arial" w:cs="Times New Roman"/>
                <w:sz w:val="20"/>
                <w:szCs w:val="20"/>
                <w:lang w:eastAsia="fr-FR"/>
              </w:rPr>
              <w:t>29</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3E1C79" w:rsidRDefault="00646BCA" w:rsidP="00D1704E">
            <w:pPr>
              <w:jc w:val="center"/>
              <w:rPr>
                <w:rFonts w:ascii="Arial" w:eastAsia="Cambria" w:hAnsi="Arial" w:cs="Times New Roman"/>
                <w:sz w:val="20"/>
                <w:szCs w:val="20"/>
                <w:lang w:eastAsia="fr-FR"/>
              </w:rPr>
            </w:pPr>
            <w:r w:rsidRPr="003E1C79">
              <w:rPr>
                <w:rFonts w:ascii="Arial" w:eastAsia="Cambria" w:hAnsi="Arial" w:cs="Times New Roman"/>
                <w:sz w:val="20"/>
                <w:szCs w:val="20"/>
                <w:lang w:eastAsia="fr-FR"/>
              </w:rPr>
              <w:t>30</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Pr>
                <w:rFonts w:ascii="Arial" w:eastAsia="Cambria" w:hAnsi="Arial" w:cs="Times New Roman"/>
                <w:sz w:val="20"/>
                <w:szCs w:val="20"/>
                <w:lang w:eastAsia="fr-FR"/>
              </w:rPr>
              <w:t>33</w:t>
            </w:r>
          </w:p>
        </w:tc>
      </w:tr>
    </w:tbl>
    <w:p w:rsidR="00646BCA" w:rsidRPr="00C363EE" w:rsidRDefault="00646BCA" w:rsidP="00646BCA">
      <w:pPr>
        <w:widowControl w:val="0"/>
        <w:autoSpaceDE w:val="0"/>
        <w:autoSpaceDN w:val="0"/>
        <w:adjustRightInd w:val="0"/>
        <w:rPr>
          <w:rFonts w:ascii="Arial" w:eastAsia="Cambria" w:hAnsi="Arial" w:cs="Times"/>
        </w:rPr>
      </w:pPr>
    </w:p>
    <w:p w:rsidR="00646BCA" w:rsidRPr="00C363EE" w:rsidRDefault="00646BCA" w:rsidP="00646BCA">
      <w:pPr>
        <w:widowControl w:val="0"/>
        <w:autoSpaceDE w:val="0"/>
        <w:autoSpaceDN w:val="0"/>
        <w:adjustRightInd w:val="0"/>
        <w:rPr>
          <w:rFonts w:ascii="Arial" w:eastAsia="Cambria" w:hAnsi="Arial" w:cs="Times"/>
        </w:rPr>
      </w:pPr>
    </w:p>
    <w:p w:rsidR="00646BCA" w:rsidRPr="00332467" w:rsidRDefault="00646BCA" w:rsidP="00646BCA">
      <w:pPr>
        <w:widowControl w:val="0"/>
        <w:autoSpaceDE w:val="0"/>
        <w:autoSpaceDN w:val="0"/>
        <w:adjustRightInd w:val="0"/>
        <w:jc w:val="both"/>
        <w:rPr>
          <w:rFonts w:ascii="Florencesans Exp" w:eastAsia="Cambria" w:hAnsi="Florencesans Exp" w:cs="Times New Roman"/>
        </w:rPr>
      </w:pPr>
      <w:r w:rsidRPr="00332467">
        <w:rPr>
          <w:rFonts w:ascii="Florencesans Exp" w:eastAsia="Cambria" w:hAnsi="Florencesans Exp" w:cs="Times New Roman"/>
        </w:rPr>
        <w:t xml:space="preserve">1. C. 2. LES MOYENS D’ACTION </w:t>
      </w:r>
    </w:p>
    <w:p w:rsidR="00646BCA" w:rsidRDefault="00646BCA" w:rsidP="00646BCA">
      <w:pPr>
        <w:widowControl w:val="0"/>
        <w:autoSpaceDE w:val="0"/>
        <w:autoSpaceDN w:val="0"/>
        <w:adjustRightInd w:val="0"/>
        <w:jc w:val="both"/>
        <w:rPr>
          <w:rFonts w:ascii="Arial" w:eastAsia="Cambria" w:hAnsi="Arial" w:cs="Times New Roman"/>
          <w:i/>
        </w:rPr>
      </w:pPr>
    </w:p>
    <w:p w:rsidR="00646BCA" w:rsidRPr="00646BCA" w:rsidRDefault="00646BCA" w:rsidP="00646BCA">
      <w:pPr>
        <w:widowControl w:val="0"/>
        <w:autoSpaceDE w:val="0"/>
        <w:autoSpaceDN w:val="0"/>
        <w:adjustRightInd w:val="0"/>
        <w:jc w:val="both"/>
        <w:rPr>
          <w:rFonts w:ascii="Arial" w:eastAsia="Cambria" w:hAnsi="Arial" w:cs="Arial"/>
          <w:b/>
          <w:bCs/>
          <w:i/>
          <w:sz w:val="22"/>
          <w:szCs w:val="22"/>
        </w:rPr>
      </w:pPr>
      <w:r w:rsidRPr="00646BCA">
        <w:rPr>
          <w:rFonts w:ascii="Arial" w:eastAsia="Cambria" w:hAnsi="Arial" w:cs="Times New Roman"/>
          <w:i/>
          <w:sz w:val="22"/>
          <w:szCs w:val="22"/>
        </w:rPr>
        <w:t xml:space="preserve">(Plan de recrutement, suivi spécifique en comité RH, aménagement </w:t>
      </w:r>
      <w:r w:rsidR="00196D25">
        <w:rPr>
          <w:rFonts w:ascii="Arial" w:eastAsia="Cambria" w:hAnsi="Arial" w:cs="Times New Roman"/>
          <w:i/>
          <w:sz w:val="22"/>
          <w:szCs w:val="22"/>
        </w:rPr>
        <w:t xml:space="preserve">de </w:t>
      </w:r>
      <w:r w:rsidRPr="00646BCA">
        <w:rPr>
          <w:rFonts w:ascii="Arial" w:eastAsia="Cambria" w:hAnsi="Arial" w:cs="Times New Roman"/>
          <w:i/>
          <w:sz w:val="22"/>
          <w:szCs w:val="22"/>
        </w:rPr>
        <w:t>poste, différentes étapes, FIPHFP, montants mobilisés, recours aux ESAT : Etablissement</w:t>
      </w:r>
      <w:r w:rsidR="00196D25">
        <w:rPr>
          <w:rFonts w:ascii="Arial" w:eastAsia="Cambria" w:hAnsi="Arial" w:cs="Times New Roman"/>
          <w:i/>
          <w:sz w:val="22"/>
          <w:szCs w:val="22"/>
        </w:rPr>
        <w:t>s</w:t>
      </w:r>
      <w:r w:rsidRPr="00646BCA">
        <w:rPr>
          <w:rFonts w:ascii="Arial" w:eastAsia="Cambria" w:hAnsi="Arial" w:cs="Times New Roman"/>
          <w:i/>
          <w:sz w:val="22"/>
          <w:szCs w:val="22"/>
        </w:rPr>
        <w:t xml:space="preserve"> et Service d’Aide par le Travail…).</w:t>
      </w:r>
    </w:p>
    <w:p w:rsidR="00646BCA" w:rsidRPr="00646BCA" w:rsidRDefault="00646BCA" w:rsidP="00646BCA">
      <w:pPr>
        <w:widowControl w:val="0"/>
        <w:autoSpaceDE w:val="0"/>
        <w:autoSpaceDN w:val="0"/>
        <w:adjustRightInd w:val="0"/>
        <w:rPr>
          <w:rFonts w:ascii="Arial" w:eastAsia="Cambria" w:hAnsi="Arial" w:cs="Times"/>
          <w:b/>
          <w:bCs/>
          <w:sz w:val="22"/>
          <w:szCs w:val="22"/>
        </w:rPr>
      </w:pPr>
    </w:p>
    <w:p w:rsidR="00646BCA" w:rsidRPr="00646BCA" w:rsidRDefault="00646BCA" w:rsidP="00646BCA">
      <w:pPr>
        <w:widowControl w:val="0"/>
        <w:autoSpaceDE w:val="0"/>
        <w:autoSpaceDN w:val="0"/>
        <w:adjustRightInd w:val="0"/>
        <w:jc w:val="both"/>
        <w:rPr>
          <w:rFonts w:ascii="Arial" w:eastAsia="Cambria" w:hAnsi="Arial" w:cs="Times"/>
          <w:sz w:val="22"/>
          <w:szCs w:val="22"/>
        </w:rPr>
      </w:pPr>
      <w:r w:rsidRPr="00646BCA">
        <w:rPr>
          <w:rFonts w:ascii="Arial" w:eastAsia="Cambria" w:hAnsi="Arial" w:cs="Times"/>
          <w:sz w:val="22"/>
          <w:szCs w:val="22"/>
        </w:rPr>
        <w:t>L’aménagement du poste de travail permet à l’agent de travailler dans de meilleures conditions. Dès le recrutement de l’agent, le correspondant handicap ministériel du bureau de l'action sociale et de la prévention informe le service de médecine de prévention. Pour faire aménager son poste, la première étape est la prise de rendez-vous avec le médecin de prévention. C’est un acteur clef et l’interlocuteur privilégié avec lequel l’agent peut dialoguer et échanger librement sur ses problématiques de santé et plus particulièrement de santé au travail. Avec son accord, le médecin de prévention fera une étude de poste susceptible de se concrétiser par un aménagement de poste. L’ensemble de la démarche s’effectue évidemment dans le respect du secret médical.</w:t>
      </w:r>
    </w:p>
    <w:p w:rsidR="00646BCA" w:rsidRPr="00646BCA" w:rsidRDefault="00646BCA" w:rsidP="00646BCA">
      <w:pPr>
        <w:widowControl w:val="0"/>
        <w:autoSpaceDE w:val="0"/>
        <w:autoSpaceDN w:val="0"/>
        <w:adjustRightInd w:val="0"/>
        <w:jc w:val="both"/>
        <w:rPr>
          <w:rFonts w:ascii="Arial" w:eastAsia="Cambria" w:hAnsi="Arial" w:cs="Times"/>
          <w:sz w:val="22"/>
          <w:szCs w:val="22"/>
        </w:rPr>
      </w:pPr>
    </w:p>
    <w:p w:rsidR="00646BCA" w:rsidRPr="00646BCA" w:rsidRDefault="00646BCA" w:rsidP="00646BCA">
      <w:pPr>
        <w:widowControl w:val="0"/>
        <w:autoSpaceDE w:val="0"/>
        <w:autoSpaceDN w:val="0"/>
        <w:adjustRightInd w:val="0"/>
        <w:jc w:val="both"/>
        <w:rPr>
          <w:rFonts w:ascii="Arial" w:eastAsia="Cambria" w:hAnsi="Arial" w:cs="Times"/>
          <w:sz w:val="22"/>
          <w:szCs w:val="22"/>
        </w:rPr>
      </w:pPr>
      <w:r w:rsidRPr="00646BCA">
        <w:rPr>
          <w:rFonts w:ascii="Arial" w:eastAsia="Cambria" w:hAnsi="Arial" w:cs="Times"/>
          <w:sz w:val="22"/>
          <w:szCs w:val="22"/>
        </w:rPr>
        <w:t xml:space="preserve">Si un aménagement est nécessaire, la demande est transmise à l’autorité hiérarchique puis au correspondant handicap pour sa mise en œuvre. De nombreux aménagements sont possibles : mobiliers adaptés (bureaux et fauteuils ergonomiques), outils bureautiques et/ou techniques compensant une déficience visuelle ou auditive (achat de logiciels braille, clavier braille, plage braille, télé agrandisseur, zoom </w:t>
      </w:r>
      <w:r w:rsidR="00B41D42" w:rsidRPr="00646BCA">
        <w:rPr>
          <w:rFonts w:ascii="Arial" w:eastAsia="Cambria" w:hAnsi="Arial" w:cs="Times"/>
          <w:sz w:val="22"/>
          <w:szCs w:val="22"/>
        </w:rPr>
        <w:t>texte</w:t>
      </w:r>
      <w:r w:rsidRPr="00646BCA">
        <w:rPr>
          <w:rFonts w:ascii="Arial" w:eastAsia="Cambria" w:hAnsi="Arial" w:cs="Times"/>
          <w:sz w:val="22"/>
          <w:szCs w:val="22"/>
        </w:rPr>
        <w:t>...) et aides au transport domicile - travail sont les aménagements les plus fréquents.</w:t>
      </w:r>
    </w:p>
    <w:p w:rsidR="00646BCA" w:rsidRPr="00646BCA" w:rsidRDefault="00646BCA" w:rsidP="00646BCA">
      <w:pPr>
        <w:widowControl w:val="0"/>
        <w:autoSpaceDE w:val="0"/>
        <w:autoSpaceDN w:val="0"/>
        <w:adjustRightInd w:val="0"/>
        <w:jc w:val="both"/>
        <w:rPr>
          <w:rFonts w:ascii="Arial" w:eastAsia="Cambria" w:hAnsi="Arial" w:cs="Times"/>
          <w:sz w:val="22"/>
          <w:szCs w:val="22"/>
        </w:rPr>
      </w:pPr>
    </w:p>
    <w:p w:rsidR="00646BCA" w:rsidRPr="00646BCA" w:rsidRDefault="00646BCA" w:rsidP="00646BCA">
      <w:pPr>
        <w:widowControl w:val="0"/>
        <w:autoSpaceDE w:val="0"/>
        <w:autoSpaceDN w:val="0"/>
        <w:adjustRightInd w:val="0"/>
        <w:jc w:val="both"/>
        <w:rPr>
          <w:rFonts w:ascii="Arial" w:eastAsia="Cambria" w:hAnsi="Arial" w:cs="Times"/>
          <w:sz w:val="22"/>
          <w:szCs w:val="22"/>
        </w:rPr>
      </w:pPr>
      <w:r w:rsidRPr="00646BCA">
        <w:rPr>
          <w:rFonts w:ascii="Arial" w:eastAsia="Cambria" w:hAnsi="Arial" w:cs="Times"/>
          <w:sz w:val="22"/>
          <w:szCs w:val="22"/>
        </w:rPr>
        <w:t>Cette liste n’est pas exhaustive et l’aménagement de poste est déterminé en fonction de chaque situation individuelle. Le FIPHFP (Fonds d’insertion des personnes handicapées de la Fonction publique) finance au cas par cas des aides techniques et humaines qui permettent aux employeurs publics de favoriser l’insertion professionnelle et le maintien dans l’emploi des personnes handicapées.</w:t>
      </w:r>
    </w:p>
    <w:p w:rsidR="00646BCA" w:rsidRPr="00646BCA" w:rsidRDefault="00646BCA" w:rsidP="00646BCA">
      <w:pPr>
        <w:widowControl w:val="0"/>
        <w:autoSpaceDE w:val="0"/>
        <w:autoSpaceDN w:val="0"/>
        <w:adjustRightInd w:val="0"/>
        <w:jc w:val="both"/>
        <w:rPr>
          <w:rFonts w:ascii="Arial" w:eastAsia="Cambria" w:hAnsi="Arial" w:cs="Times"/>
          <w:sz w:val="22"/>
          <w:szCs w:val="22"/>
        </w:rPr>
      </w:pPr>
    </w:p>
    <w:p w:rsidR="00646BCA" w:rsidRPr="00646BCA" w:rsidRDefault="00646BCA" w:rsidP="00646BCA">
      <w:pPr>
        <w:widowControl w:val="0"/>
        <w:autoSpaceDE w:val="0"/>
        <w:autoSpaceDN w:val="0"/>
        <w:adjustRightInd w:val="0"/>
        <w:jc w:val="both"/>
        <w:rPr>
          <w:rFonts w:ascii="Arial" w:eastAsia="Cambria" w:hAnsi="Arial" w:cs="Times"/>
          <w:sz w:val="22"/>
          <w:szCs w:val="22"/>
        </w:rPr>
      </w:pPr>
      <w:r w:rsidRPr="00B95022">
        <w:rPr>
          <w:rFonts w:ascii="Arial" w:eastAsia="Cambria" w:hAnsi="Arial" w:cs="Times"/>
          <w:sz w:val="22"/>
          <w:szCs w:val="22"/>
        </w:rPr>
        <w:t>En 2013, 23 agents ont bénéficié de ce dispositif pour lequel 166 258</w:t>
      </w:r>
      <w:r w:rsidRPr="00B95022">
        <w:rPr>
          <w:rFonts w:ascii="Arial" w:eastAsia="Cambria" w:hAnsi="Arial" w:cs="Times New Roman"/>
          <w:sz w:val="22"/>
          <w:szCs w:val="22"/>
        </w:rPr>
        <w:t xml:space="preserve"> €</w:t>
      </w:r>
      <w:r w:rsidRPr="00B95022">
        <w:rPr>
          <w:rFonts w:ascii="Arial" w:eastAsia="Cambria" w:hAnsi="Arial" w:cs="Times"/>
          <w:sz w:val="22"/>
          <w:szCs w:val="22"/>
        </w:rPr>
        <w:t xml:space="preserve"> euros ont été mobilisés.</w:t>
      </w:r>
    </w:p>
    <w:p w:rsidR="00646BCA" w:rsidRPr="00646BCA" w:rsidRDefault="00646BCA" w:rsidP="00646BCA">
      <w:pPr>
        <w:widowControl w:val="0"/>
        <w:autoSpaceDE w:val="0"/>
        <w:autoSpaceDN w:val="0"/>
        <w:adjustRightInd w:val="0"/>
        <w:rPr>
          <w:rFonts w:ascii="Arial" w:eastAsia="Cambria" w:hAnsi="Arial" w:cs="Times"/>
          <w:sz w:val="22"/>
          <w:szCs w:val="22"/>
        </w:rPr>
      </w:pPr>
    </w:p>
    <w:p w:rsidR="00646BCA" w:rsidRPr="00646BCA" w:rsidRDefault="00646BCA" w:rsidP="00646BCA">
      <w:pPr>
        <w:widowControl w:val="0"/>
        <w:autoSpaceDE w:val="0"/>
        <w:autoSpaceDN w:val="0"/>
        <w:adjustRightInd w:val="0"/>
        <w:jc w:val="both"/>
        <w:rPr>
          <w:rFonts w:ascii="Arial" w:eastAsia="Cambria" w:hAnsi="Arial" w:cs="Times"/>
          <w:sz w:val="22"/>
          <w:szCs w:val="22"/>
        </w:rPr>
      </w:pPr>
      <w:r w:rsidRPr="00646BCA">
        <w:rPr>
          <w:rFonts w:ascii="Arial" w:eastAsia="Cambria" w:hAnsi="Arial" w:cs="Times"/>
          <w:sz w:val="22"/>
          <w:szCs w:val="22"/>
        </w:rPr>
        <w:t>Mieux connaître et mieux accueillir les personnes handicapées sont des étapes primordiales pour dépasser les préjugés et favoriser une intégration réussie et durable. L’anticipation de tout accueil apparaît de ce point de vue essentiel.</w:t>
      </w:r>
    </w:p>
    <w:p w:rsidR="00646BCA" w:rsidRDefault="00646BCA" w:rsidP="00646BCA">
      <w:pPr>
        <w:rPr>
          <w:rFonts w:ascii="Arial" w:eastAsia="Cambria" w:hAnsi="Arial" w:cs="Times"/>
        </w:rPr>
      </w:pPr>
      <w:r>
        <w:rPr>
          <w:rFonts w:ascii="Arial" w:eastAsia="Cambria" w:hAnsi="Arial" w:cs="Times"/>
        </w:rPr>
        <w:br w:type="page"/>
      </w:r>
    </w:p>
    <w:p w:rsidR="00646BCA" w:rsidRPr="00C363EE" w:rsidRDefault="00646BCA" w:rsidP="00646BCA">
      <w:pPr>
        <w:widowControl w:val="0"/>
        <w:autoSpaceDE w:val="0"/>
        <w:autoSpaceDN w:val="0"/>
        <w:adjustRightInd w:val="0"/>
        <w:jc w:val="both"/>
        <w:rPr>
          <w:rFonts w:ascii="Arial" w:eastAsia="Cambria" w:hAnsi="Arial" w:cs="Times"/>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Des actions de formations organisées par le département du recrutement, de la mobilité et de la formation du service des ressources humaines sont d’ores et déjà programmées sur l’année 2013 qui s’articuleront sur deux axes : accueil et formation.</w:t>
      </w:r>
    </w:p>
    <w:p w:rsidR="00646BCA" w:rsidRPr="001445B4" w:rsidRDefault="00646BCA" w:rsidP="00646BCA">
      <w:pPr>
        <w:widowControl w:val="0"/>
        <w:autoSpaceDE w:val="0"/>
        <w:autoSpaceDN w:val="0"/>
        <w:adjustRightInd w:val="0"/>
        <w:jc w:val="both"/>
        <w:rPr>
          <w:rFonts w:ascii="Arial" w:eastAsia="Cambria" w:hAnsi="Arial" w:cs="Times"/>
          <w:sz w:val="22"/>
          <w:szCs w:val="22"/>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Leur public cible est celui des encadrants, des équipes de travail appelées à intégrer un collègue en situation de handicap et les agents en situation de handicap eux-mêmes.</w:t>
      </w:r>
    </w:p>
    <w:p w:rsidR="00646BCA" w:rsidRPr="001445B4" w:rsidRDefault="00646BCA" w:rsidP="00646BCA">
      <w:pPr>
        <w:widowControl w:val="0"/>
        <w:autoSpaceDE w:val="0"/>
        <w:autoSpaceDN w:val="0"/>
        <w:adjustRightInd w:val="0"/>
        <w:jc w:val="both"/>
        <w:rPr>
          <w:rFonts w:ascii="Arial" w:eastAsia="Cambria" w:hAnsi="Arial" w:cs="Times"/>
          <w:sz w:val="22"/>
          <w:szCs w:val="22"/>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 xml:space="preserve">Pour accueillir l’agent de façon optimale, une formation de sensibilisation à la notion de handicap est proposée deux fois par semestre à l’entourage de l’agent (chef du service et collègues). Afin d’intégrer et d’accompagner les personnes en situation de handicap recrutées, un plan de formation est prévu. </w:t>
      </w:r>
    </w:p>
    <w:p w:rsidR="00646BCA" w:rsidRPr="001445B4" w:rsidRDefault="00646BCA" w:rsidP="00646BCA">
      <w:pPr>
        <w:widowControl w:val="0"/>
        <w:autoSpaceDE w:val="0"/>
        <w:autoSpaceDN w:val="0"/>
        <w:adjustRightInd w:val="0"/>
        <w:jc w:val="both"/>
        <w:rPr>
          <w:rFonts w:ascii="Arial" w:eastAsia="Cambria" w:hAnsi="Arial" w:cs="Times"/>
          <w:sz w:val="22"/>
          <w:szCs w:val="22"/>
        </w:rPr>
      </w:pPr>
    </w:p>
    <w:p w:rsidR="00646BCA" w:rsidRPr="001445B4" w:rsidRDefault="00646BCA" w:rsidP="00646BCA">
      <w:pPr>
        <w:widowControl w:val="0"/>
        <w:autoSpaceDE w:val="0"/>
        <w:autoSpaceDN w:val="0"/>
        <w:adjustRightInd w:val="0"/>
        <w:jc w:val="both"/>
        <w:rPr>
          <w:rFonts w:ascii="Arial" w:eastAsia="Cambria" w:hAnsi="Arial" w:cs="Times"/>
          <w:sz w:val="22"/>
          <w:szCs w:val="22"/>
        </w:rPr>
      </w:pPr>
      <w:r w:rsidRPr="001445B4">
        <w:rPr>
          <w:rFonts w:ascii="Arial" w:eastAsia="Cambria" w:hAnsi="Arial" w:cs="Times"/>
          <w:sz w:val="22"/>
          <w:szCs w:val="22"/>
        </w:rPr>
        <w:t>Le montant des commandes publiques réalisées au MCC par recours aux établissements et services d’aides par le travail par les services centraux, les services à compétence nationale et les services déconcentrés ont été effectués comme suit :</w:t>
      </w:r>
    </w:p>
    <w:p w:rsidR="00646BCA" w:rsidRPr="00C363EE" w:rsidRDefault="00646BCA" w:rsidP="00646BCA">
      <w:pPr>
        <w:widowControl w:val="0"/>
        <w:autoSpaceDE w:val="0"/>
        <w:autoSpaceDN w:val="0"/>
        <w:adjustRightInd w:val="0"/>
        <w:rPr>
          <w:rFonts w:ascii="Arial" w:eastAsia="Cambria" w:hAnsi="Arial" w:cs="Times"/>
        </w:rPr>
      </w:pPr>
    </w:p>
    <w:tbl>
      <w:tblPr>
        <w:tblW w:w="8080" w:type="dxa"/>
        <w:jc w:val="center"/>
        <w:tblCellMar>
          <w:left w:w="70" w:type="dxa"/>
          <w:right w:w="70" w:type="dxa"/>
        </w:tblCellMar>
        <w:tblLook w:val="0000" w:firstRow="0" w:lastRow="0" w:firstColumn="0" w:lastColumn="0" w:noHBand="0" w:noVBand="0"/>
      </w:tblPr>
      <w:tblGrid>
        <w:gridCol w:w="2080"/>
        <w:gridCol w:w="1500"/>
        <w:gridCol w:w="1500"/>
        <w:gridCol w:w="1500"/>
        <w:gridCol w:w="1500"/>
      </w:tblGrid>
      <w:tr w:rsidR="00646BCA" w:rsidRPr="00C363EE" w:rsidTr="00D1704E">
        <w:trPr>
          <w:trHeight w:val="260"/>
          <w:jc w:val="center"/>
        </w:trPr>
        <w:tc>
          <w:tcPr>
            <w:tcW w:w="2080" w:type="dxa"/>
            <w:tcBorders>
              <w:top w:val="nil"/>
              <w:left w:val="nil"/>
              <w:bottom w:val="nil"/>
              <w:right w:val="nil"/>
            </w:tcBorders>
            <w:shd w:val="clear" w:color="auto" w:fill="auto"/>
            <w:noWrap/>
            <w:vAlign w:val="bottom"/>
          </w:tcPr>
          <w:p w:rsidR="00646BCA" w:rsidRPr="00C363EE" w:rsidRDefault="00646BCA" w:rsidP="00D1704E">
            <w:pPr>
              <w:rPr>
                <w:rFonts w:ascii="Arial" w:eastAsia="Cambria" w:hAnsi="Arial" w:cs="Times New Roman"/>
                <w:sz w:val="20"/>
                <w:szCs w:val="20"/>
                <w:lang w:eastAsia="fr-FR"/>
              </w:rPr>
            </w:pPr>
          </w:p>
        </w:tc>
        <w:tc>
          <w:tcPr>
            <w:tcW w:w="1500" w:type="dxa"/>
            <w:tcBorders>
              <w:top w:val="single" w:sz="4" w:space="0" w:color="808080"/>
              <w:left w:val="single" w:sz="4" w:space="0" w:color="808080"/>
              <w:bottom w:val="nil"/>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20</w:t>
            </w:r>
            <w:r>
              <w:rPr>
                <w:rFonts w:ascii="Arial" w:eastAsia="Cambria" w:hAnsi="Arial" w:cs="Times New Roman"/>
                <w:b/>
                <w:color w:val="FFFFFF"/>
                <w:sz w:val="20"/>
                <w:szCs w:val="20"/>
                <w:lang w:eastAsia="fr-FR"/>
              </w:rPr>
              <w:t>10</w:t>
            </w:r>
          </w:p>
        </w:tc>
        <w:tc>
          <w:tcPr>
            <w:tcW w:w="1500" w:type="dxa"/>
            <w:tcBorders>
              <w:top w:val="single" w:sz="4" w:space="0" w:color="808080"/>
              <w:left w:val="single" w:sz="4" w:space="0" w:color="808080"/>
              <w:bottom w:val="nil"/>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20</w:t>
            </w:r>
            <w:r>
              <w:rPr>
                <w:rFonts w:ascii="Arial" w:eastAsia="Cambria" w:hAnsi="Arial" w:cs="Times New Roman"/>
                <w:b/>
                <w:color w:val="FFFFFF"/>
                <w:sz w:val="20"/>
                <w:szCs w:val="20"/>
                <w:lang w:eastAsia="fr-FR"/>
              </w:rPr>
              <w:t>11</w:t>
            </w:r>
          </w:p>
        </w:tc>
        <w:tc>
          <w:tcPr>
            <w:tcW w:w="1500" w:type="dxa"/>
            <w:tcBorders>
              <w:top w:val="single" w:sz="4" w:space="0" w:color="808080"/>
              <w:left w:val="single" w:sz="4" w:space="0" w:color="808080"/>
              <w:bottom w:val="nil"/>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201</w:t>
            </w:r>
            <w:r>
              <w:rPr>
                <w:rFonts w:ascii="Arial" w:eastAsia="Cambria" w:hAnsi="Arial" w:cs="Times New Roman"/>
                <w:b/>
                <w:color w:val="FFFFFF"/>
                <w:sz w:val="20"/>
                <w:szCs w:val="20"/>
                <w:lang w:eastAsia="fr-FR"/>
              </w:rPr>
              <w:t>2</w:t>
            </w:r>
          </w:p>
        </w:tc>
        <w:tc>
          <w:tcPr>
            <w:tcW w:w="1500" w:type="dxa"/>
            <w:tcBorders>
              <w:top w:val="single" w:sz="4" w:space="0" w:color="808080"/>
              <w:left w:val="single" w:sz="4" w:space="0" w:color="808080"/>
              <w:bottom w:val="nil"/>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201</w:t>
            </w:r>
            <w:r>
              <w:rPr>
                <w:rFonts w:ascii="Arial" w:eastAsia="Cambria" w:hAnsi="Arial" w:cs="Times New Roman"/>
                <w:b/>
                <w:color w:val="FFFFFF"/>
                <w:sz w:val="20"/>
                <w:szCs w:val="20"/>
                <w:lang w:eastAsia="fr-FR"/>
              </w:rPr>
              <w:t>3</w:t>
            </w:r>
          </w:p>
        </w:tc>
      </w:tr>
      <w:tr w:rsidR="00646BCA" w:rsidRPr="00C363EE" w:rsidTr="00D1704E">
        <w:trPr>
          <w:trHeight w:val="1040"/>
          <w:jc w:val="center"/>
        </w:trPr>
        <w:tc>
          <w:tcPr>
            <w:tcW w:w="2080" w:type="dxa"/>
            <w:tcBorders>
              <w:top w:val="single" w:sz="4" w:space="0" w:color="808080"/>
              <w:left w:val="single" w:sz="4" w:space="0" w:color="808080"/>
              <w:bottom w:val="single" w:sz="4" w:space="0" w:color="808080"/>
              <w:right w:val="single" w:sz="4" w:space="0" w:color="808080"/>
            </w:tcBorders>
            <w:shd w:val="clear" w:color="auto" w:fill="E917DF"/>
            <w:vAlign w:val="center"/>
          </w:tcPr>
          <w:p w:rsidR="00646BCA" w:rsidRPr="00C363EE" w:rsidRDefault="00646BCA" w:rsidP="00D1704E">
            <w:pPr>
              <w:jc w:val="center"/>
              <w:rPr>
                <w:rFonts w:ascii="Arial" w:eastAsia="Cambria" w:hAnsi="Arial" w:cs="Times New Roman"/>
                <w:b/>
                <w:color w:val="FFFFFF"/>
                <w:sz w:val="20"/>
                <w:szCs w:val="20"/>
                <w:lang w:eastAsia="fr-FR"/>
              </w:rPr>
            </w:pPr>
            <w:r w:rsidRPr="00C363EE">
              <w:rPr>
                <w:rFonts w:ascii="Arial" w:eastAsia="Cambria" w:hAnsi="Arial" w:cs="Times New Roman"/>
                <w:b/>
                <w:color w:val="FFFFFF"/>
                <w:sz w:val="20"/>
                <w:szCs w:val="20"/>
                <w:lang w:eastAsia="fr-FR"/>
              </w:rPr>
              <w:t>montant réalisé de commande publique par recours aux ESAT</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40 868 €</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22</w:t>
            </w:r>
            <w:r>
              <w:rPr>
                <w:rFonts w:ascii="Arial" w:eastAsia="Cambria" w:hAnsi="Arial" w:cs="Times New Roman"/>
                <w:sz w:val="20"/>
                <w:szCs w:val="20"/>
                <w:lang w:eastAsia="fr-FR"/>
              </w:rPr>
              <w:t> </w:t>
            </w:r>
            <w:r w:rsidRPr="00C363EE">
              <w:rPr>
                <w:rFonts w:ascii="Arial" w:eastAsia="Cambria" w:hAnsi="Arial" w:cs="Times New Roman"/>
                <w:sz w:val="20"/>
                <w:szCs w:val="20"/>
                <w:lang w:eastAsia="fr-FR"/>
              </w:rPr>
              <w:t>602</w:t>
            </w:r>
            <w:r>
              <w:rPr>
                <w:rFonts w:ascii="Arial" w:eastAsia="Cambria" w:hAnsi="Arial" w:cs="Times New Roman"/>
                <w:sz w:val="20"/>
                <w:szCs w:val="20"/>
                <w:lang w:eastAsia="fr-FR"/>
              </w:rPr>
              <w:t xml:space="preserve"> </w:t>
            </w:r>
            <w:r w:rsidRPr="00C363EE">
              <w:rPr>
                <w:rFonts w:ascii="Arial" w:eastAsia="Cambria" w:hAnsi="Arial" w:cs="Times New Roman"/>
                <w:sz w:val="20"/>
                <w:szCs w:val="20"/>
                <w:lang w:eastAsia="fr-FR"/>
              </w:rPr>
              <w:t>€</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sidRPr="00C363EE">
              <w:rPr>
                <w:rFonts w:ascii="Arial" w:eastAsia="Cambria" w:hAnsi="Arial" w:cs="Times New Roman"/>
                <w:sz w:val="20"/>
                <w:szCs w:val="20"/>
                <w:lang w:eastAsia="fr-FR"/>
              </w:rPr>
              <w:t>109 005 €</w:t>
            </w:r>
          </w:p>
        </w:tc>
        <w:tc>
          <w:tcPr>
            <w:tcW w:w="15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20"/>
                <w:szCs w:val="20"/>
                <w:lang w:eastAsia="fr-FR"/>
              </w:rPr>
            </w:pPr>
            <w:r>
              <w:rPr>
                <w:rFonts w:ascii="Arial" w:eastAsia="Cambria" w:hAnsi="Arial" w:cs="Times New Roman"/>
                <w:sz w:val="20"/>
                <w:szCs w:val="20"/>
                <w:lang w:eastAsia="fr-FR"/>
              </w:rPr>
              <w:t>114 594 €</w:t>
            </w:r>
          </w:p>
        </w:tc>
      </w:tr>
    </w:tbl>
    <w:p w:rsidR="00646BCA" w:rsidRPr="00C363EE" w:rsidRDefault="00646BCA" w:rsidP="00646BCA">
      <w:pPr>
        <w:widowControl w:val="0"/>
        <w:autoSpaceDE w:val="0"/>
        <w:autoSpaceDN w:val="0"/>
        <w:adjustRightInd w:val="0"/>
        <w:jc w:val="both"/>
        <w:rPr>
          <w:rFonts w:ascii="Arial" w:eastAsia="Cambria" w:hAnsi="Arial" w:cs="Times"/>
        </w:rPr>
      </w:pPr>
    </w:p>
    <w:p w:rsidR="00646BCA" w:rsidRPr="00C363EE" w:rsidRDefault="00646BCA" w:rsidP="00646BCA">
      <w:pPr>
        <w:widowControl w:val="0"/>
        <w:autoSpaceDE w:val="0"/>
        <w:autoSpaceDN w:val="0"/>
        <w:adjustRightInd w:val="0"/>
        <w:jc w:val="both"/>
        <w:rPr>
          <w:rFonts w:ascii="Arial" w:eastAsia="Cambria" w:hAnsi="Arial" w:cs="Times"/>
        </w:rPr>
      </w:pPr>
    </w:p>
    <w:p w:rsidR="00646BCA" w:rsidRPr="00332467" w:rsidRDefault="00646BCA" w:rsidP="00646BCA">
      <w:pPr>
        <w:widowControl w:val="0"/>
        <w:autoSpaceDE w:val="0"/>
        <w:autoSpaceDN w:val="0"/>
        <w:adjustRightInd w:val="0"/>
        <w:jc w:val="both"/>
        <w:rPr>
          <w:rFonts w:ascii="Florencesans Exp" w:eastAsia="Cambria" w:hAnsi="Florencesans Exp" w:cs="Times New Roman"/>
        </w:rPr>
      </w:pPr>
      <w:r w:rsidRPr="00332467">
        <w:rPr>
          <w:rFonts w:ascii="Florencesans Exp" w:eastAsia="Cambria" w:hAnsi="Florencesans Exp" w:cs="Times New Roman"/>
        </w:rPr>
        <w:t>1. C. 3. VENTILATION DES RECRUTEMENTS PAR CATEGORIE</w:t>
      </w:r>
    </w:p>
    <w:p w:rsidR="00646BCA" w:rsidRPr="00C363EE" w:rsidRDefault="00646BCA" w:rsidP="00646BCA">
      <w:pPr>
        <w:widowControl w:val="0"/>
        <w:autoSpaceDE w:val="0"/>
        <w:autoSpaceDN w:val="0"/>
        <w:adjustRightInd w:val="0"/>
        <w:jc w:val="both"/>
        <w:rPr>
          <w:rFonts w:ascii="Arial" w:eastAsia="Cambria" w:hAnsi="Arial" w:cs="Times"/>
        </w:rPr>
      </w:pPr>
    </w:p>
    <w:p w:rsidR="00646BCA" w:rsidRPr="00C363EE" w:rsidRDefault="00646BCA" w:rsidP="00646BCA">
      <w:pPr>
        <w:widowControl w:val="0"/>
        <w:autoSpaceDE w:val="0"/>
        <w:autoSpaceDN w:val="0"/>
        <w:adjustRightInd w:val="0"/>
        <w:jc w:val="both"/>
        <w:rPr>
          <w:rFonts w:ascii="Arial" w:eastAsia="Cambria" w:hAnsi="Arial" w:cs="Times"/>
        </w:rPr>
      </w:pPr>
      <w:r w:rsidRPr="00C363EE">
        <w:rPr>
          <w:rFonts w:ascii="Arial" w:eastAsia="Cambria" w:hAnsi="Arial" w:cs="Times"/>
        </w:rPr>
        <w:t>Les recrutements de travailleurs en situation de handicap au titre de</w:t>
      </w:r>
      <w:r>
        <w:rPr>
          <w:rFonts w:ascii="Arial" w:eastAsia="Cambria" w:hAnsi="Arial" w:cs="Times"/>
        </w:rPr>
        <w:t>s</w:t>
      </w:r>
      <w:r w:rsidRPr="00C363EE">
        <w:rPr>
          <w:rFonts w:ascii="Arial" w:eastAsia="Cambria" w:hAnsi="Arial" w:cs="Times"/>
        </w:rPr>
        <w:t xml:space="preserve"> année</w:t>
      </w:r>
      <w:r>
        <w:rPr>
          <w:rFonts w:ascii="Arial" w:eastAsia="Cambria" w:hAnsi="Arial" w:cs="Times"/>
        </w:rPr>
        <w:t>s</w:t>
      </w:r>
      <w:r w:rsidRPr="00C363EE">
        <w:rPr>
          <w:rFonts w:ascii="Arial" w:eastAsia="Cambria" w:hAnsi="Arial" w:cs="Times"/>
        </w:rPr>
        <w:t xml:space="preserve"> 201</w:t>
      </w:r>
      <w:r>
        <w:rPr>
          <w:rFonts w:ascii="Arial" w:eastAsia="Cambria" w:hAnsi="Arial" w:cs="Times"/>
        </w:rPr>
        <w:t>1</w:t>
      </w:r>
      <w:r w:rsidRPr="00C363EE">
        <w:rPr>
          <w:rFonts w:ascii="Arial" w:eastAsia="Cambria" w:hAnsi="Arial" w:cs="Times"/>
        </w:rPr>
        <w:t xml:space="preserve"> à 201</w:t>
      </w:r>
      <w:r>
        <w:rPr>
          <w:rFonts w:ascii="Arial" w:eastAsia="Cambria" w:hAnsi="Arial" w:cs="Times"/>
        </w:rPr>
        <w:t>3</w:t>
      </w:r>
      <w:r w:rsidRPr="00C363EE">
        <w:rPr>
          <w:rFonts w:ascii="Arial" w:eastAsia="Cambria" w:hAnsi="Arial" w:cs="Times"/>
        </w:rPr>
        <w:t xml:space="preserve"> se répartissent de la façon suivante :</w:t>
      </w:r>
    </w:p>
    <w:p w:rsidR="00646BCA" w:rsidRPr="00C363EE" w:rsidRDefault="00646BCA" w:rsidP="00646BCA">
      <w:pPr>
        <w:widowControl w:val="0"/>
        <w:autoSpaceDE w:val="0"/>
        <w:autoSpaceDN w:val="0"/>
        <w:adjustRightInd w:val="0"/>
        <w:jc w:val="both"/>
        <w:rPr>
          <w:rFonts w:ascii="Times" w:eastAsia="Cambria" w:hAnsi="Times" w:cs="Times"/>
          <w:b/>
          <w:color w:val="FFFFFF"/>
        </w:rPr>
      </w:pPr>
    </w:p>
    <w:tbl>
      <w:tblPr>
        <w:tblW w:w="11200" w:type="dxa"/>
        <w:tblInd w:w="-998" w:type="dxa"/>
        <w:tblCellMar>
          <w:left w:w="70" w:type="dxa"/>
          <w:right w:w="70" w:type="dxa"/>
        </w:tblCellMar>
        <w:tblLook w:val="0000" w:firstRow="0" w:lastRow="0" w:firstColumn="0" w:lastColumn="0" w:noHBand="0" w:noVBand="0"/>
      </w:tblPr>
      <w:tblGrid>
        <w:gridCol w:w="2229"/>
        <w:gridCol w:w="270"/>
        <w:gridCol w:w="250"/>
        <w:gridCol w:w="270"/>
        <w:gridCol w:w="250"/>
        <w:gridCol w:w="270"/>
        <w:gridCol w:w="341"/>
        <w:gridCol w:w="707"/>
        <w:gridCol w:w="663"/>
        <w:gridCol w:w="270"/>
        <w:gridCol w:w="250"/>
        <w:gridCol w:w="270"/>
        <w:gridCol w:w="250"/>
        <w:gridCol w:w="270"/>
        <w:gridCol w:w="341"/>
        <w:gridCol w:w="696"/>
        <w:gridCol w:w="654"/>
        <w:gridCol w:w="270"/>
        <w:gridCol w:w="250"/>
        <w:gridCol w:w="270"/>
        <w:gridCol w:w="250"/>
        <w:gridCol w:w="270"/>
        <w:gridCol w:w="341"/>
        <w:gridCol w:w="670"/>
        <w:gridCol w:w="628"/>
      </w:tblGrid>
      <w:tr w:rsidR="00646BCA" w:rsidRPr="00C363EE" w:rsidTr="00D1704E">
        <w:trPr>
          <w:trHeight w:val="260"/>
        </w:trPr>
        <w:tc>
          <w:tcPr>
            <w:tcW w:w="2229" w:type="dxa"/>
            <w:vMerge w:val="restart"/>
            <w:tcBorders>
              <w:top w:val="single" w:sz="4" w:space="0" w:color="808080"/>
              <w:left w:val="single" w:sz="4" w:space="0" w:color="808080"/>
              <w:bottom w:val="single" w:sz="4" w:space="0" w:color="808080"/>
              <w:right w:val="single" w:sz="4" w:space="0" w:color="808080"/>
            </w:tcBorders>
            <w:shd w:val="clear" w:color="auto" w:fill="E917DF"/>
            <w:vAlign w:val="center"/>
          </w:tcPr>
          <w:p w:rsidR="00646BCA" w:rsidRPr="00C363EE" w:rsidRDefault="00646BCA" w:rsidP="00D1704E">
            <w:pPr>
              <w:jc w:val="center"/>
              <w:rPr>
                <w:rFonts w:ascii="Arial" w:eastAsia="Cambria" w:hAnsi="Arial" w:cs="Times New Roman"/>
                <w:b/>
                <w:color w:val="FFFFFF"/>
                <w:sz w:val="18"/>
                <w:szCs w:val="16"/>
                <w:lang w:eastAsia="fr-FR"/>
              </w:rPr>
            </w:pPr>
            <w:r w:rsidRPr="00C363EE">
              <w:rPr>
                <w:rFonts w:ascii="Arial" w:eastAsia="Cambria" w:hAnsi="Arial" w:cs="Times New Roman"/>
                <w:b/>
                <w:color w:val="FFFFFF"/>
                <w:sz w:val="18"/>
                <w:szCs w:val="16"/>
                <w:lang w:eastAsia="fr-FR"/>
              </w:rPr>
              <w:t>Agents recrutés comme travailleurs reconnus handicapés par la CDAPH</w:t>
            </w:r>
          </w:p>
        </w:tc>
        <w:tc>
          <w:tcPr>
            <w:tcW w:w="3021" w:type="dxa"/>
            <w:gridSpan w:val="8"/>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16"/>
                <w:lang w:eastAsia="fr-FR"/>
              </w:rPr>
            </w:pPr>
            <w:r w:rsidRPr="00C363EE">
              <w:rPr>
                <w:rFonts w:ascii="Arial" w:eastAsia="Cambria" w:hAnsi="Arial" w:cs="Times New Roman"/>
                <w:b/>
                <w:color w:val="FFFFFF"/>
                <w:sz w:val="20"/>
                <w:szCs w:val="16"/>
                <w:lang w:eastAsia="fr-FR"/>
              </w:rPr>
              <w:t>201</w:t>
            </w:r>
            <w:r>
              <w:rPr>
                <w:rFonts w:ascii="Arial" w:eastAsia="Cambria" w:hAnsi="Arial" w:cs="Times New Roman"/>
                <w:b/>
                <w:color w:val="FFFFFF"/>
                <w:sz w:val="20"/>
                <w:szCs w:val="16"/>
                <w:lang w:eastAsia="fr-FR"/>
              </w:rPr>
              <w:t>1</w:t>
            </w:r>
          </w:p>
        </w:tc>
        <w:tc>
          <w:tcPr>
            <w:tcW w:w="3001" w:type="dxa"/>
            <w:gridSpan w:val="8"/>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16"/>
                <w:lang w:eastAsia="fr-FR"/>
              </w:rPr>
            </w:pPr>
            <w:r w:rsidRPr="00C363EE">
              <w:rPr>
                <w:rFonts w:ascii="Arial" w:eastAsia="Cambria" w:hAnsi="Arial" w:cs="Times New Roman"/>
                <w:b/>
                <w:color w:val="FFFFFF"/>
                <w:sz w:val="20"/>
                <w:szCs w:val="16"/>
                <w:lang w:eastAsia="fr-FR"/>
              </w:rPr>
              <w:t>201</w:t>
            </w:r>
            <w:r>
              <w:rPr>
                <w:rFonts w:ascii="Arial" w:eastAsia="Cambria" w:hAnsi="Arial" w:cs="Times New Roman"/>
                <w:b/>
                <w:color w:val="FFFFFF"/>
                <w:sz w:val="20"/>
                <w:szCs w:val="16"/>
                <w:lang w:eastAsia="fr-FR"/>
              </w:rPr>
              <w:t>2</w:t>
            </w:r>
          </w:p>
        </w:tc>
        <w:tc>
          <w:tcPr>
            <w:tcW w:w="2949" w:type="dxa"/>
            <w:gridSpan w:val="8"/>
            <w:tcBorders>
              <w:top w:val="single" w:sz="4" w:space="0" w:color="808080"/>
              <w:left w:val="single" w:sz="4" w:space="0" w:color="808080"/>
              <w:bottom w:val="single" w:sz="4" w:space="0" w:color="808080"/>
              <w:right w:val="single" w:sz="4" w:space="0" w:color="808080"/>
            </w:tcBorders>
            <w:shd w:val="solid" w:color="A6A6A6" w:fill="auto"/>
            <w:noWrap/>
            <w:vAlign w:val="center"/>
          </w:tcPr>
          <w:p w:rsidR="00646BCA" w:rsidRPr="00C363EE" w:rsidRDefault="00646BCA" w:rsidP="00D1704E">
            <w:pPr>
              <w:jc w:val="center"/>
              <w:rPr>
                <w:rFonts w:ascii="Arial" w:eastAsia="Cambria" w:hAnsi="Arial" w:cs="Times New Roman"/>
                <w:b/>
                <w:color w:val="FFFFFF"/>
                <w:sz w:val="20"/>
                <w:szCs w:val="16"/>
                <w:lang w:eastAsia="fr-FR"/>
              </w:rPr>
            </w:pPr>
            <w:r w:rsidRPr="00C363EE">
              <w:rPr>
                <w:rFonts w:ascii="Arial" w:eastAsia="Cambria" w:hAnsi="Arial" w:cs="Times New Roman"/>
                <w:b/>
                <w:color w:val="FFFFFF"/>
                <w:sz w:val="20"/>
                <w:szCs w:val="16"/>
                <w:lang w:eastAsia="fr-FR"/>
              </w:rPr>
              <w:t>201</w:t>
            </w:r>
            <w:r>
              <w:rPr>
                <w:rFonts w:ascii="Arial" w:eastAsia="Cambria" w:hAnsi="Arial" w:cs="Times New Roman"/>
                <w:b/>
                <w:color w:val="FFFFFF"/>
                <w:sz w:val="20"/>
                <w:szCs w:val="16"/>
                <w:lang w:eastAsia="fr-FR"/>
              </w:rPr>
              <w:t>3</w:t>
            </w:r>
          </w:p>
        </w:tc>
      </w:tr>
      <w:tr w:rsidR="00646BCA" w:rsidRPr="00C363EE" w:rsidTr="00D1704E">
        <w:trPr>
          <w:trHeight w:val="260"/>
        </w:trPr>
        <w:tc>
          <w:tcPr>
            <w:tcW w:w="2229" w:type="dxa"/>
            <w:vMerge/>
            <w:tcBorders>
              <w:top w:val="single" w:sz="4" w:space="0" w:color="808080"/>
              <w:left w:val="single" w:sz="4" w:space="0" w:color="808080"/>
              <w:bottom w:val="single" w:sz="4" w:space="0" w:color="808080"/>
              <w:right w:val="single" w:sz="4" w:space="0" w:color="808080"/>
            </w:tcBorders>
            <w:shd w:val="clear" w:color="auto" w:fill="E917DF"/>
            <w:vAlign w:val="center"/>
          </w:tcPr>
          <w:p w:rsidR="00646BCA" w:rsidRPr="00C363EE" w:rsidRDefault="00646BCA" w:rsidP="00D1704E">
            <w:pPr>
              <w:rPr>
                <w:rFonts w:ascii="Arial" w:eastAsia="Cambria" w:hAnsi="Arial" w:cs="Times New Roman"/>
                <w:sz w:val="18"/>
                <w:szCs w:val="16"/>
                <w:lang w:eastAsia="fr-FR"/>
              </w:rPr>
            </w:pPr>
          </w:p>
        </w:tc>
        <w:tc>
          <w:tcPr>
            <w:tcW w:w="520"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A</w:t>
            </w:r>
          </w:p>
        </w:tc>
        <w:tc>
          <w:tcPr>
            <w:tcW w:w="520"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B</w:t>
            </w:r>
          </w:p>
        </w:tc>
        <w:tc>
          <w:tcPr>
            <w:tcW w:w="611"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C</w:t>
            </w:r>
          </w:p>
        </w:tc>
        <w:tc>
          <w:tcPr>
            <w:tcW w:w="707" w:type="dxa"/>
            <w:vMerge w:val="restart"/>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Total</w:t>
            </w:r>
          </w:p>
        </w:tc>
        <w:tc>
          <w:tcPr>
            <w:tcW w:w="663" w:type="dxa"/>
            <w:vMerge w:val="restart"/>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w:t>
            </w:r>
          </w:p>
        </w:tc>
        <w:tc>
          <w:tcPr>
            <w:tcW w:w="520"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A</w:t>
            </w:r>
          </w:p>
        </w:tc>
        <w:tc>
          <w:tcPr>
            <w:tcW w:w="520"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B</w:t>
            </w:r>
          </w:p>
        </w:tc>
        <w:tc>
          <w:tcPr>
            <w:tcW w:w="611"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C</w:t>
            </w:r>
          </w:p>
        </w:tc>
        <w:tc>
          <w:tcPr>
            <w:tcW w:w="696" w:type="dxa"/>
            <w:vMerge w:val="restart"/>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Total</w:t>
            </w:r>
          </w:p>
        </w:tc>
        <w:tc>
          <w:tcPr>
            <w:tcW w:w="654" w:type="dxa"/>
            <w:vMerge w:val="restart"/>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w:t>
            </w:r>
          </w:p>
        </w:tc>
        <w:tc>
          <w:tcPr>
            <w:tcW w:w="520"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A</w:t>
            </w:r>
          </w:p>
        </w:tc>
        <w:tc>
          <w:tcPr>
            <w:tcW w:w="520"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B</w:t>
            </w:r>
          </w:p>
        </w:tc>
        <w:tc>
          <w:tcPr>
            <w:tcW w:w="611" w:type="dxa"/>
            <w:gridSpan w:val="2"/>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C</w:t>
            </w:r>
          </w:p>
        </w:tc>
        <w:tc>
          <w:tcPr>
            <w:tcW w:w="670" w:type="dxa"/>
            <w:vMerge w:val="restart"/>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Total</w:t>
            </w:r>
          </w:p>
        </w:tc>
        <w:tc>
          <w:tcPr>
            <w:tcW w:w="628" w:type="dxa"/>
            <w:vMerge w:val="restart"/>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w:t>
            </w:r>
          </w:p>
        </w:tc>
      </w:tr>
      <w:tr w:rsidR="00646BCA" w:rsidRPr="00C363EE" w:rsidTr="00D1704E">
        <w:trPr>
          <w:trHeight w:val="260"/>
        </w:trPr>
        <w:tc>
          <w:tcPr>
            <w:tcW w:w="2229" w:type="dxa"/>
            <w:vMerge/>
            <w:tcBorders>
              <w:top w:val="single" w:sz="4" w:space="0" w:color="808080"/>
              <w:left w:val="single" w:sz="4" w:space="0" w:color="808080"/>
              <w:bottom w:val="single" w:sz="4" w:space="0" w:color="808080"/>
              <w:right w:val="single" w:sz="4" w:space="0" w:color="808080"/>
            </w:tcBorders>
            <w:shd w:val="clear" w:color="auto" w:fill="E917DF"/>
            <w:vAlign w:val="center"/>
          </w:tcPr>
          <w:p w:rsidR="00646BCA" w:rsidRPr="00C363EE" w:rsidRDefault="00646BCA" w:rsidP="00D1704E">
            <w:pPr>
              <w:rPr>
                <w:rFonts w:ascii="Arial" w:eastAsia="Cambria" w:hAnsi="Arial" w:cs="Times New Roman"/>
                <w:sz w:val="18"/>
                <w:szCs w:val="16"/>
                <w:lang w:eastAsia="fr-FR"/>
              </w:rPr>
            </w:pP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707" w:type="dxa"/>
            <w:vMerge/>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rPr>
                <w:rFonts w:ascii="Arial" w:eastAsia="Cambria" w:hAnsi="Arial" w:cs="Times New Roman"/>
                <w:b/>
                <w:sz w:val="18"/>
                <w:szCs w:val="16"/>
                <w:lang w:eastAsia="fr-FR"/>
              </w:rPr>
            </w:pPr>
          </w:p>
        </w:tc>
        <w:tc>
          <w:tcPr>
            <w:tcW w:w="663" w:type="dxa"/>
            <w:vMerge/>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rPr>
                <w:rFonts w:ascii="Arial" w:eastAsia="Cambria" w:hAnsi="Arial" w:cs="Times New Roman"/>
                <w:b/>
                <w:sz w:val="18"/>
                <w:szCs w:val="16"/>
                <w:lang w:eastAsia="fr-FR"/>
              </w:rPr>
            </w:pP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696" w:type="dxa"/>
            <w:vMerge/>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rPr>
                <w:rFonts w:ascii="Arial" w:eastAsia="Cambria" w:hAnsi="Arial" w:cs="Times New Roman"/>
                <w:b/>
                <w:sz w:val="18"/>
                <w:szCs w:val="16"/>
                <w:lang w:eastAsia="fr-FR"/>
              </w:rPr>
            </w:pPr>
          </w:p>
        </w:tc>
        <w:tc>
          <w:tcPr>
            <w:tcW w:w="654" w:type="dxa"/>
            <w:vMerge/>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rPr>
                <w:rFonts w:ascii="Arial" w:eastAsia="Cambria" w:hAnsi="Arial" w:cs="Times New Roman"/>
                <w:b/>
                <w:sz w:val="18"/>
                <w:szCs w:val="16"/>
                <w:lang w:eastAsia="fr-FR"/>
              </w:rPr>
            </w:pP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H</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F</w:t>
            </w:r>
          </w:p>
        </w:tc>
        <w:tc>
          <w:tcPr>
            <w:tcW w:w="670" w:type="dxa"/>
            <w:vMerge/>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rPr>
                <w:rFonts w:ascii="Arial" w:eastAsia="Cambria" w:hAnsi="Arial" w:cs="Times New Roman"/>
                <w:sz w:val="18"/>
                <w:szCs w:val="16"/>
                <w:lang w:eastAsia="fr-FR"/>
              </w:rPr>
            </w:pPr>
          </w:p>
        </w:tc>
        <w:tc>
          <w:tcPr>
            <w:tcW w:w="628" w:type="dxa"/>
            <w:vMerge/>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rPr>
                <w:rFonts w:ascii="Arial" w:eastAsia="Cambria" w:hAnsi="Arial" w:cs="Times New Roman"/>
                <w:sz w:val="18"/>
                <w:szCs w:val="16"/>
                <w:lang w:eastAsia="fr-FR"/>
              </w:rPr>
            </w:pPr>
          </w:p>
        </w:tc>
      </w:tr>
      <w:tr w:rsidR="00646BCA" w:rsidRPr="00C363EE" w:rsidTr="00D1704E">
        <w:trPr>
          <w:trHeight w:val="400"/>
        </w:trPr>
        <w:tc>
          <w:tcPr>
            <w:tcW w:w="2229" w:type="dxa"/>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sur contrat art 27 de la loi 84-16</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2</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2</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6</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14</w:t>
            </w:r>
          </w:p>
        </w:tc>
        <w:tc>
          <w:tcPr>
            <w:tcW w:w="707"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25</w:t>
            </w:r>
          </w:p>
        </w:tc>
        <w:tc>
          <w:tcPr>
            <w:tcW w:w="663"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86%</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2</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4</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5</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8</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11</w:t>
            </w:r>
          </w:p>
        </w:tc>
        <w:tc>
          <w:tcPr>
            <w:tcW w:w="696"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30</w:t>
            </w:r>
          </w:p>
        </w:tc>
        <w:tc>
          <w:tcPr>
            <w:tcW w:w="654"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100%</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2</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Pr>
                <w:rFonts w:ascii="Arial" w:eastAsia="Cambria" w:hAnsi="Arial" w:cs="Times New Roman"/>
                <w:sz w:val="18"/>
                <w:szCs w:val="16"/>
                <w:lang w:eastAsia="fr-FR"/>
              </w:rPr>
              <w:t>1</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Pr>
                <w:rFonts w:ascii="Arial" w:eastAsia="Cambria" w:hAnsi="Arial" w:cs="Times New Roman"/>
                <w:sz w:val="18"/>
                <w:szCs w:val="16"/>
                <w:lang w:eastAsia="fr-FR"/>
              </w:rPr>
              <w:t>2</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5</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Pr>
                <w:rFonts w:ascii="Arial" w:eastAsia="Cambria" w:hAnsi="Arial" w:cs="Times New Roman"/>
                <w:sz w:val="18"/>
                <w:szCs w:val="16"/>
                <w:lang w:eastAsia="fr-FR"/>
              </w:rPr>
              <w:t>9</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w:t>
            </w:r>
            <w:r>
              <w:rPr>
                <w:rFonts w:ascii="Arial" w:eastAsia="Cambria" w:hAnsi="Arial" w:cs="Times New Roman"/>
                <w:sz w:val="18"/>
                <w:szCs w:val="16"/>
                <w:lang w:eastAsia="fr-FR"/>
              </w:rPr>
              <w:t>4</w:t>
            </w:r>
          </w:p>
        </w:tc>
        <w:tc>
          <w:tcPr>
            <w:tcW w:w="670"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3</w:t>
            </w:r>
            <w:r>
              <w:rPr>
                <w:rFonts w:ascii="Arial" w:eastAsia="Cambria" w:hAnsi="Arial" w:cs="Times New Roman"/>
                <w:sz w:val="18"/>
                <w:szCs w:val="16"/>
                <w:lang w:eastAsia="fr-FR"/>
              </w:rPr>
              <w:t>3</w:t>
            </w:r>
          </w:p>
        </w:tc>
        <w:tc>
          <w:tcPr>
            <w:tcW w:w="628"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100%</w:t>
            </w:r>
          </w:p>
        </w:tc>
      </w:tr>
      <w:tr w:rsidR="00646BCA" w:rsidRPr="00C363EE" w:rsidTr="00D1704E">
        <w:trPr>
          <w:trHeight w:val="400"/>
        </w:trPr>
        <w:tc>
          <w:tcPr>
            <w:tcW w:w="2229" w:type="dxa"/>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par concours externe de droit commun</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707"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w:t>
            </w:r>
          </w:p>
        </w:tc>
        <w:tc>
          <w:tcPr>
            <w:tcW w:w="663"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3%</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696"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654"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670"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628"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r>
      <w:tr w:rsidR="00646BCA" w:rsidRPr="00C363EE" w:rsidTr="00D1704E">
        <w:trPr>
          <w:trHeight w:val="600"/>
        </w:trPr>
        <w:tc>
          <w:tcPr>
            <w:tcW w:w="2229" w:type="dxa"/>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sur contrat article 4 et 6 de la loi 84-16 ou ouvriers d'Etat</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707"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663"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696"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654"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670"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628"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r>
      <w:tr w:rsidR="00646BCA" w:rsidRPr="00C363EE" w:rsidTr="00D1704E">
        <w:trPr>
          <w:trHeight w:val="260"/>
        </w:trPr>
        <w:tc>
          <w:tcPr>
            <w:tcW w:w="2229" w:type="dxa"/>
            <w:tcBorders>
              <w:top w:val="single" w:sz="4" w:space="0" w:color="808080"/>
              <w:left w:val="single" w:sz="4" w:space="0" w:color="808080"/>
              <w:bottom w:val="single" w:sz="4" w:space="0" w:color="808080"/>
              <w:right w:val="single" w:sz="4" w:space="0" w:color="808080"/>
            </w:tcBorders>
            <w:shd w:val="solid" w:color="D9D9D9" w:fill="auto"/>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par détachement</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2</w:t>
            </w:r>
          </w:p>
        </w:tc>
        <w:tc>
          <w:tcPr>
            <w:tcW w:w="707"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3</w:t>
            </w:r>
          </w:p>
        </w:tc>
        <w:tc>
          <w:tcPr>
            <w:tcW w:w="663"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10%</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696"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654"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5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27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341"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 </w:t>
            </w:r>
          </w:p>
        </w:tc>
        <w:tc>
          <w:tcPr>
            <w:tcW w:w="670"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c>
          <w:tcPr>
            <w:tcW w:w="628" w:type="dxa"/>
            <w:tcBorders>
              <w:top w:val="single" w:sz="4" w:space="0" w:color="808080"/>
              <w:left w:val="single" w:sz="4" w:space="0" w:color="808080"/>
              <w:bottom w:val="single" w:sz="4" w:space="0" w:color="808080"/>
              <w:right w:val="single" w:sz="4" w:space="0" w:color="808080"/>
            </w:tcBorders>
            <w:shd w:val="solid" w:color="D9D9D9" w:fill="auto"/>
            <w:noWrap/>
            <w:vAlign w:val="center"/>
          </w:tcPr>
          <w:p w:rsidR="00646BCA" w:rsidRPr="00C363EE" w:rsidRDefault="00646BCA" w:rsidP="00D1704E">
            <w:pPr>
              <w:jc w:val="center"/>
              <w:rPr>
                <w:rFonts w:ascii="Arial" w:eastAsia="Cambria" w:hAnsi="Arial" w:cs="Times New Roman"/>
                <w:sz w:val="18"/>
                <w:szCs w:val="16"/>
                <w:lang w:eastAsia="fr-FR"/>
              </w:rPr>
            </w:pPr>
            <w:r w:rsidRPr="00C363EE">
              <w:rPr>
                <w:rFonts w:ascii="Arial" w:eastAsia="Cambria" w:hAnsi="Arial" w:cs="Times New Roman"/>
                <w:sz w:val="18"/>
                <w:szCs w:val="16"/>
                <w:lang w:eastAsia="fr-FR"/>
              </w:rPr>
              <w:t>0%</w:t>
            </w:r>
          </w:p>
        </w:tc>
      </w:tr>
      <w:tr w:rsidR="00646BCA" w:rsidRPr="00C363EE" w:rsidTr="00D1704E">
        <w:trPr>
          <w:trHeight w:val="260"/>
        </w:trPr>
        <w:tc>
          <w:tcPr>
            <w:tcW w:w="2229" w:type="dxa"/>
            <w:tcBorders>
              <w:top w:val="single" w:sz="4" w:space="0" w:color="808080"/>
              <w:left w:val="single" w:sz="4" w:space="0" w:color="808080"/>
              <w:bottom w:val="single" w:sz="4" w:space="0" w:color="808080"/>
              <w:right w:val="single" w:sz="4" w:space="0" w:color="808080"/>
            </w:tcBorders>
            <w:shd w:val="solid" w:color="BFBFBF" w:fill="auto"/>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TOTAL</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0</w:t>
            </w:r>
          </w:p>
        </w:tc>
        <w:tc>
          <w:tcPr>
            <w:tcW w:w="25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3</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2</w:t>
            </w:r>
          </w:p>
        </w:tc>
        <w:tc>
          <w:tcPr>
            <w:tcW w:w="25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1</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7</w:t>
            </w:r>
          </w:p>
        </w:tc>
        <w:tc>
          <w:tcPr>
            <w:tcW w:w="341"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16</w:t>
            </w:r>
          </w:p>
        </w:tc>
        <w:tc>
          <w:tcPr>
            <w:tcW w:w="707"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29</w:t>
            </w:r>
          </w:p>
        </w:tc>
        <w:tc>
          <w:tcPr>
            <w:tcW w:w="663"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100%</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2</w:t>
            </w:r>
          </w:p>
        </w:tc>
        <w:tc>
          <w:tcPr>
            <w:tcW w:w="25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0</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4</w:t>
            </w:r>
          </w:p>
        </w:tc>
        <w:tc>
          <w:tcPr>
            <w:tcW w:w="25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5</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8</w:t>
            </w:r>
          </w:p>
        </w:tc>
        <w:tc>
          <w:tcPr>
            <w:tcW w:w="341"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11</w:t>
            </w:r>
          </w:p>
        </w:tc>
        <w:tc>
          <w:tcPr>
            <w:tcW w:w="696"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30</w:t>
            </w:r>
          </w:p>
        </w:tc>
        <w:tc>
          <w:tcPr>
            <w:tcW w:w="654"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100%</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2</w:t>
            </w:r>
          </w:p>
        </w:tc>
        <w:tc>
          <w:tcPr>
            <w:tcW w:w="25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Pr>
                <w:rFonts w:ascii="Arial" w:eastAsia="Cambria" w:hAnsi="Arial" w:cs="Times New Roman"/>
                <w:b/>
                <w:sz w:val="18"/>
                <w:szCs w:val="16"/>
                <w:lang w:eastAsia="fr-FR"/>
              </w:rPr>
              <w:t>1</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Pr>
                <w:rFonts w:ascii="Arial" w:eastAsia="Cambria" w:hAnsi="Arial" w:cs="Times New Roman"/>
                <w:b/>
                <w:sz w:val="18"/>
                <w:szCs w:val="16"/>
                <w:lang w:eastAsia="fr-FR"/>
              </w:rPr>
              <w:t>2</w:t>
            </w:r>
          </w:p>
        </w:tc>
        <w:tc>
          <w:tcPr>
            <w:tcW w:w="25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5</w:t>
            </w:r>
          </w:p>
        </w:tc>
        <w:tc>
          <w:tcPr>
            <w:tcW w:w="2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Pr>
                <w:rFonts w:ascii="Arial" w:eastAsia="Cambria" w:hAnsi="Arial" w:cs="Times New Roman"/>
                <w:b/>
                <w:sz w:val="18"/>
                <w:szCs w:val="16"/>
                <w:lang w:eastAsia="fr-FR"/>
              </w:rPr>
              <w:t>9</w:t>
            </w:r>
          </w:p>
        </w:tc>
        <w:tc>
          <w:tcPr>
            <w:tcW w:w="341"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1</w:t>
            </w:r>
            <w:r>
              <w:rPr>
                <w:rFonts w:ascii="Arial" w:eastAsia="Cambria" w:hAnsi="Arial" w:cs="Times New Roman"/>
                <w:b/>
                <w:sz w:val="18"/>
                <w:szCs w:val="16"/>
                <w:lang w:eastAsia="fr-FR"/>
              </w:rPr>
              <w:t>4</w:t>
            </w:r>
          </w:p>
        </w:tc>
        <w:tc>
          <w:tcPr>
            <w:tcW w:w="670"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3</w:t>
            </w:r>
            <w:r>
              <w:rPr>
                <w:rFonts w:ascii="Arial" w:eastAsia="Cambria" w:hAnsi="Arial" w:cs="Times New Roman"/>
                <w:b/>
                <w:sz w:val="18"/>
                <w:szCs w:val="16"/>
                <w:lang w:eastAsia="fr-FR"/>
              </w:rPr>
              <w:t>3</w:t>
            </w:r>
          </w:p>
        </w:tc>
        <w:tc>
          <w:tcPr>
            <w:tcW w:w="628" w:type="dxa"/>
            <w:tcBorders>
              <w:top w:val="single" w:sz="4" w:space="0" w:color="808080"/>
              <w:left w:val="single" w:sz="4" w:space="0" w:color="808080"/>
              <w:bottom w:val="single" w:sz="4" w:space="0" w:color="808080"/>
              <w:right w:val="single" w:sz="4" w:space="0" w:color="808080"/>
            </w:tcBorders>
            <w:shd w:val="solid" w:color="BFBFBF" w:fill="auto"/>
            <w:noWrap/>
            <w:vAlign w:val="center"/>
          </w:tcPr>
          <w:p w:rsidR="00646BCA" w:rsidRPr="00C363EE" w:rsidRDefault="00646BCA" w:rsidP="00D1704E">
            <w:pPr>
              <w:jc w:val="center"/>
              <w:rPr>
                <w:rFonts w:ascii="Arial" w:eastAsia="Cambria" w:hAnsi="Arial" w:cs="Times New Roman"/>
                <w:b/>
                <w:sz w:val="18"/>
                <w:szCs w:val="16"/>
                <w:lang w:eastAsia="fr-FR"/>
              </w:rPr>
            </w:pPr>
            <w:r w:rsidRPr="00C363EE">
              <w:rPr>
                <w:rFonts w:ascii="Arial" w:eastAsia="Cambria" w:hAnsi="Arial" w:cs="Times New Roman"/>
                <w:b/>
                <w:sz w:val="18"/>
                <w:szCs w:val="16"/>
                <w:lang w:eastAsia="fr-FR"/>
              </w:rPr>
              <w:t>100%</w:t>
            </w:r>
          </w:p>
        </w:tc>
      </w:tr>
    </w:tbl>
    <w:p w:rsidR="00646BCA" w:rsidRDefault="00646BCA" w:rsidP="00646BCA">
      <w:pPr>
        <w:tabs>
          <w:tab w:val="left" w:pos="1220"/>
        </w:tabs>
        <w:jc w:val="both"/>
        <w:rPr>
          <w:rFonts w:ascii="BlairMdITC TT-Medium" w:eastAsia="Cambria" w:hAnsi="BlairMdITC TT-Medium" w:cs="Times New Roman"/>
          <w:b/>
          <w:color w:val="FF0080"/>
          <w:sz w:val="28"/>
        </w:rPr>
      </w:pPr>
    </w:p>
    <w:p w:rsidR="00646BCA" w:rsidRDefault="00646BCA" w:rsidP="00646BCA">
      <w:pPr>
        <w:rPr>
          <w:rFonts w:ascii="BlairMdITC TT-Medium" w:eastAsia="Cambria" w:hAnsi="BlairMdITC TT-Medium" w:cs="Times New Roman"/>
          <w:b/>
          <w:color w:val="FF0080"/>
          <w:sz w:val="28"/>
        </w:rPr>
      </w:pPr>
      <w:r>
        <w:rPr>
          <w:rFonts w:ascii="BlairMdITC TT-Medium" w:eastAsia="Cambria" w:hAnsi="BlairMdITC TT-Medium" w:cs="Times New Roman"/>
          <w:b/>
          <w:color w:val="FF0080"/>
          <w:sz w:val="28"/>
        </w:rPr>
        <w:br w:type="page"/>
      </w:r>
    </w:p>
    <w:p w:rsidR="00646BCA" w:rsidRPr="00332467" w:rsidRDefault="00646BCA" w:rsidP="00646BCA">
      <w:pPr>
        <w:tabs>
          <w:tab w:val="left" w:pos="1220"/>
        </w:tabs>
        <w:rPr>
          <w:rFonts w:ascii="Florencesans Exp" w:eastAsia="Cambria" w:hAnsi="Florencesans Exp" w:cs="Times New Roman"/>
          <w:b/>
          <w:color w:val="E917DF"/>
          <w:sz w:val="28"/>
        </w:rPr>
      </w:pPr>
      <w:r w:rsidRPr="00332467">
        <w:rPr>
          <w:rFonts w:ascii="Florencesans Exp" w:eastAsia="Cambria" w:hAnsi="Florencesans Exp" w:cs="Times New Roman"/>
          <w:b/>
          <w:color w:val="E917DF"/>
          <w:sz w:val="28"/>
        </w:rPr>
        <w:lastRenderedPageBreak/>
        <w:t>1. D. LA DEMOGRAPHIE (DONNEES T2)</w:t>
      </w:r>
    </w:p>
    <w:p w:rsidR="00646BCA" w:rsidRPr="00C363EE" w:rsidRDefault="00646BCA" w:rsidP="00646BCA">
      <w:pPr>
        <w:widowControl w:val="0"/>
        <w:autoSpaceDE w:val="0"/>
        <w:autoSpaceDN w:val="0"/>
        <w:adjustRightInd w:val="0"/>
        <w:jc w:val="both"/>
        <w:rPr>
          <w:rFonts w:ascii="Cambria" w:eastAsia="Cambria" w:hAnsi="Cambria" w:cs="Times"/>
          <w:sz w:val="32"/>
        </w:rPr>
      </w:pPr>
    </w:p>
    <w:p w:rsidR="00646BCA" w:rsidRPr="00332467" w:rsidRDefault="00646BCA" w:rsidP="00646BCA">
      <w:pPr>
        <w:widowControl w:val="0"/>
        <w:autoSpaceDE w:val="0"/>
        <w:autoSpaceDN w:val="0"/>
        <w:adjustRightInd w:val="0"/>
        <w:ind w:left="1134" w:hanging="1134"/>
        <w:rPr>
          <w:rFonts w:ascii="Florencesans Exp" w:eastAsia="Cambria" w:hAnsi="Florencesans Exp" w:cs="Times New Roman"/>
        </w:rPr>
      </w:pPr>
      <w:r w:rsidRPr="00332467">
        <w:rPr>
          <w:rFonts w:ascii="Florencesans Exp" w:eastAsia="Cambria" w:hAnsi="Florencesans Exp" w:cs="Times New Roman"/>
        </w:rPr>
        <w:t>1. D. 1. PROPORTION HOMMES/FEMMES PAR FILIERE ET CATEGORIE</w:t>
      </w:r>
    </w:p>
    <w:p w:rsidR="00646BCA" w:rsidRPr="00C363EE" w:rsidRDefault="00646BCA" w:rsidP="00646BCA">
      <w:pPr>
        <w:widowControl w:val="0"/>
        <w:autoSpaceDE w:val="0"/>
        <w:autoSpaceDN w:val="0"/>
        <w:adjustRightInd w:val="0"/>
        <w:rPr>
          <w:rFonts w:ascii="Cambria" w:eastAsia="Cambria" w:hAnsi="Cambria" w:cs="Times New Roman"/>
        </w:rPr>
      </w:pPr>
    </w:p>
    <w:p w:rsidR="00646BCA" w:rsidRPr="00C363EE" w:rsidRDefault="00646BCA" w:rsidP="00646BCA">
      <w:pPr>
        <w:widowControl w:val="0"/>
        <w:autoSpaceDE w:val="0"/>
        <w:autoSpaceDN w:val="0"/>
        <w:adjustRightInd w:val="0"/>
        <w:jc w:val="center"/>
        <w:rPr>
          <w:rFonts w:ascii="Cambria" w:eastAsia="Cambria" w:hAnsi="Cambria" w:cs="Times New Roman"/>
        </w:rPr>
      </w:pPr>
      <w:r w:rsidRPr="00F842AC">
        <w:rPr>
          <w:noProof/>
          <w:lang w:eastAsia="fr-FR"/>
        </w:rPr>
        <w:drawing>
          <wp:anchor distT="0" distB="0" distL="114300" distR="114300" simplePos="0" relativeHeight="251757568" behindDoc="1" locked="0" layoutInCell="1" allowOverlap="1" wp14:anchorId="7D6C4EF2" wp14:editId="3F1DA163">
            <wp:simplePos x="0" y="0"/>
            <wp:positionH relativeFrom="margin">
              <wp:align>center</wp:align>
            </wp:positionH>
            <wp:positionV relativeFrom="paragraph">
              <wp:posOffset>2249805</wp:posOffset>
            </wp:positionV>
            <wp:extent cx="6892290" cy="1085850"/>
            <wp:effectExtent l="0" t="0" r="3810" b="0"/>
            <wp:wrapTight wrapText="bothSides">
              <wp:wrapPolygon edited="0">
                <wp:start x="0" y="0"/>
                <wp:lineTo x="0" y="21221"/>
                <wp:lineTo x="21552" y="21221"/>
                <wp:lineTo x="21552" y="12884"/>
                <wp:lineTo x="21493" y="12505"/>
                <wp:lineTo x="21254" y="12126"/>
                <wp:lineTo x="21552" y="9853"/>
                <wp:lineTo x="21552" y="0"/>
                <wp:lineTo x="0" y="0"/>
              </wp:wrapPolygon>
            </wp:wrapTight>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892290"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6EC51606" wp14:editId="19EAD3D3">
            <wp:extent cx="4540250" cy="2139950"/>
            <wp:effectExtent l="0" t="0" r="0" b="0"/>
            <wp:docPr id="36" name="Graphique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646BCA" w:rsidRDefault="00646BCA" w:rsidP="00646BCA">
      <w:pPr>
        <w:widowControl w:val="0"/>
        <w:autoSpaceDE w:val="0"/>
        <w:autoSpaceDN w:val="0"/>
        <w:adjustRightInd w:val="0"/>
        <w:jc w:val="both"/>
        <w:rPr>
          <w:rFonts w:ascii="Arial" w:eastAsia="Cambria" w:hAnsi="Arial" w:cs="Times New Roman"/>
        </w:rPr>
      </w:pPr>
    </w:p>
    <w:p w:rsidR="00646BCA" w:rsidRPr="004F6E92" w:rsidRDefault="00646BCA" w:rsidP="00646BCA">
      <w:pPr>
        <w:widowControl w:val="0"/>
        <w:autoSpaceDE w:val="0"/>
        <w:autoSpaceDN w:val="0"/>
        <w:adjustRightInd w:val="0"/>
        <w:jc w:val="both"/>
        <w:rPr>
          <w:rFonts w:ascii="Arial" w:eastAsia="Cambria" w:hAnsi="Arial" w:cs="Arial"/>
          <w:sz w:val="22"/>
          <w:szCs w:val="22"/>
        </w:rPr>
      </w:pPr>
      <w:r w:rsidRPr="004F6E92">
        <w:rPr>
          <w:rFonts w:ascii="Arial" w:eastAsia="Cambria" w:hAnsi="Arial" w:cs="Arial"/>
          <w:sz w:val="22"/>
          <w:szCs w:val="22"/>
        </w:rPr>
        <w:t>Sur l’ensemble du ministère, la représentation féminine et masculine e</w:t>
      </w:r>
      <w:r w:rsidR="0079235D">
        <w:rPr>
          <w:rFonts w:ascii="Arial" w:eastAsia="Cambria" w:hAnsi="Arial" w:cs="Arial"/>
          <w:sz w:val="22"/>
          <w:szCs w:val="22"/>
        </w:rPr>
        <w:t>s</w:t>
      </w:r>
      <w:r w:rsidRPr="004F6E92">
        <w:rPr>
          <w:rFonts w:ascii="Arial" w:eastAsia="Cambria" w:hAnsi="Arial" w:cs="Arial"/>
          <w:sz w:val="22"/>
          <w:szCs w:val="22"/>
        </w:rPr>
        <w:t xml:space="preserve">t relativement équilibrée (53% de femmes et 47% d’hommes). On constate toutefois, une très forte proportion de femmes dans la filière administrative (75%) </w:t>
      </w:r>
      <w:r w:rsidR="0079235D">
        <w:rPr>
          <w:rFonts w:ascii="Arial" w:eastAsia="Cambria" w:hAnsi="Arial" w:cs="Arial"/>
          <w:sz w:val="22"/>
          <w:szCs w:val="22"/>
        </w:rPr>
        <w:t>alors que</w:t>
      </w:r>
      <w:r w:rsidRPr="004F6E92">
        <w:rPr>
          <w:rFonts w:ascii="Arial" w:eastAsia="Cambria" w:hAnsi="Arial" w:cs="Arial"/>
          <w:sz w:val="22"/>
          <w:szCs w:val="22"/>
        </w:rPr>
        <w:t xml:space="preserve"> dans les filières technique</w:t>
      </w:r>
      <w:r w:rsidR="0079235D">
        <w:rPr>
          <w:rFonts w:ascii="Arial" w:eastAsia="Cambria" w:hAnsi="Arial" w:cs="Arial"/>
          <w:sz w:val="22"/>
          <w:szCs w:val="22"/>
        </w:rPr>
        <w:t>/</w:t>
      </w:r>
      <w:r w:rsidRPr="004F6E92">
        <w:rPr>
          <w:rFonts w:ascii="Arial" w:eastAsia="Cambria" w:hAnsi="Arial" w:cs="Arial"/>
          <w:sz w:val="22"/>
          <w:szCs w:val="22"/>
        </w:rPr>
        <w:t>enseignement</w:t>
      </w:r>
      <w:r w:rsidR="0079235D">
        <w:rPr>
          <w:rFonts w:ascii="Arial" w:eastAsia="Cambria" w:hAnsi="Arial" w:cs="Arial"/>
          <w:sz w:val="22"/>
          <w:szCs w:val="22"/>
        </w:rPr>
        <w:t xml:space="preserve"> et </w:t>
      </w:r>
      <w:r w:rsidRPr="004F6E92">
        <w:rPr>
          <w:rFonts w:ascii="Arial" w:eastAsia="Cambria" w:hAnsi="Arial" w:cs="Arial"/>
          <w:sz w:val="22"/>
          <w:szCs w:val="22"/>
        </w:rPr>
        <w:t>accuei</w:t>
      </w:r>
      <w:r w:rsidR="0079235D">
        <w:rPr>
          <w:rFonts w:ascii="Arial" w:eastAsia="Cambria" w:hAnsi="Arial" w:cs="Arial"/>
          <w:sz w:val="22"/>
          <w:szCs w:val="22"/>
        </w:rPr>
        <w:t>l/surveillance/magasinage,</w:t>
      </w:r>
      <w:r w:rsidRPr="004F6E92">
        <w:rPr>
          <w:rFonts w:ascii="Arial" w:eastAsia="Cambria" w:hAnsi="Arial" w:cs="Arial"/>
          <w:sz w:val="22"/>
          <w:szCs w:val="22"/>
        </w:rPr>
        <w:t xml:space="preserve"> les hommes sont le plus représentés, soit respectivement 68% et 61%.</w:t>
      </w:r>
    </w:p>
    <w:p w:rsidR="00646BCA" w:rsidRPr="009C7654" w:rsidRDefault="00646BCA" w:rsidP="00646BCA">
      <w:pPr>
        <w:widowControl w:val="0"/>
        <w:autoSpaceDE w:val="0"/>
        <w:autoSpaceDN w:val="0"/>
        <w:adjustRightInd w:val="0"/>
        <w:jc w:val="both"/>
        <w:rPr>
          <w:rFonts w:ascii="Arial" w:eastAsia="Cambria" w:hAnsi="Arial" w:cs="Arial"/>
        </w:rPr>
      </w:pPr>
      <w:r w:rsidRPr="00605E9E">
        <w:rPr>
          <w:noProof/>
          <w:lang w:eastAsia="fr-FR"/>
        </w:rPr>
        <w:drawing>
          <wp:anchor distT="0" distB="0" distL="114300" distR="114300" simplePos="0" relativeHeight="251710464" behindDoc="1" locked="0" layoutInCell="1" allowOverlap="1" wp14:anchorId="60CD1201" wp14:editId="36388DBA">
            <wp:simplePos x="0" y="0"/>
            <wp:positionH relativeFrom="margin">
              <wp:posOffset>395605</wp:posOffset>
            </wp:positionH>
            <wp:positionV relativeFrom="paragraph">
              <wp:posOffset>132080</wp:posOffset>
            </wp:positionV>
            <wp:extent cx="4743450" cy="2755265"/>
            <wp:effectExtent l="0" t="0" r="0" b="6985"/>
            <wp:wrapTight wrapText="bothSides">
              <wp:wrapPolygon edited="0">
                <wp:start x="0" y="0"/>
                <wp:lineTo x="0" y="21505"/>
                <wp:lineTo x="21513" y="21505"/>
                <wp:lineTo x="21513" y="20161"/>
                <wp:lineTo x="20646" y="19265"/>
                <wp:lineTo x="21513" y="19116"/>
                <wp:lineTo x="21513" y="15084"/>
                <wp:lineTo x="20819" y="14337"/>
                <wp:lineTo x="21340" y="14337"/>
                <wp:lineTo x="21513" y="13740"/>
                <wp:lineTo x="21513" y="7318"/>
                <wp:lineTo x="20906" y="7168"/>
                <wp:lineTo x="21513" y="6272"/>
                <wp:lineTo x="21513" y="4779"/>
                <wp:lineTo x="20733" y="4779"/>
                <wp:lineTo x="21513" y="4032"/>
                <wp:lineTo x="21513" y="0"/>
                <wp:lineTo x="0" y="0"/>
              </wp:wrapPolygon>
            </wp:wrapTight>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43450" cy="27552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Pr="00C363EE" w:rsidRDefault="00646BCA" w:rsidP="00646BCA">
      <w:pPr>
        <w:widowControl w:val="0"/>
        <w:autoSpaceDE w:val="0"/>
        <w:autoSpaceDN w:val="0"/>
        <w:adjustRightInd w:val="0"/>
        <w:jc w:val="both"/>
        <w:rPr>
          <w:rFonts w:ascii="Cambria" w:eastAsia="Cambria" w:hAnsi="Cambria" w:cs="Times"/>
        </w:rPr>
      </w:pPr>
      <w:r>
        <w:rPr>
          <w:noProof/>
          <w:lang w:eastAsia="fr-FR"/>
        </w:rPr>
        <w:lastRenderedPageBreak/>
        <w:drawing>
          <wp:inline distT="0" distB="0" distL="0" distR="0" wp14:anchorId="32A1D87C" wp14:editId="05FAE491">
            <wp:extent cx="5836920" cy="3799840"/>
            <wp:effectExtent l="0" t="0" r="0" b="0"/>
            <wp:docPr id="37" name="Graphique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646BCA" w:rsidRPr="00C363EE" w:rsidRDefault="00646BCA" w:rsidP="00646BCA">
      <w:pPr>
        <w:widowControl w:val="0"/>
        <w:autoSpaceDE w:val="0"/>
        <w:autoSpaceDN w:val="0"/>
        <w:adjustRightInd w:val="0"/>
        <w:jc w:val="both"/>
        <w:rPr>
          <w:rFonts w:ascii="Cambria" w:eastAsia="Cambria" w:hAnsi="Cambria" w:cs="Times"/>
        </w:rPr>
      </w:pPr>
    </w:p>
    <w:p w:rsidR="00646BCA" w:rsidRPr="00C363EE" w:rsidRDefault="00646BCA" w:rsidP="00646BCA">
      <w:pPr>
        <w:widowControl w:val="0"/>
        <w:autoSpaceDE w:val="0"/>
        <w:autoSpaceDN w:val="0"/>
        <w:adjustRightInd w:val="0"/>
        <w:jc w:val="both"/>
        <w:rPr>
          <w:rFonts w:ascii="Cambria" w:eastAsia="Cambria" w:hAnsi="Cambria" w:cs="Times"/>
        </w:rPr>
      </w:pPr>
    </w:p>
    <w:p w:rsidR="00646BCA" w:rsidRPr="00C363EE" w:rsidRDefault="00646BCA" w:rsidP="00646BCA">
      <w:pPr>
        <w:widowControl w:val="0"/>
        <w:autoSpaceDE w:val="0"/>
        <w:autoSpaceDN w:val="0"/>
        <w:adjustRightInd w:val="0"/>
        <w:jc w:val="both"/>
        <w:rPr>
          <w:rFonts w:ascii="Cambria" w:eastAsia="Cambria" w:hAnsi="Cambria" w:cs="Times"/>
        </w:rPr>
      </w:pPr>
    </w:p>
    <w:p w:rsidR="00646BCA" w:rsidRDefault="00646BCA" w:rsidP="00646BCA">
      <w:pPr>
        <w:rPr>
          <w:rFonts w:ascii="Cambria" w:eastAsia="Cambria" w:hAnsi="Cambria" w:cs="Times"/>
        </w:rPr>
      </w:pPr>
      <w:r>
        <w:rPr>
          <w:rFonts w:ascii="Cambria" w:eastAsia="Cambria" w:hAnsi="Cambria" w:cs="Times"/>
        </w:rPr>
        <w:br w:type="page"/>
      </w: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0D3FE9" w:rsidRDefault="00646BCA" w:rsidP="00646BCA">
      <w:pPr>
        <w:widowControl w:val="0"/>
        <w:autoSpaceDE w:val="0"/>
        <w:autoSpaceDN w:val="0"/>
        <w:adjustRightInd w:val="0"/>
        <w:ind w:left="1276" w:hanging="1276"/>
        <w:jc w:val="both"/>
        <w:rPr>
          <w:rFonts w:ascii="Florencesans Exp" w:eastAsia="Cambria" w:hAnsi="Florencesans Exp" w:cs="Times New Roman"/>
        </w:rPr>
      </w:pPr>
      <w:r w:rsidRPr="000D3FE9">
        <w:rPr>
          <w:rFonts w:ascii="Florencesans Exp" w:eastAsia="Cambria" w:hAnsi="Florencesans Exp" w:cs="Times New Roman"/>
        </w:rPr>
        <w:t>1. D. 2. PYRAMIDE DES AGES DES EFFECTIFS ET HOMMES</w:t>
      </w:r>
      <w:r>
        <w:rPr>
          <w:rFonts w:ascii="Florencesans Exp" w:eastAsia="Cambria" w:hAnsi="Florencesans Exp" w:cs="Times New Roman"/>
        </w:rPr>
        <w:t xml:space="preserve"> -</w:t>
      </w:r>
      <w:r w:rsidRPr="000D3FE9">
        <w:rPr>
          <w:rFonts w:ascii="Florencesans Exp" w:eastAsia="Cambria" w:hAnsi="Florencesans Exp" w:cs="Times New Roman"/>
        </w:rPr>
        <w:t>FEMMES</w:t>
      </w:r>
    </w:p>
    <w:p w:rsidR="00646BCA" w:rsidRPr="000D3FE9" w:rsidRDefault="00646BCA" w:rsidP="00646BCA">
      <w:pPr>
        <w:widowControl w:val="0"/>
        <w:autoSpaceDE w:val="0"/>
        <w:autoSpaceDN w:val="0"/>
        <w:adjustRightInd w:val="0"/>
        <w:jc w:val="center"/>
        <w:rPr>
          <w:rFonts w:ascii="Cambria" w:eastAsia="Cambria" w:hAnsi="Cambria" w:cs="Times New Roman"/>
          <w:sz w:val="18"/>
          <w:szCs w:val="18"/>
        </w:rPr>
      </w:pPr>
    </w:p>
    <w:p w:rsidR="00646BCA" w:rsidRPr="00C363EE" w:rsidRDefault="00646BCA" w:rsidP="00646BCA">
      <w:pPr>
        <w:widowControl w:val="0"/>
        <w:autoSpaceDE w:val="0"/>
        <w:autoSpaceDN w:val="0"/>
        <w:adjustRightInd w:val="0"/>
        <w:jc w:val="center"/>
        <w:rPr>
          <w:rFonts w:ascii="Cambria" w:eastAsia="Cambria" w:hAnsi="Cambria" w:cs="Times New Roman"/>
        </w:rPr>
      </w:pPr>
      <w:r>
        <w:rPr>
          <w:noProof/>
          <w:lang w:eastAsia="fr-FR"/>
        </w:rPr>
        <w:drawing>
          <wp:inline distT="0" distB="0" distL="0" distR="0" wp14:anchorId="051F4826" wp14:editId="1C1F997F">
            <wp:extent cx="5632450" cy="2565400"/>
            <wp:effectExtent l="0" t="0" r="6350" b="6350"/>
            <wp:docPr id="38" name="Graphique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646BCA" w:rsidRPr="00C363EE" w:rsidRDefault="00646BCA" w:rsidP="00646BCA">
      <w:pPr>
        <w:widowControl w:val="0"/>
        <w:autoSpaceDE w:val="0"/>
        <w:autoSpaceDN w:val="0"/>
        <w:adjustRightInd w:val="0"/>
        <w:jc w:val="center"/>
        <w:rPr>
          <w:rFonts w:ascii="Cambria" w:eastAsia="Cambria" w:hAnsi="Cambria" w:cs="Times New Roman"/>
        </w:rPr>
      </w:pPr>
      <w:r>
        <w:rPr>
          <w:noProof/>
          <w:lang w:eastAsia="fr-FR"/>
        </w:rPr>
        <w:drawing>
          <wp:inline distT="0" distB="0" distL="0" distR="0" wp14:anchorId="03505FC1" wp14:editId="3D760E95">
            <wp:extent cx="5715000" cy="3733800"/>
            <wp:effectExtent l="0" t="0" r="0" b="0"/>
            <wp:docPr id="39" name="Graphique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646BCA" w:rsidRPr="00E34AA2" w:rsidRDefault="00646BCA" w:rsidP="00646BCA">
      <w:pPr>
        <w:widowControl w:val="0"/>
        <w:autoSpaceDE w:val="0"/>
        <w:autoSpaceDN w:val="0"/>
        <w:adjustRightInd w:val="0"/>
        <w:jc w:val="center"/>
        <w:rPr>
          <w:rFonts w:ascii="Cambria" w:eastAsia="Cambria" w:hAnsi="Cambria" w:cs="Times New Roman"/>
          <w:sz w:val="16"/>
          <w:szCs w:val="16"/>
        </w:rPr>
      </w:pPr>
    </w:p>
    <w:p w:rsidR="00646BCA" w:rsidRPr="00E34AA2" w:rsidRDefault="00646BCA" w:rsidP="00646BCA">
      <w:pPr>
        <w:widowControl w:val="0"/>
        <w:autoSpaceDE w:val="0"/>
        <w:autoSpaceDN w:val="0"/>
        <w:adjustRightInd w:val="0"/>
        <w:jc w:val="both"/>
        <w:rPr>
          <w:rFonts w:ascii="Cambria" w:eastAsia="Cambria" w:hAnsi="Cambria" w:cs="Times New Roman"/>
          <w:sz w:val="16"/>
          <w:szCs w:val="16"/>
        </w:rPr>
      </w:pPr>
    </w:p>
    <w:p w:rsidR="00646BCA" w:rsidRPr="00646BCA" w:rsidRDefault="00646BCA" w:rsidP="00646BCA">
      <w:pPr>
        <w:widowControl w:val="0"/>
        <w:autoSpaceDE w:val="0"/>
        <w:autoSpaceDN w:val="0"/>
        <w:adjustRightInd w:val="0"/>
        <w:jc w:val="both"/>
        <w:rPr>
          <w:rFonts w:ascii="Arial" w:eastAsia="Cambria" w:hAnsi="Arial" w:cs="Times New Roman"/>
          <w:sz w:val="22"/>
          <w:szCs w:val="22"/>
        </w:rPr>
      </w:pPr>
      <w:r w:rsidRPr="00646BCA">
        <w:rPr>
          <w:rFonts w:ascii="Arial" w:eastAsia="Cambria" w:hAnsi="Arial" w:cs="Times New Roman"/>
          <w:sz w:val="22"/>
          <w:szCs w:val="22"/>
        </w:rPr>
        <w:t xml:space="preserve">La pyramide des âges reflète la politique des recrutements passés et permet d’analyser la structure par </w:t>
      </w:r>
      <w:r w:rsidR="009A1A03">
        <w:rPr>
          <w:rFonts w:ascii="Arial" w:eastAsia="Cambria" w:hAnsi="Arial" w:cs="Times New Roman"/>
          <w:sz w:val="22"/>
          <w:szCs w:val="22"/>
        </w:rPr>
        <w:t>genre</w:t>
      </w:r>
      <w:r w:rsidRPr="00646BCA">
        <w:rPr>
          <w:rFonts w:ascii="Arial" w:eastAsia="Cambria" w:hAnsi="Arial" w:cs="Times New Roman"/>
          <w:sz w:val="22"/>
          <w:szCs w:val="22"/>
        </w:rPr>
        <w:t xml:space="preserve"> et âge des effectifs. Cet exercice est utile pour évaluer les départs à la retraite et prévoir les types et les volumes de recrutements nécessaires.</w:t>
      </w:r>
    </w:p>
    <w:p w:rsidR="00646BCA" w:rsidRPr="00646BCA" w:rsidRDefault="00646BCA" w:rsidP="00646BCA">
      <w:pPr>
        <w:widowControl w:val="0"/>
        <w:autoSpaceDE w:val="0"/>
        <w:autoSpaceDN w:val="0"/>
        <w:adjustRightInd w:val="0"/>
        <w:jc w:val="both"/>
        <w:rPr>
          <w:rFonts w:ascii="Arial" w:eastAsia="Cambria" w:hAnsi="Arial" w:cs="Times New Roman"/>
          <w:sz w:val="16"/>
          <w:szCs w:val="16"/>
        </w:rPr>
      </w:pPr>
    </w:p>
    <w:p w:rsidR="00646BCA" w:rsidRPr="00646BCA" w:rsidRDefault="00646BCA" w:rsidP="00646BCA">
      <w:pPr>
        <w:widowControl w:val="0"/>
        <w:autoSpaceDE w:val="0"/>
        <w:autoSpaceDN w:val="0"/>
        <w:adjustRightInd w:val="0"/>
        <w:jc w:val="both"/>
        <w:rPr>
          <w:rFonts w:ascii="Arial" w:eastAsia="Cambria" w:hAnsi="Arial" w:cs="Times New Roman"/>
          <w:sz w:val="22"/>
          <w:szCs w:val="22"/>
        </w:rPr>
      </w:pPr>
      <w:r w:rsidRPr="00646BCA">
        <w:rPr>
          <w:rFonts w:ascii="Arial" w:eastAsia="Cambria" w:hAnsi="Arial" w:cs="Times New Roman"/>
          <w:sz w:val="22"/>
          <w:szCs w:val="22"/>
        </w:rPr>
        <w:t xml:space="preserve">L’âge moyen des agents du ministère de la culture et de la communication s’élève à 48,6 ans en 2013 contre 41 ans pour l’ensemble des agents de la fonction publique d’Etat. Cette moyenne est parmi la plus élevée des agents de la fonction publique. </w:t>
      </w:r>
    </w:p>
    <w:p w:rsidR="00646BCA" w:rsidRPr="00646BCA" w:rsidRDefault="00646BCA" w:rsidP="00646BCA">
      <w:pPr>
        <w:widowControl w:val="0"/>
        <w:autoSpaceDE w:val="0"/>
        <w:autoSpaceDN w:val="0"/>
        <w:adjustRightInd w:val="0"/>
        <w:jc w:val="both"/>
        <w:rPr>
          <w:rFonts w:ascii="Arial" w:eastAsia="Cambria" w:hAnsi="Arial" w:cs="Times New Roman"/>
          <w:sz w:val="16"/>
          <w:szCs w:val="16"/>
        </w:rPr>
      </w:pPr>
    </w:p>
    <w:p w:rsidR="00646BCA" w:rsidRPr="00646BCA" w:rsidRDefault="00646BCA" w:rsidP="00646BCA">
      <w:pPr>
        <w:widowControl w:val="0"/>
        <w:autoSpaceDE w:val="0"/>
        <w:autoSpaceDN w:val="0"/>
        <w:adjustRightInd w:val="0"/>
        <w:jc w:val="both"/>
        <w:rPr>
          <w:rFonts w:ascii="Arial" w:eastAsia="Cambria" w:hAnsi="Arial" w:cs="Times New Roman"/>
          <w:sz w:val="22"/>
          <w:szCs w:val="22"/>
        </w:rPr>
      </w:pPr>
      <w:r w:rsidRPr="00646BCA">
        <w:rPr>
          <w:rFonts w:ascii="Arial" w:eastAsia="Cambria" w:hAnsi="Arial" w:cs="Times New Roman"/>
          <w:sz w:val="22"/>
          <w:szCs w:val="22"/>
        </w:rPr>
        <w:t>La part des agents qui ont 60 ans ou plus représente 12% de la population du ministère. Le ministère verra ses départs à la retraite encore nombreux dans les trois à quatre</w:t>
      </w:r>
      <w:r w:rsidRPr="004B4793">
        <w:rPr>
          <w:rFonts w:ascii="Arial" w:eastAsia="Cambria" w:hAnsi="Arial" w:cs="Times New Roman"/>
        </w:rPr>
        <w:t xml:space="preserve"> prochaines </w:t>
      </w:r>
      <w:r w:rsidRPr="00646BCA">
        <w:rPr>
          <w:rFonts w:ascii="Arial" w:eastAsia="Cambria" w:hAnsi="Arial" w:cs="Times New Roman"/>
          <w:sz w:val="22"/>
          <w:szCs w:val="22"/>
        </w:rPr>
        <w:t>années.</w:t>
      </w:r>
    </w:p>
    <w:p w:rsidR="00646BCA" w:rsidRPr="00C363EE" w:rsidRDefault="00646BCA" w:rsidP="00646BCA">
      <w:pPr>
        <w:widowControl w:val="0"/>
        <w:autoSpaceDE w:val="0"/>
        <w:autoSpaceDN w:val="0"/>
        <w:adjustRightInd w:val="0"/>
        <w:jc w:val="both"/>
        <w:rPr>
          <w:rFonts w:ascii="Arial" w:eastAsia="Cambria" w:hAnsi="Arial" w:cs="Times New Roman"/>
        </w:rPr>
      </w:pPr>
    </w:p>
    <w:p w:rsidR="00646BCA" w:rsidRPr="000D3FE9" w:rsidRDefault="00646BCA" w:rsidP="00646BCA">
      <w:pPr>
        <w:widowControl w:val="0"/>
        <w:autoSpaceDE w:val="0"/>
        <w:autoSpaceDN w:val="0"/>
        <w:adjustRightInd w:val="0"/>
        <w:jc w:val="both"/>
        <w:rPr>
          <w:rFonts w:ascii="Florencesans Exp" w:eastAsia="Cambria" w:hAnsi="Florencesans Exp" w:cs="Times New Roman"/>
        </w:rPr>
      </w:pPr>
      <w:r w:rsidRPr="000D3FE9">
        <w:rPr>
          <w:rFonts w:ascii="Florencesans Exp" w:eastAsia="Cambria" w:hAnsi="Florencesans Exp" w:cs="Times New Roman"/>
        </w:rPr>
        <w:t xml:space="preserve">1. D. 3. REPARTITION PAR TRANCHE D'AGE ET PAR </w:t>
      </w:r>
      <w:r w:rsidR="009A1A03">
        <w:rPr>
          <w:rFonts w:ascii="Florencesans Exp" w:eastAsia="Cambria" w:hAnsi="Florencesans Exp" w:cs="Times New Roman"/>
        </w:rPr>
        <w:t>GENRE</w:t>
      </w: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1833F2" w:rsidP="001833F2">
      <w:pPr>
        <w:widowControl w:val="0"/>
        <w:autoSpaceDE w:val="0"/>
        <w:autoSpaceDN w:val="0"/>
        <w:adjustRightInd w:val="0"/>
        <w:jc w:val="center"/>
        <w:rPr>
          <w:rFonts w:ascii="Cambria" w:eastAsia="Cambria" w:hAnsi="Cambria" w:cs="Times New Roman"/>
          <w:color w:val="FFFFFF"/>
        </w:rPr>
      </w:pPr>
      <w:r w:rsidRPr="001833F2">
        <w:rPr>
          <w:noProof/>
          <w:lang w:eastAsia="fr-FR"/>
        </w:rPr>
        <w:drawing>
          <wp:inline distT="0" distB="0" distL="0" distR="0">
            <wp:extent cx="3329940" cy="2186940"/>
            <wp:effectExtent l="0" t="0" r="3810" b="381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29940" cy="2186940"/>
                    </a:xfrm>
                    <a:prstGeom prst="rect">
                      <a:avLst/>
                    </a:prstGeom>
                    <a:noFill/>
                    <a:ln>
                      <a:noFill/>
                    </a:ln>
                  </pic:spPr>
                </pic:pic>
              </a:graphicData>
            </a:graphic>
          </wp:inline>
        </w:drawing>
      </w:r>
    </w:p>
    <w:p w:rsidR="00646BCA" w:rsidRDefault="00646BCA" w:rsidP="00646BCA">
      <w:pPr>
        <w:widowControl w:val="0"/>
        <w:autoSpaceDE w:val="0"/>
        <w:autoSpaceDN w:val="0"/>
        <w:adjustRightInd w:val="0"/>
        <w:jc w:val="both"/>
        <w:rPr>
          <w:rFonts w:ascii="Arial" w:eastAsia="Cambria" w:hAnsi="Arial" w:cs="Times New Roman"/>
        </w:rPr>
      </w:pPr>
    </w:p>
    <w:p w:rsidR="00646BCA" w:rsidRPr="004F6E92" w:rsidRDefault="00646BCA" w:rsidP="00646BCA">
      <w:pPr>
        <w:widowControl w:val="0"/>
        <w:autoSpaceDE w:val="0"/>
        <w:autoSpaceDN w:val="0"/>
        <w:adjustRightInd w:val="0"/>
        <w:jc w:val="both"/>
        <w:rPr>
          <w:rFonts w:ascii="Arial" w:eastAsia="Cambria" w:hAnsi="Arial" w:cs="Times New Roman"/>
          <w:sz w:val="22"/>
          <w:szCs w:val="22"/>
        </w:rPr>
      </w:pPr>
      <w:r w:rsidRPr="004F6E92">
        <w:rPr>
          <w:rFonts w:ascii="Arial" w:eastAsia="Cambria" w:hAnsi="Arial" w:cs="Times New Roman"/>
          <w:sz w:val="22"/>
          <w:szCs w:val="22"/>
        </w:rPr>
        <w:t>Le ministère de la culture et de la communication compte plus d’agents féminins que d’agents masculins. La proportion de femmes est de 53%, ce qui est proche du taux moyen de féminisation de l’ensemble de la fonction publique de l’Etat (52%). Les femmes sont en moyenne plus jeunes que les hommes (47,8 ans pour les femmes et 49,6 ans pour les hommes).</w:t>
      </w:r>
    </w:p>
    <w:p w:rsidR="00646BCA" w:rsidRPr="004F6E92" w:rsidRDefault="00646BCA" w:rsidP="00646BCA">
      <w:pPr>
        <w:widowControl w:val="0"/>
        <w:autoSpaceDE w:val="0"/>
        <w:autoSpaceDN w:val="0"/>
        <w:adjustRightInd w:val="0"/>
        <w:jc w:val="both"/>
        <w:rPr>
          <w:rFonts w:ascii="Arial" w:eastAsia="Cambria" w:hAnsi="Arial" w:cs="Times New Roman"/>
          <w:sz w:val="22"/>
          <w:szCs w:val="22"/>
        </w:rPr>
      </w:pPr>
    </w:p>
    <w:p w:rsidR="00646BCA" w:rsidRPr="004F6E92" w:rsidRDefault="00646BCA" w:rsidP="00646BCA">
      <w:pPr>
        <w:widowControl w:val="0"/>
        <w:autoSpaceDE w:val="0"/>
        <w:autoSpaceDN w:val="0"/>
        <w:adjustRightInd w:val="0"/>
        <w:jc w:val="both"/>
        <w:rPr>
          <w:rFonts w:ascii="Arial" w:eastAsia="Cambria" w:hAnsi="Arial" w:cs="Times New Roman"/>
          <w:sz w:val="22"/>
          <w:szCs w:val="22"/>
        </w:rPr>
      </w:pPr>
      <w:r w:rsidRPr="004F6E92">
        <w:rPr>
          <w:rFonts w:ascii="Arial" w:eastAsia="Cambria" w:hAnsi="Arial" w:cs="Times New Roman"/>
          <w:sz w:val="22"/>
          <w:szCs w:val="22"/>
        </w:rPr>
        <w:t>La proportion de femmes par tranche d’âge est plus importante jusqu’à 54 ans. Dans les tranches d’âge supérieures, les proportions s’inversent.</w:t>
      </w:r>
    </w:p>
    <w:p w:rsidR="00646BCA" w:rsidRPr="00C363EE" w:rsidRDefault="00646BCA" w:rsidP="00646BCA">
      <w:pPr>
        <w:widowControl w:val="0"/>
        <w:autoSpaceDE w:val="0"/>
        <w:autoSpaceDN w:val="0"/>
        <w:adjustRightInd w:val="0"/>
        <w:jc w:val="center"/>
        <w:rPr>
          <w:rFonts w:ascii="Cambria" w:eastAsia="Cambria" w:hAnsi="Cambria" w:cs="Times"/>
        </w:rPr>
      </w:pPr>
      <w:r>
        <w:rPr>
          <w:noProof/>
          <w:lang w:eastAsia="fr-FR"/>
        </w:rPr>
        <w:drawing>
          <wp:anchor distT="0" distB="0" distL="114300" distR="114300" simplePos="0" relativeHeight="251712512" behindDoc="1" locked="0" layoutInCell="1" allowOverlap="1" wp14:anchorId="7DD1B2C7" wp14:editId="70C489C1">
            <wp:simplePos x="0" y="0"/>
            <wp:positionH relativeFrom="margin">
              <wp:align>center</wp:align>
            </wp:positionH>
            <wp:positionV relativeFrom="paragraph">
              <wp:posOffset>297180</wp:posOffset>
            </wp:positionV>
            <wp:extent cx="5930900" cy="3213100"/>
            <wp:effectExtent l="0" t="0" r="0" b="6350"/>
            <wp:wrapTight wrapText="bothSides">
              <wp:wrapPolygon edited="0">
                <wp:start x="0" y="0"/>
                <wp:lineTo x="0" y="21515"/>
                <wp:lineTo x="21507" y="21515"/>
                <wp:lineTo x="21507" y="0"/>
                <wp:lineTo x="0" y="0"/>
              </wp:wrapPolygon>
            </wp:wrapTight>
            <wp:docPr id="40" name="Graphique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anchor>
        </w:drawing>
      </w: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0D3FE9" w:rsidRDefault="00646BCA" w:rsidP="00646BCA">
      <w:pPr>
        <w:widowControl w:val="0"/>
        <w:autoSpaceDE w:val="0"/>
        <w:autoSpaceDN w:val="0"/>
        <w:adjustRightInd w:val="0"/>
        <w:ind w:left="1134" w:hanging="1134"/>
        <w:rPr>
          <w:rFonts w:ascii="Florencesans Exp" w:eastAsia="Cambria" w:hAnsi="Florencesans Exp" w:cs="Times New Roman"/>
        </w:rPr>
      </w:pPr>
      <w:r w:rsidRPr="000D3FE9">
        <w:rPr>
          <w:rFonts w:ascii="Florencesans Exp" w:eastAsia="Cambria" w:hAnsi="Florencesans Exp" w:cs="Times New Roman"/>
        </w:rPr>
        <w:lastRenderedPageBreak/>
        <w:t>1. D. 4. REPARTITION PAR TRANCHE D'AGE, FILIERE ET CATEGORIE</w:t>
      </w:r>
    </w:p>
    <w:p w:rsidR="00646BCA" w:rsidRPr="00C363EE" w:rsidRDefault="00646BCA" w:rsidP="00646BCA">
      <w:pPr>
        <w:widowControl w:val="0"/>
        <w:autoSpaceDE w:val="0"/>
        <w:autoSpaceDN w:val="0"/>
        <w:adjustRightInd w:val="0"/>
        <w:rPr>
          <w:rFonts w:ascii="BlairMdITC TT-Medium" w:eastAsia="Cambria" w:hAnsi="BlairMdITC TT-Medium" w:cs="Times New Roman"/>
        </w:rPr>
      </w:pPr>
      <w:r w:rsidRPr="0025471A">
        <w:rPr>
          <w:noProof/>
          <w:lang w:eastAsia="fr-FR"/>
        </w:rPr>
        <w:drawing>
          <wp:anchor distT="0" distB="0" distL="114300" distR="114300" simplePos="0" relativeHeight="251713536" behindDoc="1" locked="0" layoutInCell="1" allowOverlap="1" wp14:anchorId="3EE5AEEB" wp14:editId="0C744650">
            <wp:simplePos x="0" y="0"/>
            <wp:positionH relativeFrom="margin">
              <wp:align>center</wp:align>
            </wp:positionH>
            <wp:positionV relativeFrom="paragraph">
              <wp:posOffset>296545</wp:posOffset>
            </wp:positionV>
            <wp:extent cx="6784340" cy="3460750"/>
            <wp:effectExtent l="0" t="0" r="0" b="6350"/>
            <wp:wrapTight wrapText="bothSides">
              <wp:wrapPolygon edited="0">
                <wp:start x="0" y="0"/>
                <wp:lineTo x="0" y="21521"/>
                <wp:lineTo x="21531" y="21521"/>
                <wp:lineTo x="21531" y="0"/>
                <wp:lineTo x="0" y="0"/>
              </wp:wrapPolygon>
            </wp:wrapTight>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784340" cy="3460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4F6E92" w:rsidRDefault="00646BCA" w:rsidP="00646BCA">
      <w:pPr>
        <w:widowControl w:val="0"/>
        <w:autoSpaceDE w:val="0"/>
        <w:autoSpaceDN w:val="0"/>
        <w:adjustRightInd w:val="0"/>
        <w:rPr>
          <w:rFonts w:ascii="Arial" w:eastAsia="Cambria" w:hAnsi="Arial" w:cs="Times New Roman"/>
          <w:sz w:val="22"/>
          <w:szCs w:val="22"/>
        </w:rPr>
      </w:pPr>
      <w:r w:rsidRPr="004F6E92">
        <w:rPr>
          <w:rFonts w:ascii="Arial" w:eastAsia="Cambria" w:hAnsi="Arial" w:cs="Times New Roman"/>
          <w:sz w:val="22"/>
          <w:szCs w:val="22"/>
        </w:rPr>
        <w:t>La proportion des agents ayant plus de 50 ans est de :</w:t>
      </w:r>
    </w:p>
    <w:p w:rsidR="00646BCA" w:rsidRPr="004F6E92" w:rsidRDefault="00646BCA" w:rsidP="00646BCA">
      <w:pPr>
        <w:widowControl w:val="0"/>
        <w:numPr>
          <w:ilvl w:val="0"/>
          <w:numId w:val="2"/>
        </w:numPr>
        <w:autoSpaceDE w:val="0"/>
        <w:autoSpaceDN w:val="0"/>
        <w:adjustRightInd w:val="0"/>
        <w:contextualSpacing/>
        <w:rPr>
          <w:rFonts w:ascii="Arial" w:eastAsia="Cambria" w:hAnsi="Arial" w:cs="Times New Roman"/>
          <w:sz w:val="22"/>
          <w:szCs w:val="22"/>
        </w:rPr>
      </w:pPr>
      <w:r w:rsidRPr="004F6E92">
        <w:rPr>
          <w:rFonts w:ascii="Arial" w:eastAsia="Cambria" w:hAnsi="Arial" w:cs="Times New Roman"/>
          <w:sz w:val="22"/>
          <w:szCs w:val="22"/>
        </w:rPr>
        <w:t>54,4% pour la filière administrative ;</w:t>
      </w:r>
    </w:p>
    <w:p w:rsidR="00646BCA" w:rsidRPr="004F6E92" w:rsidRDefault="00646BCA" w:rsidP="00646BCA">
      <w:pPr>
        <w:widowControl w:val="0"/>
        <w:numPr>
          <w:ilvl w:val="0"/>
          <w:numId w:val="2"/>
        </w:numPr>
        <w:autoSpaceDE w:val="0"/>
        <w:autoSpaceDN w:val="0"/>
        <w:adjustRightInd w:val="0"/>
        <w:contextualSpacing/>
        <w:rPr>
          <w:rFonts w:ascii="Arial" w:eastAsia="Cambria" w:hAnsi="Arial" w:cs="Times New Roman"/>
          <w:sz w:val="22"/>
          <w:szCs w:val="22"/>
        </w:rPr>
      </w:pPr>
      <w:r w:rsidRPr="004F6E92">
        <w:rPr>
          <w:rFonts w:ascii="Arial" w:eastAsia="Cambria" w:hAnsi="Arial" w:cs="Times New Roman"/>
          <w:sz w:val="22"/>
          <w:szCs w:val="22"/>
        </w:rPr>
        <w:t>51,8% pour la filière scientifique ;</w:t>
      </w:r>
    </w:p>
    <w:p w:rsidR="00646BCA" w:rsidRPr="004F6E92" w:rsidRDefault="00646BCA" w:rsidP="00646BCA">
      <w:pPr>
        <w:widowControl w:val="0"/>
        <w:numPr>
          <w:ilvl w:val="0"/>
          <w:numId w:val="2"/>
        </w:numPr>
        <w:autoSpaceDE w:val="0"/>
        <w:autoSpaceDN w:val="0"/>
        <w:adjustRightInd w:val="0"/>
        <w:contextualSpacing/>
        <w:rPr>
          <w:rFonts w:ascii="Arial" w:eastAsia="Cambria" w:hAnsi="Arial" w:cs="Times New Roman"/>
          <w:sz w:val="22"/>
          <w:szCs w:val="22"/>
        </w:rPr>
      </w:pPr>
      <w:r w:rsidRPr="004F6E92">
        <w:rPr>
          <w:rFonts w:ascii="Arial" w:eastAsia="Cambria" w:hAnsi="Arial" w:cs="Times New Roman"/>
          <w:sz w:val="22"/>
          <w:szCs w:val="22"/>
        </w:rPr>
        <w:t>57,1% pour la filière technique et enseignement ;</w:t>
      </w:r>
    </w:p>
    <w:p w:rsidR="00646BCA" w:rsidRPr="004F6E92" w:rsidRDefault="00646BCA" w:rsidP="00646BCA">
      <w:pPr>
        <w:widowControl w:val="0"/>
        <w:numPr>
          <w:ilvl w:val="0"/>
          <w:numId w:val="2"/>
        </w:numPr>
        <w:autoSpaceDE w:val="0"/>
        <w:autoSpaceDN w:val="0"/>
        <w:adjustRightInd w:val="0"/>
        <w:contextualSpacing/>
        <w:rPr>
          <w:rFonts w:ascii="Arial" w:eastAsia="Cambria" w:hAnsi="Arial" w:cs="Times New Roman"/>
          <w:sz w:val="22"/>
          <w:szCs w:val="22"/>
        </w:rPr>
      </w:pPr>
      <w:r w:rsidRPr="004F6E92">
        <w:rPr>
          <w:rFonts w:ascii="Arial" w:eastAsia="Cambria" w:hAnsi="Arial" w:cs="Times New Roman"/>
          <w:sz w:val="22"/>
          <w:szCs w:val="22"/>
        </w:rPr>
        <w:t>50,5% pour la filière accueil, surveillance et magasinage ;</w:t>
      </w:r>
    </w:p>
    <w:p w:rsidR="00646BCA" w:rsidRPr="004F6E92" w:rsidRDefault="00646BCA" w:rsidP="00646BCA">
      <w:pPr>
        <w:widowControl w:val="0"/>
        <w:numPr>
          <w:ilvl w:val="0"/>
          <w:numId w:val="2"/>
        </w:numPr>
        <w:autoSpaceDE w:val="0"/>
        <w:autoSpaceDN w:val="0"/>
        <w:adjustRightInd w:val="0"/>
        <w:contextualSpacing/>
        <w:rPr>
          <w:rFonts w:ascii="Arial" w:eastAsia="Cambria" w:hAnsi="Arial" w:cs="Times New Roman"/>
          <w:sz w:val="22"/>
          <w:szCs w:val="22"/>
        </w:rPr>
      </w:pPr>
      <w:r w:rsidRPr="004F6E92">
        <w:rPr>
          <w:rFonts w:ascii="Arial" w:eastAsia="Cambria" w:hAnsi="Arial" w:cs="Times New Roman"/>
          <w:sz w:val="22"/>
          <w:szCs w:val="22"/>
        </w:rPr>
        <w:t>35,4% pour les agents non titulaires.</w:t>
      </w:r>
    </w:p>
    <w:p w:rsidR="00646BCA" w:rsidRPr="00C363EE" w:rsidRDefault="00646BCA" w:rsidP="00646BCA">
      <w:pPr>
        <w:widowControl w:val="0"/>
        <w:autoSpaceDE w:val="0"/>
        <w:autoSpaceDN w:val="0"/>
        <w:adjustRightInd w:val="0"/>
        <w:rPr>
          <w:rFonts w:ascii="Arial" w:eastAsia="Cambria" w:hAnsi="Arial" w:cs="Times New Roman"/>
        </w:rPr>
      </w:pPr>
    </w:p>
    <w:p w:rsidR="00646BCA" w:rsidRPr="00C363EE" w:rsidRDefault="00646BCA" w:rsidP="00646BCA">
      <w:pPr>
        <w:widowControl w:val="0"/>
        <w:autoSpaceDE w:val="0"/>
        <w:autoSpaceDN w:val="0"/>
        <w:adjustRightInd w:val="0"/>
        <w:rPr>
          <w:rFonts w:ascii="Arial" w:eastAsia="Cambria" w:hAnsi="Arial" w:cs="Times New Roman"/>
        </w:rPr>
      </w:pP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0D3FE9" w:rsidRDefault="00646BCA" w:rsidP="00646BCA">
      <w:pPr>
        <w:widowControl w:val="0"/>
        <w:autoSpaceDE w:val="0"/>
        <w:autoSpaceDN w:val="0"/>
        <w:adjustRightInd w:val="0"/>
        <w:rPr>
          <w:rFonts w:ascii="Florencesans Exp" w:eastAsia="Cambria" w:hAnsi="Florencesans Exp" w:cs="Times New Roman"/>
        </w:rPr>
      </w:pPr>
      <w:r w:rsidRPr="000D3FE9">
        <w:rPr>
          <w:rFonts w:ascii="Florencesans Exp" w:eastAsia="Cambria" w:hAnsi="Florencesans Exp" w:cs="Times New Roman"/>
        </w:rPr>
        <w:t>1. D. 5. COURBE DES AGES PAR FILIERE</w:t>
      </w: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Pr="00C363EE" w:rsidRDefault="00646BCA" w:rsidP="00646BCA">
      <w:pPr>
        <w:widowControl w:val="0"/>
        <w:autoSpaceDE w:val="0"/>
        <w:autoSpaceDN w:val="0"/>
        <w:adjustRightInd w:val="0"/>
        <w:rPr>
          <w:rFonts w:ascii="BlairMdITC TT-Medium" w:eastAsia="Cambria" w:hAnsi="BlairMdITC TT-Medium" w:cs="Times New Roman"/>
        </w:rPr>
      </w:pPr>
      <w:r>
        <w:rPr>
          <w:noProof/>
          <w:lang w:eastAsia="fr-FR"/>
        </w:rPr>
        <w:drawing>
          <wp:inline distT="0" distB="0" distL="0" distR="0" wp14:anchorId="63BA35D7" wp14:editId="79B05D95">
            <wp:extent cx="6027420" cy="3801110"/>
            <wp:effectExtent l="0" t="0" r="0" b="8890"/>
            <wp:docPr id="79" name="Graphique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646BCA" w:rsidRPr="00C363EE" w:rsidRDefault="00646BCA" w:rsidP="00646BCA">
      <w:pPr>
        <w:rPr>
          <w:rFonts w:ascii="BlairMdITC TT-Medium" w:eastAsia="Cambria" w:hAnsi="BlairMdITC TT-Medium" w:cs="Times New Roman"/>
        </w:rPr>
      </w:pPr>
    </w:p>
    <w:p w:rsidR="00646BCA" w:rsidRPr="00C363EE" w:rsidRDefault="00646BCA" w:rsidP="00646BCA">
      <w:pPr>
        <w:rPr>
          <w:rFonts w:ascii="BlairMdITC TT-Medium" w:eastAsia="Cambria" w:hAnsi="BlairMdITC TT-Medium" w:cs="Times New Roman"/>
        </w:rPr>
      </w:pPr>
    </w:p>
    <w:p w:rsidR="00646BCA" w:rsidRPr="000D3FE9" w:rsidRDefault="00646BCA" w:rsidP="00646BCA">
      <w:pPr>
        <w:rPr>
          <w:rFonts w:ascii="Florencesans Exp" w:eastAsia="Cambria" w:hAnsi="Florencesans Exp" w:cs="Times New Roman"/>
        </w:rPr>
      </w:pPr>
      <w:r w:rsidRPr="000D3FE9">
        <w:rPr>
          <w:rFonts w:ascii="Florencesans Exp" w:eastAsia="Cambria" w:hAnsi="Florencesans Exp" w:cs="Times New Roman"/>
        </w:rPr>
        <w:t>1. D. 6. COURBE DES AGES PAR CATEGORIE</w:t>
      </w:r>
    </w:p>
    <w:p w:rsidR="00646BCA" w:rsidRPr="00C363EE" w:rsidRDefault="00646BCA" w:rsidP="00646BCA">
      <w:pPr>
        <w:rPr>
          <w:rFonts w:ascii="Cambria" w:eastAsia="Cambria" w:hAnsi="Cambria" w:cs="Times New Roman"/>
        </w:rPr>
      </w:pPr>
    </w:p>
    <w:p w:rsidR="00646BCA" w:rsidRPr="00C363EE" w:rsidRDefault="00646BCA" w:rsidP="00646BCA">
      <w:pPr>
        <w:rPr>
          <w:rFonts w:ascii="Cambria" w:eastAsia="Cambria" w:hAnsi="Cambria" w:cs="Times New Roman"/>
        </w:rPr>
      </w:pPr>
    </w:p>
    <w:p w:rsidR="00646BCA" w:rsidRPr="00C363EE" w:rsidRDefault="00646BCA" w:rsidP="00646BCA">
      <w:pPr>
        <w:rPr>
          <w:rFonts w:ascii="Cambria" w:eastAsia="Cambria" w:hAnsi="Cambria" w:cs="Times New Roman"/>
        </w:rPr>
      </w:pPr>
    </w:p>
    <w:p w:rsidR="00646BCA" w:rsidRPr="00C363EE" w:rsidRDefault="00646BCA" w:rsidP="00646BCA">
      <w:pPr>
        <w:rPr>
          <w:rFonts w:ascii="BlairMdITC TT-Medium" w:eastAsia="Cambria" w:hAnsi="BlairMdITC TT-Medium" w:cs="Times New Roman"/>
        </w:rPr>
      </w:pPr>
      <w:r>
        <w:rPr>
          <w:noProof/>
          <w:lang w:eastAsia="fr-FR"/>
        </w:rPr>
        <w:drawing>
          <wp:inline distT="0" distB="0" distL="0" distR="0" wp14:anchorId="7E030D38" wp14:editId="561F135B">
            <wp:extent cx="5760720" cy="3159760"/>
            <wp:effectExtent l="0" t="0" r="0" b="2540"/>
            <wp:docPr id="80" name="Graphique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D1704E" w:rsidRDefault="00B95022" w:rsidP="00646BCA">
      <w:pPr>
        <w:tabs>
          <w:tab w:val="left" w:pos="1220"/>
        </w:tabs>
        <w:ind w:left="851" w:hanging="851"/>
        <w:rPr>
          <w:rFonts w:ascii="Florencesans Exp" w:eastAsia="Cambria" w:hAnsi="Florencesans Exp" w:cs="Times New Roman"/>
          <w:b/>
          <w:color w:val="E917DF"/>
          <w:sz w:val="28"/>
        </w:rPr>
      </w:pPr>
      <w:r>
        <w:rPr>
          <w:noProof/>
          <w:lang w:eastAsia="fr-FR"/>
        </w:rPr>
        <w:lastRenderedPageBreak/>
        <mc:AlternateContent>
          <mc:Choice Requires="wps">
            <w:drawing>
              <wp:anchor distT="0" distB="0" distL="114300" distR="114300" simplePos="0" relativeHeight="251758592" behindDoc="0" locked="0" layoutInCell="1" allowOverlap="1" wp14:anchorId="3D46017E" wp14:editId="41B41F22">
                <wp:simplePos x="0" y="0"/>
                <wp:positionH relativeFrom="column">
                  <wp:posOffset>5163185</wp:posOffset>
                </wp:positionH>
                <wp:positionV relativeFrom="paragraph">
                  <wp:posOffset>37465</wp:posOffset>
                </wp:positionV>
                <wp:extent cx="1828800" cy="1828800"/>
                <wp:effectExtent l="0" t="190500" r="0" b="200660"/>
                <wp:wrapNone/>
                <wp:docPr id="199" name="Zone de texte 199"/>
                <wp:cNvGraphicFramePr/>
                <a:graphic xmlns:a="http://schemas.openxmlformats.org/drawingml/2006/main">
                  <a:graphicData uri="http://schemas.microsoft.com/office/word/2010/wordprocessingShape">
                    <wps:wsp>
                      <wps:cNvSpPr txBox="1"/>
                      <wps:spPr>
                        <a:xfrm rot="2542639">
                          <a:off x="0" y="0"/>
                          <a:ext cx="1828800" cy="1828800"/>
                        </a:xfrm>
                        <a:prstGeom prst="rect">
                          <a:avLst/>
                        </a:prstGeom>
                        <a:noFill/>
                        <a:ln>
                          <a:noFill/>
                        </a:ln>
                        <a:effectLst/>
                      </wps:spPr>
                      <wps:txbx>
                        <w:txbxContent>
                          <w:p w:rsidR="007B1397" w:rsidRPr="00D26AC1" w:rsidRDefault="007B1397" w:rsidP="00646BCA">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0"/>
                                <w:szCs w:val="20"/>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3D46017E" id="Zone de texte 199" o:spid="_x0000_s1066" type="#_x0000_t202" style="position:absolute;left:0;text-align:left;margin-left:406.55pt;margin-top:2.95pt;width:2in;height:2in;rotation:2777240fd;z-index:251758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" filled="f" stroked="f">
                <v:textbox style="mso-fit-shape-to-text:t">
                  <w:txbxContent>
                    <w:p w:rsidR="007B1397" w:rsidRPr="00D26AC1" w:rsidRDefault="007B1397" w:rsidP="00646BCA">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0"/>
                          <w:szCs w:val="20"/>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v:shape>
            </w:pict>
          </mc:Fallback>
        </mc:AlternateContent>
      </w:r>
    </w:p>
    <w:p w:rsidR="00646BCA" w:rsidRPr="00ED0AA5" w:rsidRDefault="00646BCA" w:rsidP="00646BCA">
      <w:pPr>
        <w:tabs>
          <w:tab w:val="left" w:pos="1220"/>
        </w:tabs>
        <w:ind w:left="851" w:hanging="851"/>
        <w:rPr>
          <w:rFonts w:ascii="Florencesans Exp" w:eastAsia="Cambria" w:hAnsi="Florencesans Exp" w:cs="Times New Roman"/>
          <w:b/>
          <w:color w:val="E917DF"/>
          <w:sz w:val="28"/>
        </w:rPr>
      </w:pPr>
      <w:r w:rsidRPr="00ED0AA5">
        <w:rPr>
          <w:rFonts w:ascii="Florencesans Exp" w:eastAsia="Cambria" w:hAnsi="Florencesans Exp" w:cs="Times New Roman"/>
          <w:b/>
          <w:color w:val="E917DF"/>
          <w:sz w:val="28"/>
        </w:rPr>
        <w:t xml:space="preserve">1. </w:t>
      </w:r>
      <w:r>
        <w:rPr>
          <w:rFonts w:ascii="Florencesans Exp" w:eastAsia="Cambria" w:hAnsi="Florencesans Exp" w:cs="Times New Roman"/>
          <w:b/>
          <w:color w:val="E917DF"/>
          <w:sz w:val="28"/>
        </w:rPr>
        <w:t>E.</w:t>
      </w:r>
      <w:r w:rsidRPr="00ED0AA5">
        <w:rPr>
          <w:rFonts w:ascii="Florencesans Exp" w:eastAsia="Cambria" w:hAnsi="Florencesans Exp" w:cs="Times New Roman"/>
          <w:b/>
          <w:color w:val="E917DF"/>
          <w:sz w:val="28"/>
        </w:rPr>
        <w:t xml:space="preserve"> LE TEMPS DE TRAVAIL (DONNEES T2 EN PERSONNES PHYSIQUES)</w:t>
      </w: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Pr="009C43FC" w:rsidRDefault="00646BCA" w:rsidP="00646BCA">
      <w:pPr>
        <w:jc w:val="both"/>
        <w:rPr>
          <w:rFonts w:ascii="Arial" w:eastAsia="Cambria" w:hAnsi="Arial" w:cs="Arial"/>
          <w:sz w:val="22"/>
          <w:szCs w:val="22"/>
        </w:rPr>
      </w:pPr>
      <w:r w:rsidRPr="009C43FC">
        <w:rPr>
          <w:rFonts w:ascii="Arial" w:hAnsi="Arial" w:cs="Arial"/>
          <w:sz w:val="22"/>
          <w:szCs w:val="22"/>
        </w:rPr>
        <w:t>La durée légale du temps de travail correspond au temps de travail pendant lequel l'agent est à la disposition de son employeur et doit se conformer à ses directives sans pouvoir vaquer librement à ses occupations personnelles. Sa durée est fixée à 35h par semaine</w:t>
      </w:r>
    </w:p>
    <w:p w:rsidR="00646BCA" w:rsidRPr="009C43FC" w:rsidRDefault="00646BCA" w:rsidP="00646BCA">
      <w:pPr>
        <w:rPr>
          <w:rFonts w:ascii="Arial" w:eastAsia="Cambria" w:hAnsi="Arial" w:cs="Arial"/>
          <w:sz w:val="22"/>
          <w:szCs w:val="22"/>
        </w:rPr>
      </w:pPr>
    </w:p>
    <w:p w:rsidR="00646BCA" w:rsidRPr="009C43FC" w:rsidRDefault="00646BCA" w:rsidP="00646BCA">
      <w:pPr>
        <w:rPr>
          <w:rFonts w:ascii="Arial" w:eastAsia="Cambria" w:hAnsi="Arial" w:cs="Arial"/>
          <w:sz w:val="22"/>
          <w:szCs w:val="22"/>
        </w:rPr>
      </w:pPr>
      <w:r w:rsidRPr="009C43FC">
        <w:rPr>
          <w:rFonts w:ascii="Arial" w:eastAsia="Cambria" w:hAnsi="Arial" w:cs="Arial"/>
          <w:b/>
          <w:sz w:val="22"/>
          <w:szCs w:val="22"/>
          <w:u w:val="single"/>
        </w:rPr>
        <w:t>Le temps plein</w:t>
      </w:r>
      <w:r w:rsidRPr="009C43FC">
        <w:rPr>
          <w:rFonts w:ascii="Arial" w:eastAsia="Cambria" w:hAnsi="Arial" w:cs="Arial"/>
          <w:sz w:val="22"/>
          <w:szCs w:val="22"/>
        </w:rPr>
        <w:t> :</w:t>
      </w:r>
    </w:p>
    <w:p w:rsidR="00646BCA" w:rsidRPr="009C43FC" w:rsidRDefault="00646BCA" w:rsidP="00646BCA">
      <w:pPr>
        <w:jc w:val="both"/>
        <w:rPr>
          <w:rFonts w:ascii="Arial" w:eastAsia="Cambria" w:hAnsi="Arial" w:cs="Arial"/>
          <w:sz w:val="22"/>
          <w:szCs w:val="22"/>
        </w:rPr>
      </w:pPr>
      <w:r w:rsidRPr="009C43FC">
        <w:rPr>
          <w:rFonts w:ascii="Arial" w:hAnsi="Arial" w:cs="Arial"/>
          <w:sz w:val="22"/>
          <w:szCs w:val="22"/>
        </w:rPr>
        <w:t>Le décompte du temps de travail est réalisé sur la base d'une durée annuelle de travail effectif de 1 607 heures maximum, qui correspondent à l'obligation annuelle de service d'un agent travaillant à temps plein.</w:t>
      </w:r>
      <w:r w:rsidRPr="009C43FC">
        <w:rPr>
          <w:sz w:val="22"/>
          <w:szCs w:val="22"/>
        </w:rPr>
        <w:t xml:space="preserve"> </w:t>
      </w:r>
    </w:p>
    <w:p w:rsidR="00646BCA" w:rsidRPr="009C43FC" w:rsidRDefault="00646BCA" w:rsidP="00646BCA">
      <w:pPr>
        <w:rPr>
          <w:rFonts w:ascii="Arial" w:eastAsia="Cambria" w:hAnsi="Arial" w:cs="Arial"/>
          <w:sz w:val="22"/>
          <w:szCs w:val="22"/>
        </w:rPr>
      </w:pPr>
    </w:p>
    <w:p w:rsidR="00646BCA" w:rsidRPr="009C43FC" w:rsidRDefault="00646BCA" w:rsidP="00646BCA">
      <w:pPr>
        <w:rPr>
          <w:rFonts w:ascii="Arial" w:eastAsia="Cambria" w:hAnsi="Arial" w:cs="Arial"/>
          <w:b/>
          <w:sz w:val="22"/>
          <w:szCs w:val="22"/>
        </w:rPr>
      </w:pPr>
      <w:r w:rsidRPr="009C43FC">
        <w:rPr>
          <w:rFonts w:ascii="Arial" w:eastAsia="Cambria" w:hAnsi="Arial" w:cs="Arial"/>
          <w:b/>
          <w:sz w:val="22"/>
          <w:szCs w:val="22"/>
          <w:u w:val="single"/>
        </w:rPr>
        <w:t>Le temps partiel</w:t>
      </w:r>
      <w:r w:rsidRPr="009C43FC">
        <w:rPr>
          <w:rFonts w:ascii="Arial" w:eastAsia="Cambria" w:hAnsi="Arial" w:cs="Arial"/>
          <w:b/>
          <w:sz w:val="22"/>
          <w:szCs w:val="22"/>
        </w:rPr>
        <w:t> :</w:t>
      </w:r>
    </w:p>
    <w:p w:rsidR="00646BCA" w:rsidRPr="009C43FC" w:rsidRDefault="00646BCA" w:rsidP="00646BCA">
      <w:pPr>
        <w:jc w:val="both"/>
        <w:rPr>
          <w:rFonts w:ascii="Arial" w:eastAsia="Times New Roman" w:hAnsi="Arial" w:cs="Arial"/>
          <w:sz w:val="22"/>
          <w:szCs w:val="22"/>
          <w:lang w:eastAsia="fr-FR"/>
        </w:rPr>
      </w:pPr>
      <w:r w:rsidRPr="009C43FC">
        <w:rPr>
          <w:rFonts w:ascii="Arial" w:eastAsia="Times New Roman" w:hAnsi="Arial" w:cs="Arial"/>
          <w:sz w:val="22"/>
          <w:szCs w:val="22"/>
          <w:lang w:eastAsia="fr-FR"/>
        </w:rPr>
        <w:t>Tout agent (titulaire, fonctionnaire-stagiaire, contractuel) peut, sur sa demande, sous réserve des nécessités de service et compte tenu des possibilités d'aménagement de l'organisation du travail, être autorisé à accomplir un service à temps partiel, qui ne peut être inférieur au mi-temps. L'agent non titulaire doit être en activité et être employé depuis plus d'un an à temps complet et de façon continue.</w:t>
      </w:r>
    </w:p>
    <w:p w:rsidR="00646BCA" w:rsidRPr="009C43FC" w:rsidRDefault="00646BCA" w:rsidP="00646BCA">
      <w:pPr>
        <w:jc w:val="both"/>
        <w:rPr>
          <w:rFonts w:ascii="Times New Roman" w:eastAsia="Times New Roman" w:hAnsi="Times New Roman" w:cs="Times New Roman"/>
          <w:sz w:val="22"/>
          <w:szCs w:val="22"/>
          <w:lang w:eastAsia="fr-FR"/>
        </w:rPr>
      </w:pPr>
      <w:r w:rsidRPr="009C43FC">
        <w:rPr>
          <w:rFonts w:ascii="Arial" w:eastAsia="Times New Roman" w:hAnsi="Arial" w:cs="Arial"/>
          <w:sz w:val="22"/>
          <w:szCs w:val="22"/>
          <w:lang w:eastAsia="fr-FR"/>
        </w:rPr>
        <w:t xml:space="preserve">La durée d'un service à temps partiel pourra être égale à 50 %, 60 %, 70 % ou 80 % de la durée hebdomadaire du service que les agents à temps plein exerçant les mêmes fonctions doivent effectuer. </w:t>
      </w:r>
    </w:p>
    <w:p w:rsidR="00646BCA" w:rsidRPr="009C43FC" w:rsidRDefault="00646BCA" w:rsidP="00646BCA">
      <w:pPr>
        <w:rPr>
          <w:rFonts w:ascii="Arial" w:eastAsia="Cambria" w:hAnsi="Arial" w:cs="Arial"/>
          <w:b/>
          <w:sz w:val="22"/>
          <w:szCs w:val="22"/>
          <w:u w:val="single"/>
        </w:rPr>
      </w:pPr>
    </w:p>
    <w:p w:rsidR="00646BCA" w:rsidRPr="009C43FC" w:rsidRDefault="00646BCA" w:rsidP="00646BCA">
      <w:pPr>
        <w:rPr>
          <w:rFonts w:ascii="Arial" w:eastAsia="Cambria" w:hAnsi="Arial" w:cs="Arial"/>
          <w:b/>
          <w:sz w:val="22"/>
          <w:szCs w:val="22"/>
        </w:rPr>
      </w:pPr>
      <w:r w:rsidRPr="009C43FC">
        <w:rPr>
          <w:rFonts w:ascii="Arial" w:eastAsia="Cambria" w:hAnsi="Arial" w:cs="Arial"/>
          <w:b/>
          <w:sz w:val="22"/>
          <w:szCs w:val="22"/>
          <w:u w:val="single"/>
        </w:rPr>
        <w:t>Le temps incomplet</w:t>
      </w:r>
      <w:r w:rsidRPr="009C43FC">
        <w:rPr>
          <w:rFonts w:ascii="Arial" w:eastAsia="Cambria" w:hAnsi="Arial" w:cs="Arial"/>
          <w:b/>
          <w:sz w:val="22"/>
          <w:szCs w:val="22"/>
        </w:rPr>
        <w:t> :</w:t>
      </w:r>
    </w:p>
    <w:p w:rsidR="00646BCA" w:rsidRPr="009C43FC" w:rsidRDefault="00646BCA" w:rsidP="00646BCA">
      <w:pPr>
        <w:jc w:val="both"/>
        <w:rPr>
          <w:rFonts w:ascii="Arial" w:eastAsia="Cambria" w:hAnsi="Arial" w:cs="Arial"/>
          <w:sz w:val="22"/>
          <w:szCs w:val="22"/>
        </w:rPr>
      </w:pPr>
      <w:r w:rsidRPr="009C43FC">
        <w:rPr>
          <w:rFonts w:ascii="Arial" w:hAnsi="Arial" w:cs="Arial"/>
          <w:sz w:val="22"/>
          <w:szCs w:val="22"/>
        </w:rPr>
        <w:t>Il correspond aux emplois dont la quotité de temps de travail ne peut être, par nature, supérieure à 70% d'un temps complet. C’est la raison pour laquelle ils ne peuvent être confiés à des titulaires. Le temps incomplet ne concerne donc que des agents non titulaires.</w:t>
      </w:r>
      <w:r w:rsidRPr="009C43FC">
        <w:rPr>
          <w:rFonts w:ascii="Arial" w:eastAsia="Cambria" w:hAnsi="Arial" w:cs="Arial"/>
          <w:i/>
          <w:sz w:val="22"/>
          <w:szCs w:val="22"/>
        </w:rPr>
        <w:t xml:space="preserve"> </w:t>
      </w:r>
    </w:p>
    <w:p w:rsidR="00646BCA" w:rsidRPr="006E719E"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r>
        <w:rPr>
          <w:rFonts w:ascii="Arial" w:eastAsia="Cambria" w:hAnsi="Arial" w:cs="Arial"/>
        </w:rPr>
        <w:br w:type="page"/>
      </w:r>
    </w:p>
    <w:p w:rsidR="00646BCA" w:rsidRPr="006E719E" w:rsidRDefault="00646BCA" w:rsidP="00646BCA">
      <w:pPr>
        <w:rPr>
          <w:rFonts w:ascii="Arial" w:eastAsia="Cambria" w:hAnsi="Arial" w:cs="Arial"/>
        </w:rPr>
      </w:pPr>
    </w:p>
    <w:p w:rsidR="00646BCA" w:rsidRPr="000D3FE9" w:rsidRDefault="00646BCA" w:rsidP="00646BCA">
      <w:pPr>
        <w:widowControl w:val="0"/>
        <w:autoSpaceDE w:val="0"/>
        <w:autoSpaceDN w:val="0"/>
        <w:adjustRightInd w:val="0"/>
        <w:ind w:left="1134" w:hanging="1134"/>
        <w:jc w:val="both"/>
        <w:rPr>
          <w:rFonts w:ascii="Florencesans Exp" w:eastAsia="Cambria" w:hAnsi="Florencesans Exp" w:cs="Times New Roman"/>
        </w:rPr>
      </w:pPr>
      <w:r w:rsidRPr="000D3FE9">
        <w:rPr>
          <w:rFonts w:ascii="Florencesans Exp" w:eastAsia="Cambria" w:hAnsi="Florencesans Exp" w:cs="Times New Roman"/>
        </w:rPr>
        <w:t xml:space="preserve">1. </w:t>
      </w:r>
      <w:r>
        <w:rPr>
          <w:rFonts w:ascii="Florencesans Exp" w:eastAsia="Cambria" w:hAnsi="Florencesans Exp" w:cs="Times New Roman"/>
        </w:rPr>
        <w:t>E.1</w:t>
      </w:r>
      <w:r w:rsidRPr="000D3FE9">
        <w:rPr>
          <w:rFonts w:ascii="Florencesans Exp" w:eastAsia="Cambria" w:hAnsi="Florencesans Exp" w:cs="Times New Roman"/>
        </w:rPr>
        <w:t xml:space="preserve">. </w:t>
      </w:r>
      <w:r>
        <w:rPr>
          <w:rFonts w:ascii="Florencesans Exp" w:eastAsia="Cambria" w:hAnsi="Florencesans Exp" w:cs="Times New Roman"/>
        </w:rPr>
        <w:t>REPARTITION DU TEMPS DE TRAVAIL PAR FILIERE ET CATEGORIE</w:t>
      </w: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r>
        <w:rPr>
          <w:noProof/>
          <w:lang w:eastAsia="fr-FR"/>
        </w:rPr>
        <w:drawing>
          <wp:anchor distT="0" distB="0" distL="114300" distR="114300" simplePos="0" relativeHeight="251700224" behindDoc="1" locked="0" layoutInCell="1" allowOverlap="1" wp14:anchorId="6BFDFDA6" wp14:editId="09F8B385">
            <wp:simplePos x="0" y="0"/>
            <wp:positionH relativeFrom="margin">
              <wp:posOffset>681355</wp:posOffset>
            </wp:positionH>
            <wp:positionV relativeFrom="paragraph">
              <wp:posOffset>123825</wp:posOffset>
            </wp:positionV>
            <wp:extent cx="4330700" cy="2159000"/>
            <wp:effectExtent l="0" t="0" r="0" b="0"/>
            <wp:wrapTight wrapText="bothSides">
              <wp:wrapPolygon edited="0">
                <wp:start x="0" y="0"/>
                <wp:lineTo x="0" y="21346"/>
                <wp:lineTo x="21473" y="21346"/>
                <wp:lineTo x="21473" y="0"/>
                <wp:lineTo x="0" y="0"/>
              </wp:wrapPolygon>
            </wp:wrapTight>
            <wp:docPr id="83" name="Graphique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r w:rsidRPr="004C4983">
        <w:rPr>
          <w:noProof/>
          <w:lang w:eastAsia="fr-FR"/>
        </w:rPr>
        <w:drawing>
          <wp:anchor distT="0" distB="0" distL="114300" distR="114300" simplePos="0" relativeHeight="251759616" behindDoc="1" locked="0" layoutInCell="1" allowOverlap="1" wp14:anchorId="250BA7E5" wp14:editId="4B34C6F8">
            <wp:simplePos x="0" y="0"/>
            <wp:positionH relativeFrom="page">
              <wp:posOffset>323850</wp:posOffset>
            </wp:positionH>
            <wp:positionV relativeFrom="paragraph">
              <wp:posOffset>255270</wp:posOffset>
            </wp:positionV>
            <wp:extent cx="6918118" cy="1263650"/>
            <wp:effectExtent l="0" t="0" r="0" b="0"/>
            <wp:wrapTight wrapText="bothSides">
              <wp:wrapPolygon edited="0">
                <wp:start x="0" y="0"/>
                <wp:lineTo x="0" y="21166"/>
                <wp:lineTo x="21533" y="21166"/>
                <wp:lineTo x="21533" y="0"/>
                <wp:lineTo x="0" y="0"/>
              </wp:wrapPolygon>
            </wp:wrapTight>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918118" cy="1263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rPr>
          <w:rFonts w:ascii="BlairMdITC TT-Medium" w:eastAsia="Cambria" w:hAnsi="BlairMdITC TT-Medium" w:cs="Times New Roman"/>
        </w:rPr>
      </w:pPr>
    </w:p>
    <w:p w:rsidR="00646BCA" w:rsidRPr="009C43FC" w:rsidRDefault="00646BCA" w:rsidP="00646BCA">
      <w:pPr>
        <w:jc w:val="both"/>
        <w:rPr>
          <w:rFonts w:ascii="Arial" w:eastAsia="Cambria" w:hAnsi="Arial" w:cs="Arial"/>
          <w:sz w:val="22"/>
          <w:szCs w:val="22"/>
        </w:rPr>
      </w:pPr>
      <w:r w:rsidRPr="009C43FC">
        <w:rPr>
          <w:rFonts w:ascii="Arial" w:eastAsia="Cambria" w:hAnsi="Arial" w:cs="Arial"/>
          <w:sz w:val="22"/>
          <w:szCs w:val="22"/>
        </w:rPr>
        <w:t>12% des agents du ministère travaillent à temps partiel. C’est au sein de la filière administrative et des agents non titulaires que l’on observe la plus forte proportion d’agents bénéficiant d’un temps partiel, soit respectivement 15% et 19%. Concernant les autres filières la répartition est la suivante : 10% pour la filière scientifique, 7% pour la filière technique et enseignement et 8% pour la filière accueil, surveillance et magasinage.</w:t>
      </w:r>
    </w:p>
    <w:p w:rsidR="00646BCA" w:rsidRPr="00C93F22" w:rsidRDefault="00646BCA" w:rsidP="00646BCA">
      <w:pPr>
        <w:rPr>
          <w:rFonts w:ascii="Arial" w:eastAsia="Cambria" w:hAnsi="Arial" w:cs="Arial"/>
        </w:rPr>
      </w:pPr>
      <w:r w:rsidRPr="00095E1E">
        <w:rPr>
          <w:noProof/>
          <w:lang w:eastAsia="fr-FR"/>
        </w:rPr>
        <w:drawing>
          <wp:anchor distT="0" distB="0" distL="114300" distR="114300" simplePos="0" relativeHeight="251760640" behindDoc="1" locked="0" layoutInCell="1" allowOverlap="1" wp14:anchorId="42C1FC93" wp14:editId="27035D22">
            <wp:simplePos x="0" y="0"/>
            <wp:positionH relativeFrom="margin">
              <wp:align>center</wp:align>
            </wp:positionH>
            <wp:positionV relativeFrom="paragraph">
              <wp:posOffset>106680</wp:posOffset>
            </wp:positionV>
            <wp:extent cx="3200400" cy="1430020"/>
            <wp:effectExtent l="0" t="0" r="0" b="0"/>
            <wp:wrapTight wrapText="bothSides">
              <wp:wrapPolygon edited="0">
                <wp:start x="0" y="0"/>
                <wp:lineTo x="0" y="21293"/>
                <wp:lineTo x="21471" y="21293"/>
                <wp:lineTo x="21471" y="0"/>
                <wp:lineTo x="0" y="0"/>
              </wp:wrapPolygon>
            </wp:wrapTight>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00400" cy="1430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9C43FC" w:rsidRDefault="00646BCA" w:rsidP="009C43FC">
      <w:pPr>
        <w:jc w:val="both"/>
        <w:rPr>
          <w:rFonts w:ascii="Arial" w:eastAsia="Cambria" w:hAnsi="Arial" w:cs="Arial"/>
          <w:sz w:val="22"/>
          <w:szCs w:val="22"/>
        </w:rPr>
      </w:pPr>
      <w:r w:rsidRPr="009C43FC">
        <w:rPr>
          <w:rFonts w:ascii="Arial" w:eastAsia="Cambria" w:hAnsi="Arial" w:cs="Arial"/>
          <w:sz w:val="22"/>
          <w:szCs w:val="22"/>
        </w:rPr>
        <w:t>La catégorie B détient le plus fort taux d’agents à temps partiel (15%). Pour les catégories A (11%) et C (12%) les proportions sont relativement identiques.</w:t>
      </w: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Pr="00C93F22" w:rsidRDefault="00646BCA" w:rsidP="00646BCA">
      <w:pPr>
        <w:rPr>
          <w:rFonts w:ascii="Arial" w:eastAsia="Cambria" w:hAnsi="Arial" w:cs="Arial"/>
        </w:rPr>
      </w:pP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646BCA" w:rsidRDefault="00646BCA" w:rsidP="00646BCA">
      <w:pPr>
        <w:rPr>
          <w:rFonts w:ascii="BlairMdITC TT-Medium" w:eastAsia="Cambria" w:hAnsi="BlairMdITC TT-Medium" w:cs="Times New Roman"/>
        </w:rPr>
      </w:pPr>
    </w:p>
    <w:p w:rsidR="00646BCA" w:rsidRPr="00F4193F" w:rsidRDefault="00646BCA" w:rsidP="00646BCA">
      <w:pPr>
        <w:pStyle w:val="Paragraphedeliste"/>
        <w:widowControl w:val="0"/>
        <w:numPr>
          <w:ilvl w:val="0"/>
          <w:numId w:val="3"/>
        </w:numPr>
        <w:autoSpaceDE w:val="0"/>
        <w:autoSpaceDN w:val="0"/>
        <w:adjustRightInd w:val="0"/>
        <w:ind w:left="709" w:hanging="349"/>
        <w:jc w:val="both"/>
        <w:rPr>
          <w:rFonts w:ascii="Florencesans Exp" w:eastAsia="Cambria" w:hAnsi="Florencesans Exp" w:cs="Times New Roman"/>
        </w:rPr>
      </w:pPr>
      <w:r>
        <w:rPr>
          <w:rFonts w:ascii="Florencesans Exp" w:eastAsia="Cambria" w:hAnsi="Florencesans Exp" w:cs="Times New Roman"/>
        </w:rPr>
        <w:t>E.</w:t>
      </w:r>
      <w:r w:rsidRPr="00F4193F">
        <w:rPr>
          <w:rFonts w:ascii="Florencesans Exp" w:eastAsia="Cambria" w:hAnsi="Florencesans Exp" w:cs="Times New Roman"/>
        </w:rPr>
        <w:t xml:space="preserve"> 2. VENTILATION DU TEMPS DE TRAVAIL PAR </w:t>
      </w:r>
      <w:r w:rsidR="009A1A03">
        <w:rPr>
          <w:rFonts w:ascii="Florencesans Exp" w:eastAsia="Cambria" w:hAnsi="Florencesans Exp" w:cs="Times New Roman"/>
        </w:rPr>
        <w:t>GENRE</w:t>
      </w:r>
      <w:r w:rsidRPr="00F4193F">
        <w:rPr>
          <w:rFonts w:ascii="Florencesans Exp" w:eastAsia="Cambria" w:hAnsi="Florencesans Exp" w:cs="Times New Roman"/>
        </w:rPr>
        <w:t>, FILIERE ET CATEGORIE</w:t>
      </w:r>
    </w:p>
    <w:p w:rsidR="00646BCA" w:rsidRPr="00253209" w:rsidRDefault="00646BCA" w:rsidP="00646BCA">
      <w:pPr>
        <w:rPr>
          <w:rFonts w:ascii="Arial" w:eastAsia="Cambria" w:hAnsi="Arial" w:cs="Arial"/>
        </w:rPr>
      </w:pPr>
    </w:p>
    <w:p w:rsidR="00646BCA" w:rsidRPr="00253209" w:rsidRDefault="00646BCA" w:rsidP="00646BCA">
      <w:pPr>
        <w:rPr>
          <w:rFonts w:ascii="Arial" w:eastAsia="Cambria" w:hAnsi="Arial" w:cs="Arial"/>
        </w:rPr>
      </w:pPr>
    </w:p>
    <w:p w:rsidR="00646BCA" w:rsidRPr="00253209" w:rsidRDefault="00646BCA" w:rsidP="00646BCA">
      <w:pPr>
        <w:jc w:val="center"/>
        <w:rPr>
          <w:rFonts w:ascii="Arial" w:eastAsia="Cambria" w:hAnsi="Arial" w:cs="Arial"/>
          <w:b/>
        </w:rPr>
      </w:pPr>
      <w:r w:rsidRPr="009D1838">
        <w:rPr>
          <w:noProof/>
          <w:lang w:eastAsia="fr-FR"/>
        </w:rPr>
        <w:drawing>
          <wp:anchor distT="0" distB="0" distL="114300" distR="114300" simplePos="0" relativeHeight="251761664" behindDoc="1" locked="0" layoutInCell="1" allowOverlap="1" wp14:anchorId="4718B100" wp14:editId="194B2A10">
            <wp:simplePos x="0" y="0"/>
            <wp:positionH relativeFrom="margin">
              <wp:align>center</wp:align>
            </wp:positionH>
            <wp:positionV relativeFrom="paragraph">
              <wp:posOffset>235585</wp:posOffset>
            </wp:positionV>
            <wp:extent cx="6806248" cy="1263650"/>
            <wp:effectExtent l="0" t="0" r="0" b="0"/>
            <wp:wrapTight wrapText="bothSides">
              <wp:wrapPolygon edited="0">
                <wp:start x="0" y="0"/>
                <wp:lineTo x="0" y="21166"/>
                <wp:lineTo x="21523" y="21166"/>
                <wp:lineTo x="21523" y="0"/>
                <wp:lineTo x="0" y="0"/>
              </wp:wrapPolygon>
            </wp:wrapTight>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06248" cy="126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3209">
        <w:rPr>
          <w:rFonts w:ascii="Arial" w:eastAsia="Cambria" w:hAnsi="Arial" w:cs="Arial"/>
          <w:b/>
        </w:rPr>
        <w:t xml:space="preserve">Ventilation du temps de travail par </w:t>
      </w:r>
      <w:r w:rsidR="009A1A03">
        <w:rPr>
          <w:rFonts w:ascii="Arial" w:eastAsia="Cambria" w:hAnsi="Arial" w:cs="Arial"/>
          <w:b/>
        </w:rPr>
        <w:t>genre</w:t>
      </w:r>
      <w:r w:rsidRPr="00253209">
        <w:rPr>
          <w:rFonts w:ascii="Arial" w:eastAsia="Cambria" w:hAnsi="Arial" w:cs="Arial"/>
          <w:b/>
        </w:rPr>
        <w:t xml:space="preserve"> et filière</w:t>
      </w:r>
    </w:p>
    <w:p w:rsidR="00646BCA" w:rsidRDefault="00646BCA" w:rsidP="00646BCA">
      <w:pPr>
        <w:jc w:val="both"/>
        <w:rPr>
          <w:rFonts w:ascii="Arial" w:eastAsia="Cambria" w:hAnsi="Arial" w:cs="Arial"/>
        </w:rPr>
      </w:pPr>
    </w:p>
    <w:p w:rsidR="00646BCA" w:rsidRPr="009C43FC" w:rsidRDefault="00646BCA" w:rsidP="00646BCA">
      <w:pPr>
        <w:jc w:val="both"/>
        <w:rPr>
          <w:rFonts w:ascii="Arial" w:eastAsia="Cambria" w:hAnsi="Arial" w:cs="Arial"/>
          <w:sz w:val="22"/>
          <w:szCs w:val="22"/>
        </w:rPr>
      </w:pPr>
      <w:r w:rsidRPr="009C43FC">
        <w:rPr>
          <w:rFonts w:ascii="Arial" w:eastAsia="Cambria" w:hAnsi="Arial" w:cs="Arial"/>
          <w:sz w:val="22"/>
          <w:szCs w:val="22"/>
        </w:rPr>
        <w:t xml:space="preserve">Sur l’ensemble du ministère, 9% des femmes bénéficient d’un temps partiel, contre 3% pour les hommes. Au regard des filières, c’est dans la filière administrative que les femmes ont le plus recours au temps partiel (14%). Dans cette même filière, les hommes travaillant à temps partiel représentent 7%. </w:t>
      </w: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jc w:val="center"/>
        <w:rPr>
          <w:rFonts w:ascii="Arial" w:eastAsia="Cambria" w:hAnsi="Arial" w:cs="Arial"/>
          <w:b/>
        </w:rPr>
      </w:pPr>
      <w:r w:rsidRPr="008C4923">
        <w:rPr>
          <w:noProof/>
          <w:lang w:eastAsia="fr-FR"/>
        </w:rPr>
        <w:drawing>
          <wp:anchor distT="0" distB="0" distL="114300" distR="114300" simplePos="0" relativeHeight="251762688" behindDoc="1" locked="0" layoutInCell="1" allowOverlap="1" wp14:anchorId="73997237" wp14:editId="60BF8FFB">
            <wp:simplePos x="0" y="0"/>
            <wp:positionH relativeFrom="margin">
              <wp:align>center</wp:align>
            </wp:positionH>
            <wp:positionV relativeFrom="paragraph">
              <wp:posOffset>196850</wp:posOffset>
            </wp:positionV>
            <wp:extent cx="6384290" cy="1388745"/>
            <wp:effectExtent l="0" t="0" r="0" b="1905"/>
            <wp:wrapTight wrapText="bothSides">
              <wp:wrapPolygon edited="0">
                <wp:start x="0" y="0"/>
                <wp:lineTo x="0" y="21333"/>
                <wp:lineTo x="21527" y="21333"/>
                <wp:lineTo x="21527" y="0"/>
                <wp:lineTo x="0" y="0"/>
              </wp:wrapPolygon>
            </wp:wrapTight>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84290" cy="138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3209">
        <w:rPr>
          <w:rFonts w:ascii="Arial" w:eastAsia="Cambria" w:hAnsi="Arial" w:cs="Arial"/>
          <w:b/>
        </w:rPr>
        <w:t xml:space="preserve">Ventilation du temps de travail par </w:t>
      </w:r>
      <w:r w:rsidR="009A1A03">
        <w:rPr>
          <w:rFonts w:ascii="Arial" w:eastAsia="Cambria" w:hAnsi="Arial" w:cs="Arial"/>
          <w:b/>
        </w:rPr>
        <w:t>genre</w:t>
      </w:r>
      <w:r w:rsidRPr="00253209">
        <w:rPr>
          <w:rFonts w:ascii="Arial" w:eastAsia="Cambria" w:hAnsi="Arial" w:cs="Arial"/>
          <w:b/>
        </w:rPr>
        <w:t xml:space="preserve"> et </w:t>
      </w:r>
      <w:r>
        <w:rPr>
          <w:rFonts w:ascii="Arial" w:eastAsia="Cambria" w:hAnsi="Arial" w:cs="Arial"/>
          <w:b/>
        </w:rPr>
        <w:t>catégorie</w:t>
      </w:r>
    </w:p>
    <w:p w:rsidR="00646BCA" w:rsidRDefault="00646BCA" w:rsidP="00646BCA">
      <w:pPr>
        <w:jc w:val="both"/>
        <w:rPr>
          <w:rFonts w:ascii="Arial" w:eastAsia="Cambria" w:hAnsi="Arial" w:cs="Arial"/>
        </w:rPr>
      </w:pPr>
    </w:p>
    <w:p w:rsidR="00646BCA" w:rsidRPr="009C43FC" w:rsidRDefault="00646BCA" w:rsidP="00646BCA">
      <w:pPr>
        <w:jc w:val="both"/>
        <w:rPr>
          <w:rFonts w:ascii="Arial" w:eastAsia="Cambria" w:hAnsi="Arial" w:cs="Arial"/>
          <w:sz w:val="22"/>
          <w:szCs w:val="22"/>
        </w:rPr>
      </w:pPr>
      <w:r w:rsidRPr="009C43FC">
        <w:rPr>
          <w:rFonts w:ascii="Arial" w:eastAsia="Cambria" w:hAnsi="Arial" w:cs="Arial"/>
          <w:sz w:val="22"/>
          <w:szCs w:val="22"/>
        </w:rPr>
        <w:t>Ce sont les hommes exerçant des fonctions de catégorie A qui bénéficient davantage du temps partiel (4%), tandis que pour les femmes, il s’agit de la catégorie B (12%). La répartition en catégorie C est de 10% pour les femmes et 2% pour les hommes.</w:t>
      </w:r>
    </w:p>
    <w:p w:rsidR="00646BCA" w:rsidRDefault="00646BCA" w:rsidP="00646BCA">
      <w:pPr>
        <w:rPr>
          <w:rFonts w:ascii="Arial" w:eastAsia="Cambria" w:hAnsi="Arial" w:cs="Arial"/>
        </w:rPr>
      </w:pPr>
      <w:r>
        <w:rPr>
          <w:rFonts w:ascii="Arial" w:eastAsia="Cambria" w:hAnsi="Arial" w:cs="Arial"/>
        </w:rPr>
        <w:br w:type="page"/>
      </w:r>
    </w:p>
    <w:p w:rsidR="00646BCA" w:rsidRDefault="00646BCA" w:rsidP="00646BCA">
      <w:pPr>
        <w:rPr>
          <w:rFonts w:ascii="Arial" w:eastAsia="Cambria" w:hAnsi="Arial" w:cs="Arial"/>
        </w:rPr>
      </w:pPr>
    </w:p>
    <w:p w:rsidR="00646BCA" w:rsidRPr="00F4193F" w:rsidRDefault="00646BCA" w:rsidP="00646BCA">
      <w:pPr>
        <w:pStyle w:val="Paragraphedeliste"/>
        <w:numPr>
          <w:ilvl w:val="0"/>
          <w:numId w:val="4"/>
        </w:numPr>
        <w:rPr>
          <w:rFonts w:ascii="Arial" w:eastAsia="Cambria" w:hAnsi="Arial" w:cs="Arial"/>
        </w:rPr>
      </w:pPr>
      <w:r>
        <w:rPr>
          <w:rFonts w:ascii="Florencesans Exp" w:eastAsia="Cambria" w:hAnsi="Florencesans Exp" w:cs="Times New Roman"/>
        </w:rPr>
        <w:t>E.</w:t>
      </w:r>
      <w:r w:rsidRPr="00F4193F">
        <w:rPr>
          <w:rFonts w:ascii="Florencesans Exp" w:eastAsia="Cambria" w:hAnsi="Florencesans Exp" w:cs="Times New Roman"/>
        </w:rPr>
        <w:t xml:space="preserve"> </w:t>
      </w:r>
      <w:r>
        <w:rPr>
          <w:rFonts w:ascii="Florencesans Exp" w:eastAsia="Cambria" w:hAnsi="Florencesans Exp" w:cs="Times New Roman"/>
        </w:rPr>
        <w:t>3</w:t>
      </w:r>
      <w:r w:rsidRPr="00F4193F">
        <w:rPr>
          <w:rFonts w:ascii="Florencesans Exp" w:eastAsia="Cambria" w:hAnsi="Florencesans Exp" w:cs="Times New Roman"/>
        </w:rPr>
        <w:t>. ZOOM SUR LE TEMPS PARTIEL</w:t>
      </w:r>
    </w:p>
    <w:p w:rsidR="00646BCA" w:rsidRDefault="00646BCA" w:rsidP="00646BCA">
      <w:pPr>
        <w:rPr>
          <w:rFonts w:ascii="Arial" w:eastAsia="Cambria" w:hAnsi="Arial" w:cs="Arial"/>
        </w:rPr>
      </w:pPr>
    </w:p>
    <w:p w:rsidR="00646BCA" w:rsidRPr="006F2328" w:rsidRDefault="00646BCA" w:rsidP="00646BCA">
      <w:pPr>
        <w:rPr>
          <w:rFonts w:ascii="Arial" w:eastAsia="Cambria" w:hAnsi="Arial" w:cs="Arial"/>
          <w:b/>
          <w:u w:val="single"/>
        </w:rPr>
      </w:pPr>
      <w:r w:rsidRPr="006F2328">
        <w:rPr>
          <w:rFonts w:ascii="Arial" w:eastAsia="Cambria" w:hAnsi="Arial" w:cs="Arial"/>
          <w:b/>
          <w:u w:val="single"/>
        </w:rPr>
        <w:t xml:space="preserve">Répartition des agents bénéficiant du temps partiel, par </w:t>
      </w:r>
      <w:r w:rsidR="009A1A03">
        <w:rPr>
          <w:rFonts w:ascii="Arial" w:eastAsia="Cambria" w:hAnsi="Arial" w:cs="Arial"/>
          <w:b/>
          <w:u w:val="single"/>
        </w:rPr>
        <w:t>genre</w:t>
      </w:r>
      <w:r w:rsidRPr="006F2328">
        <w:rPr>
          <w:rFonts w:ascii="Arial" w:eastAsia="Cambria" w:hAnsi="Arial" w:cs="Arial"/>
          <w:b/>
          <w:u w:val="single"/>
        </w:rPr>
        <w:t>, filières et catégories</w:t>
      </w:r>
    </w:p>
    <w:p w:rsidR="00646BCA" w:rsidRDefault="00646BCA" w:rsidP="00646BCA">
      <w:pPr>
        <w:rPr>
          <w:rFonts w:ascii="Arial" w:eastAsia="Cambria" w:hAnsi="Arial" w:cs="Arial"/>
        </w:rPr>
      </w:pPr>
      <w:r>
        <w:rPr>
          <w:noProof/>
          <w:lang w:eastAsia="fr-FR"/>
        </w:rPr>
        <w:drawing>
          <wp:anchor distT="0" distB="0" distL="114300" distR="114300" simplePos="0" relativeHeight="251701248" behindDoc="1" locked="0" layoutInCell="1" allowOverlap="1" wp14:anchorId="30036E85" wp14:editId="0EB3B218">
            <wp:simplePos x="0" y="0"/>
            <wp:positionH relativeFrom="margin">
              <wp:align>center</wp:align>
            </wp:positionH>
            <wp:positionV relativeFrom="paragraph">
              <wp:posOffset>114300</wp:posOffset>
            </wp:positionV>
            <wp:extent cx="4314825" cy="2501900"/>
            <wp:effectExtent l="0" t="0" r="0" b="0"/>
            <wp:wrapTight wrapText="bothSides">
              <wp:wrapPolygon edited="0">
                <wp:start x="0" y="0"/>
                <wp:lineTo x="0" y="21381"/>
                <wp:lineTo x="21457" y="21381"/>
                <wp:lineTo x="21457" y="0"/>
                <wp:lineTo x="0" y="0"/>
              </wp:wrapPolygon>
            </wp:wrapTight>
            <wp:docPr id="88" name="Graphique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anchor>
        </w:drawing>
      </w: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r w:rsidRPr="005E4466">
        <w:rPr>
          <w:noProof/>
          <w:lang w:eastAsia="fr-FR"/>
        </w:rPr>
        <w:drawing>
          <wp:anchor distT="0" distB="0" distL="114300" distR="114300" simplePos="0" relativeHeight="251763712" behindDoc="1" locked="0" layoutInCell="1" allowOverlap="1" wp14:anchorId="1EC40B07" wp14:editId="61E7C9E2">
            <wp:simplePos x="0" y="0"/>
            <wp:positionH relativeFrom="margin">
              <wp:align>center</wp:align>
            </wp:positionH>
            <wp:positionV relativeFrom="paragraph">
              <wp:posOffset>318770</wp:posOffset>
            </wp:positionV>
            <wp:extent cx="7247890" cy="1143000"/>
            <wp:effectExtent l="0" t="0" r="0" b="0"/>
            <wp:wrapTight wrapText="bothSides">
              <wp:wrapPolygon edited="0">
                <wp:start x="0" y="0"/>
                <wp:lineTo x="0" y="21240"/>
                <wp:lineTo x="21517" y="21240"/>
                <wp:lineTo x="21517" y="0"/>
                <wp:lineTo x="0" y="0"/>
              </wp:wrapPolygon>
            </wp:wrapTight>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24789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Pr="006F2328" w:rsidRDefault="00646BCA" w:rsidP="00646BCA">
      <w:pPr>
        <w:rPr>
          <w:rFonts w:ascii="Arial" w:eastAsia="Cambria" w:hAnsi="Arial" w:cs="Arial"/>
          <w:b/>
          <w:u w:val="single"/>
        </w:rPr>
      </w:pPr>
      <w:r w:rsidRPr="00AD7277">
        <w:rPr>
          <w:noProof/>
          <w:lang w:eastAsia="fr-FR"/>
        </w:rPr>
        <w:drawing>
          <wp:anchor distT="0" distB="0" distL="114300" distR="114300" simplePos="0" relativeHeight="251764736" behindDoc="1" locked="0" layoutInCell="1" allowOverlap="1" wp14:anchorId="1438C1BD" wp14:editId="606D32F2">
            <wp:simplePos x="0" y="0"/>
            <wp:positionH relativeFrom="margin">
              <wp:align>center</wp:align>
            </wp:positionH>
            <wp:positionV relativeFrom="paragraph">
              <wp:posOffset>268605</wp:posOffset>
            </wp:positionV>
            <wp:extent cx="7145655" cy="920750"/>
            <wp:effectExtent l="0" t="0" r="0" b="0"/>
            <wp:wrapTight wrapText="bothSides">
              <wp:wrapPolygon edited="0">
                <wp:start x="0" y="0"/>
                <wp:lineTo x="0" y="21004"/>
                <wp:lineTo x="21537" y="21004"/>
                <wp:lineTo x="21537" y="0"/>
                <wp:lineTo x="0" y="0"/>
              </wp:wrapPolygon>
            </wp:wrapTight>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146201" cy="920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2328">
        <w:rPr>
          <w:rFonts w:ascii="Arial" w:eastAsia="Cambria" w:hAnsi="Arial" w:cs="Arial"/>
          <w:b/>
          <w:u w:val="single"/>
        </w:rPr>
        <w:t>Le</w:t>
      </w:r>
      <w:r>
        <w:rPr>
          <w:rFonts w:ascii="Arial" w:eastAsia="Cambria" w:hAnsi="Arial" w:cs="Arial"/>
          <w:b/>
          <w:u w:val="single"/>
        </w:rPr>
        <w:t xml:space="preserve"> nombre de </w:t>
      </w:r>
      <w:r w:rsidRPr="006F2328">
        <w:rPr>
          <w:rFonts w:ascii="Arial" w:eastAsia="Cambria" w:hAnsi="Arial" w:cs="Arial"/>
          <w:b/>
          <w:u w:val="single"/>
        </w:rPr>
        <w:t>temps partiel</w:t>
      </w:r>
      <w:r>
        <w:rPr>
          <w:rFonts w:ascii="Arial" w:eastAsia="Cambria" w:hAnsi="Arial" w:cs="Arial"/>
          <w:b/>
          <w:u w:val="single"/>
        </w:rPr>
        <w:t>s</w:t>
      </w:r>
      <w:r w:rsidRPr="006F2328">
        <w:rPr>
          <w:rFonts w:ascii="Arial" w:eastAsia="Cambria" w:hAnsi="Arial" w:cs="Arial"/>
          <w:b/>
          <w:u w:val="single"/>
        </w:rPr>
        <w:t xml:space="preserve"> accordés en 2013</w:t>
      </w: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Default="00646BCA" w:rsidP="00646BCA">
      <w:pPr>
        <w:rPr>
          <w:rFonts w:ascii="Arial" w:eastAsia="Cambria" w:hAnsi="Arial" w:cs="Arial"/>
        </w:rPr>
      </w:pPr>
    </w:p>
    <w:p w:rsidR="00646BCA" w:rsidRPr="006F2328" w:rsidRDefault="00646BCA" w:rsidP="00646BCA">
      <w:pPr>
        <w:rPr>
          <w:rFonts w:ascii="Arial" w:eastAsia="Cambria" w:hAnsi="Arial" w:cs="Arial"/>
          <w:b/>
          <w:u w:val="single"/>
        </w:rPr>
      </w:pPr>
      <w:r w:rsidRPr="00AD7277">
        <w:rPr>
          <w:noProof/>
          <w:lang w:eastAsia="fr-FR"/>
        </w:rPr>
        <w:drawing>
          <wp:anchor distT="0" distB="0" distL="114300" distR="114300" simplePos="0" relativeHeight="251765760" behindDoc="1" locked="0" layoutInCell="1" allowOverlap="1" wp14:anchorId="58484C19" wp14:editId="689C4148">
            <wp:simplePos x="0" y="0"/>
            <wp:positionH relativeFrom="margin">
              <wp:align>center</wp:align>
            </wp:positionH>
            <wp:positionV relativeFrom="paragraph">
              <wp:posOffset>273050</wp:posOffset>
            </wp:positionV>
            <wp:extent cx="7202805" cy="984885"/>
            <wp:effectExtent l="0" t="0" r="0" b="5715"/>
            <wp:wrapTight wrapText="bothSides">
              <wp:wrapPolygon edited="0">
                <wp:start x="0" y="0"/>
                <wp:lineTo x="0" y="21308"/>
                <wp:lineTo x="21537" y="21308"/>
                <wp:lineTo x="21537" y="0"/>
                <wp:lineTo x="0" y="0"/>
              </wp:wrapPolygon>
            </wp:wrapTight>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202805" cy="984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2328">
        <w:rPr>
          <w:rFonts w:ascii="Arial" w:eastAsia="Cambria" w:hAnsi="Arial" w:cs="Arial"/>
          <w:b/>
          <w:u w:val="single"/>
        </w:rPr>
        <w:t>Le</w:t>
      </w:r>
      <w:r>
        <w:rPr>
          <w:rFonts w:ascii="Arial" w:eastAsia="Cambria" w:hAnsi="Arial" w:cs="Arial"/>
          <w:b/>
          <w:u w:val="single"/>
        </w:rPr>
        <w:t xml:space="preserve"> nombre</w:t>
      </w:r>
      <w:r w:rsidRPr="006F2328">
        <w:rPr>
          <w:rFonts w:ascii="Arial" w:eastAsia="Cambria" w:hAnsi="Arial" w:cs="Arial"/>
          <w:b/>
          <w:u w:val="single"/>
        </w:rPr>
        <w:t xml:space="preserve"> de retour</w:t>
      </w:r>
      <w:r>
        <w:rPr>
          <w:rFonts w:ascii="Arial" w:eastAsia="Cambria" w:hAnsi="Arial" w:cs="Arial"/>
          <w:b/>
          <w:u w:val="single"/>
        </w:rPr>
        <w:t>s</w:t>
      </w:r>
      <w:r w:rsidRPr="006F2328">
        <w:rPr>
          <w:rFonts w:ascii="Arial" w:eastAsia="Cambria" w:hAnsi="Arial" w:cs="Arial"/>
          <w:b/>
          <w:u w:val="single"/>
        </w:rPr>
        <w:t xml:space="preserve"> à temps plein accordés en 2013</w:t>
      </w:r>
    </w:p>
    <w:p w:rsidR="00646BCA" w:rsidRDefault="00646BCA" w:rsidP="00646BCA">
      <w:pPr>
        <w:tabs>
          <w:tab w:val="left" w:pos="1220"/>
        </w:tabs>
        <w:ind w:left="1418" w:hanging="1418"/>
        <w:jc w:val="both"/>
        <w:rPr>
          <w:rFonts w:ascii="Florencesans Exp" w:eastAsia="Cambria" w:hAnsi="Florencesans Exp" w:cs="Times New Roman"/>
          <w:b/>
          <w:color w:val="E917DF"/>
          <w:sz w:val="28"/>
        </w:rPr>
      </w:pPr>
    </w:p>
    <w:p w:rsidR="00646BCA" w:rsidRDefault="00646BCA" w:rsidP="00646BCA">
      <w:pPr>
        <w:rPr>
          <w:rFonts w:ascii="Florencesans Exp" w:eastAsia="Cambria" w:hAnsi="Florencesans Exp" w:cs="Times New Roman"/>
          <w:b/>
          <w:color w:val="FF0080"/>
          <w:sz w:val="20"/>
          <w:szCs w:val="20"/>
        </w:rPr>
      </w:pPr>
      <w:r>
        <w:rPr>
          <w:rFonts w:ascii="Florencesans Exp" w:eastAsia="Cambria" w:hAnsi="Florencesans Exp" w:cs="Times New Roman"/>
          <w:b/>
          <w:color w:val="FF0080"/>
          <w:sz w:val="20"/>
          <w:szCs w:val="20"/>
        </w:rPr>
        <w:br w:type="page"/>
      </w:r>
    </w:p>
    <w:p w:rsidR="00646BCA" w:rsidRPr="001D2FCC" w:rsidRDefault="00646BCA" w:rsidP="00646BCA">
      <w:pPr>
        <w:tabs>
          <w:tab w:val="left" w:pos="1220"/>
        </w:tabs>
        <w:rPr>
          <w:rFonts w:ascii="Florencesans Exp" w:eastAsia="Cambria" w:hAnsi="Florencesans Exp" w:cs="Times New Roman"/>
          <w:b/>
          <w:color w:val="FF0080"/>
          <w:sz w:val="20"/>
          <w:szCs w:val="20"/>
        </w:rPr>
      </w:pPr>
    </w:p>
    <w:p w:rsidR="00646BCA" w:rsidRPr="000D3FE9" w:rsidRDefault="00646BCA" w:rsidP="00646BCA">
      <w:pPr>
        <w:tabs>
          <w:tab w:val="left" w:pos="1220"/>
        </w:tabs>
        <w:rPr>
          <w:rFonts w:ascii="Florencesans Exp" w:eastAsia="Cambria" w:hAnsi="Florencesans Exp" w:cs="Times New Roman"/>
          <w:b/>
          <w:color w:val="E917DF"/>
          <w:sz w:val="28"/>
        </w:rPr>
      </w:pPr>
      <w:r w:rsidRPr="000D3FE9">
        <w:rPr>
          <w:rFonts w:ascii="Florencesans Exp" w:eastAsia="Cambria" w:hAnsi="Florencesans Exp" w:cs="Times New Roman"/>
          <w:b/>
          <w:color w:val="E917DF"/>
          <w:sz w:val="28"/>
        </w:rPr>
        <w:t xml:space="preserve">1. </w:t>
      </w:r>
      <w:r>
        <w:rPr>
          <w:rFonts w:ascii="Florencesans Exp" w:eastAsia="Cambria" w:hAnsi="Florencesans Exp" w:cs="Times New Roman"/>
          <w:b/>
          <w:color w:val="E917DF"/>
          <w:sz w:val="28"/>
        </w:rPr>
        <w:t>F</w:t>
      </w:r>
      <w:r w:rsidRPr="000D3FE9">
        <w:rPr>
          <w:rFonts w:ascii="Florencesans Exp" w:eastAsia="Cambria" w:hAnsi="Florencesans Exp" w:cs="Times New Roman"/>
          <w:b/>
          <w:color w:val="E917DF"/>
          <w:sz w:val="28"/>
        </w:rPr>
        <w:t>. LES FLUX INTERNES (DONNEES T2 ET T3)</w:t>
      </w:r>
    </w:p>
    <w:p w:rsidR="00646BCA" w:rsidRPr="00C363EE" w:rsidRDefault="00646BCA" w:rsidP="00646BCA">
      <w:pPr>
        <w:rPr>
          <w:rFonts w:ascii="Arial Unicode MS" w:eastAsia="Cambria" w:hAnsi="Arial Unicode MS" w:cs="Times New Roman"/>
          <w:sz w:val="20"/>
        </w:rPr>
      </w:pPr>
    </w:p>
    <w:p w:rsidR="00646BCA" w:rsidRPr="000D3FE9" w:rsidRDefault="00646BCA" w:rsidP="00646BCA">
      <w:pPr>
        <w:widowControl w:val="0"/>
        <w:autoSpaceDE w:val="0"/>
        <w:autoSpaceDN w:val="0"/>
        <w:adjustRightInd w:val="0"/>
        <w:jc w:val="both"/>
        <w:rPr>
          <w:rFonts w:ascii="Florencesans Exp" w:eastAsia="Cambria" w:hAnsi="Florencesans Exp" w:cs="Times New Roman"/>
        </w:rPr>
      </w:pPr>
      <w:r w:rsidRPr="000D3FE9">
        <w:rPr>
          <w:rFonts w:ascii="Florencesans Exp" w:eastAsia="Cambria" w:hAnsi="Florencesans Exp" w:cs="Times New Roman"/>
        </w:rPr>
        <w:t xml:space="preserve">1. </w:t>
      </w:r>
      <w:r>
        <w:rPr>
          <w:rFonts w:ascii="Florencesans Exp" w:eastAsia="Cambria" w:hAnsi="Florencesans Exp" w:cs="Times New Roman"/>
        </w:rPr>
        <w:t>F</w:t>
      </w:r>
      <w:r w:rsidRPr="000D3FE9">
        <w:rPr>
          <w:rFonts w:ascii="Florencesans Exp" w:eastAsia="Cambria" w:hAnsi="Florencesans Exp" w:cs="Times New Roman"/>
        </w:rPr>
        <w:t>. 1. LES EXAMENS PROFESSIONNELS</w:t>
      </w:r>
    </w:p>
    <w:p w:rsidR="00646BCA" w:rsidRPr="00C363EE" w:rsidRDefault="00646BCA" w:rsidP="00646BCA">
      <w:pPr>
        <w:rPr>
          <w:rFonts w:ascii="Arial Unicode MS" w:eastAsia="Cambria" w:hAnsi="Arial Unicode MS" w:cs="Times New Roman"/>
          <w:sz w:val="18"/>
        </w:rPr>
      </w:pPr>
    </w:p>
    <w:p w:rsidR="00646BCA" w:rsidRPr="009C43FC" w:rsidRDefault="00646BCA" w:rsidP="00646BCA">
      <w:pPr>
        <w:jc w:val="both"/>
        <w:rPr>
          <w:rFonts w:ascii="Arial" w:eastAsia="Cambria" w:hAnsi="Arial" w:cs="Times New Roman"/>
          <w:color w:val="000000"/>
          <w:sz w:val="22"/>
          <w:szCs w:val="22"/>
        </w:rPr>
      </w:pPr>
      <w:r w:rsidRPr="009C43FC">
        <w:rPr>
          <w:rFonts w:ascii="Arial" w:eastAsia="Cambria" w:hAnsi="Arial" w:cs="Times New Roman"/>
          <w:color w:val="000000"/>
          <w:sz w:val="22"/>
          <w:szCs w:val="22"/>
        </w:rPr>
        <w:t>Les examens professionnels permettent aux fonctionnaires, dans les conditions prévues par les statuts particuliers, l'accès à un grade supérieur à celui du corps auxquels ils appartiennent.</w:t>
      </w:r>
    </w:p>
    <w:p w:rsidR="00646BCA" w:rsidRPr="00C363EE" w:rsidRDefault="00646BCA" w:rsidP="00646BCA">
      <w:pPr>
        <w:jc w:val="both"/>
        <w:rPr>
          <w:rFonts w:ascii="Arial" w:eastAsia="Cambria" w:hAnsi="Arial" w:cs="Times New Roman"/>
          <w:color w:val="000000"/>
        </w:rPr>
      </w:pPr>
    </w:p>
    <w:p w:rsidR="00646BCA" w:rsidRPr="00C363EE" w:rsidRDefault="00646BCA" w:rsidP="00646BCA">
      <w:pPr>
        <w:jc w:val="both"/>
        <w:rPr>
          <w:rFonts w:ascii="Cambria" w:eastAsia="Cambria" w:hAnsi="Cambria" w:cs="Times New Roman"/>
          <w:color w:val="000000"/>
          <w:sz w:val="16"/>
        </w:rPr>
      </w:pPr>
    </w:p>
    <w:p w:rsidR="00646BCA" w:rsidRPr="00C363EE" w:rsidRDefault="00646BCA" w:rsidP="00646BCA">
      <w:pPr>
        <w:jc w:val="center"/>
        <w:rPr>
          <w:rFonts w:ascii="Arial" w:eastAsia="Cambria" w:hAnsi="Arial" w:cs="Times New Roman"/>
          <w:b/>
          <w:color w:val="000000"/>
        </w:rPr>
      </w:pPr>
      <w:r w:rsidRPr="00C363EE">
        <w:rPr>
          <w:rFonts w:ascii="Arial" w:eastAsia="Cambria" w:hAnsi="Arial" w:cs="Times New Roman"/>
          <w:b/>
          <w:color w:val="000000"/>
        </w:rPr>
        <w:t>Examens professionnels or</w:t>
      </w:r>
      <w:r>
        <w:rPr>
          <w:rFonts w:ascii="Arial" w:eastAsia="Cambria" w:hAnsi="Arial" w:cs="Times New Roman"/>
          <w:b/>
          <w:color w:val="000000"/>
        </w:rPr>
        <w:t>ganisés au titre de l’année 2013</w:t>
      </w:r>
    </w:p>
    <w:p w:rsidR="00646BCA" w:rsidRDefault="00646BCA" w:rsidP="00646BCA">
      <w:pPr>
        <w:jc w:val="center"/>
        <w:rPr>
          <w:rFonts w:ascii="Arial" w:eastAsia="Cambria" w:hAnsi="Arial" w:cs="Times New Roman"/>
          <w:b/>
          <w:color w:val="000000"/>
          <w:sz w:val="16"/>
        </w:rPr>
      </w:pPr>
      <w:r w:rsidRPr="00AB4555">
        <w:rPr>
          <w:noProof/>
          <w:lang w:eastAsia="fr-FR"/>
        </w:rPr>
        <w:drawing>
          <wp:anchor distT="0" distB="0" distL="114300" distR="114300" simplePos="0" relativeHeight="251699200" behindDoc="1" locked="0" layoutInCell="1" allowOverlap="1" wp14:anchorId="4D815E11" wp14:editId="77029621">
            <wp:simplePos x="0" y="0"/>
            <wp:positionH relativeFrom="column">
              <wp:posOffset>-585470</wp:posOffset>
            </wp:positionH>
            <wp:positionV relativeFrom="paragraph">
              <wp:posOffset>147320</wp:posOffset>
            </wp:positionV>
            <wp:extent cx="6726555" cy="4330700"/>
            <wp:effectExtent l="0" t="0" r="0" b="0"/>
            <wp:wrapTight wrapText="bothSides">
              <wp:wrapPolygon edited="0">
                <wp:start x="0" y="0"/>
                <wp:lineTo x="0" y="21473"/>
                <wp:lineTo x="21533" y="21473"/>
                <wp:lineTo x="21533"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726555" cy="433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both"/>
        <w:rPr>
          <w:rFonts w:ascii="Arial" w:eastAsia="Cambria" w:hAnsi="Arial" w:cs="Times New Roman"/>
          <w:color w:val="000000"/>
        </w:rPr>
      </w:pPr>
    </w:p>
    <w:p w:rsidR="00646BCA" w:rsidRDefault="00646BCA" w:rsidP="00646BCA">
      <w:pPr>
        <w:widowControl w:val="0"/>
        <w:autoSpaceDE w:val="0"/>
        <w:autoSpaceDN w:val="0"/>
        <w:adjustRightInd w:val="0"/>
        <w:jc w:val="both"/>
        <w:rPr>
          <w:rFonts w:ascii="Arial" w:eastAsia="Cambria" w:hAnsi="Arial" w:cs="Times New Roman"/>
          <w:color w:val="000000"/>
        </w:rPr>
      </w:pPr>
    </w:p>
    <w:p w:rsidR="00646BCA" w:rsidRDefault="00B95022" w:rsidP="00646BCA">
      <w:pPr>
        <w:widowControl w:val="0"/>
        <w:autoSpaceDE w:val="0"/>
        <w:autoSpaceDN w:val="0"/>
        <w:adjustRightInd w:val="0"/>
        <w:jc w:val="both"/>
        <w:rPr>
          <w:rFonts w:ascii="Arial" w:eastAsia="Cambria" w:hAnsi="Arial" w:cs="Times New Roman"/>
          <w:color w:val="000000"/>
        </w:rPr>
      </w:pPr>
      <w:r>
        <w:rPr>
          <w:noProof/>
          <w:lang w:eastAsia="fr-FR"/>
        </w:rPr>
        <mc:AlternateContent>
          <mc:Choice Requires="wps">
            <w:drawing>
              <wp:anchor distT="0" distB="0" distL="114300" distR="114300" simplePos="0" relativeHeight="251909120" behindDoc="0" locked="0" layoutInCell="1" allowOverlap="1" wp14:anchorId="58E2B5D4" wp14:editId="0C666C72">
                <wp:simplePos x="0" y="0"/>
                <wp:positionH relativeFrom="column">
                  <wp:posOffset>5570807</wp:posOffset>
                </wp:positionH>
                <wp:positionV relativeFrom="paragraph">
                  <wp:posOffset>85579</wp:posOffset>
                </wp:positionV>
                <wp:extent cx="1828800" cy="1828800"/>
                <wp:effectExtent l="0" t="190500" r="0" b="200660"/>
                <wp:wrapNone/>
                <wp:docPr id="33" name="Zone de texte 33"/>
                <wp:cNvGraphicFramePr/>
                <a:graphic xmlns:a="http://schemas.openxmlformats.org/drawingml/2006/main">
                  <a:graphicData uri="http://schemas.microsoft.com/office/word/2010/wordprocessingShape">
                    <wps:wsp>
                      <wps:cNvSpPr txBox="1"/>
                      <wps:spPr>
                        <a:xfrm rot="2542639">
                          <a:off x="0" y="0"/>
                          <a:ext cx="1828800" cy="1828800"/>
                        </a:xfrm>
                        <a:prstGeom prst="rect">
                          <a:avLst/>
                        </a:prstGeom>
                        <a:noFill/>
                        <a:ln>
                          <a:noFill/>
                        </a:ln>
                        <a:effectLst/>
                      </wps:spPr>
                      <wps:txbx>
                        <w:txbxContent>
                          <w:p w:rsidR="007B1397" w:rsidRPr="00D26AC1" w:rsidRDefault="007B1397" w:rsidP="00B95022">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0"/>
                                <w:szCs w:val="20"/>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58E2B5D4" id="Zone de texte 33" o:spid="_x0000_s1067" type="#_x0000_t202" style="position:absolute;left:0;text-align:left;margin-left:438.65pt;margin-top:6.75pt;width:2in;height:2in;rotation:2777240fd;z-index:251909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" filled="f" stroked="f">
                <v:textbox style="mso-fit-shape-to-text:t">
                  <w:txbxContent>
                    <w:p w:rsidR="007B1397" w:rsidRPr="00D26AC1" w:rsidRDefault="007B1397" w:rsidP="00B95022">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0"/>
                          <w:szCs w:val="20"/>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v:shape>
            </w:pict>
          </mc:Fallback>
        </mc:AlternateContent>
      </w:r>
    </w:p>
    <w:p w:rsidR="00646BCA" w:rsidRDefault="00646BCA" w:rsidP="00646BCA">
      <w:pPr>
        <w:widowControl w:val="0"/>
        <w:autoSpaceDE w:val="0"/>
        <w:autoSpaceDN w:val="0"/>
        <w:adjustRightInd w:val="0"/>
        <w:jc w:val="both"/>
        <w:rPr>
          <w:rFonts w:ascii="Arial" w:eastAsia="Cambria" w:hAnsi="Arial" w:cs="Times New Roman"/>
          <w:color w:val="000000"/>
        </w:rPr>
      </w:pPr>
    </w:p>
    <w:p w:rsidR="00646BCA" w:rsidRPr="00D8674F" w:rsidRDefault="00646BCA" w:rsidP="00646BCA">
      <w:pPr>
        <w:ind w:right="-142"/>
        <w:jc w:val="center"/>
        <w:rPr>
          <w:rFonts w:ascii="Arial" w:eastAsia="Cambria" w:hAnsi="Arial" w:cs="Times New Roman"/>
          <w:b/>
        </w:rPr>
      </w:pPr>
      <w:r w:rsidRPr="00B247B9">
        <w:rPr>
          <w:rFonts w:ascii="Arial" w:eastAsia="Cambria" w:hAnsi="Arial" w:cs="Times New Roman"/>
          <w:b/>
        </w:rPr>
        <w:t>Les agents titularisés à l’issue d’un concours ou examen professionnel en 2013</w:t>
      </w:r>
    </w:p>
    <w:p w:rsidR="00646BCA" w:rsidRPr="00D8674F" w:rsidRDefault="00646BCA" w:rsidP="00646BCA">
      <w:pPr>
        <w:widowControl w:val="0"/>
        <w:autoSpaceDE w:val="0"/>
        <w:autoSpaceDN w:val="0"/>
        <w:adjustRightInd w:val="0"/>
        <w:jc w:val="both"/>
        <w:rPr>
          <w:rFonts w:ascii="Arial" w:eastAsia="Cambria" w:hAnsi="Arial" w:cs="Times New Roman"/>
          <w:color w:val="000000"/>
          <w:sz w:val="16"/>
          <w:szCs w:val="16"/>
        </w:rPr>
      </w:pPr>
      <w:r w:rsidRPr="00B247B9">
        <w:rPr>
          <w:noProof/>
          <w:lang w:eastAsia="fr-FR"/>
        </w:rPr>
        <w:drawing>
          <wp:anchor distT="0" distB="0" distL="114300" distR="114300" simplePos="0" relativeHeight="251767808" behindDoc="1" locked="0" layoutInCell="1" allowOverlap="1" wp14:anchorId="7B2A42EB" wp14:editId="1F5636AC">
            <wp:simplePos x="0" y="0"/>
            <wp:positionH relativeFrom="margin">
              <wp:align>center</wp:align>
            </wp:positionH>
            <wp:positionV relativeFrom="paragraph">
              <wp:posOffset>155575</wp:posOffset>
            </wp:positionV>
            <wp:extent cx="6584315" cy="1162050"/>
            <wp:effectExtent l="0" t="0" r="6985" b="0"/>
            <wp:wrapTight wrapText="bothSides">
              <wp:wrapPolygon edited="0">
                <wp:start x="0" y="0"/>
                <wp:lineTo x="0" y="21246"/>
                <wp:lineTo x="21560" y="21246"/>
                <wp:lineTo x="21560" y="0"/>
                <wp:lineTo x="0" y="0"/>
              </wp:wrapPolygon>
            </wp:wrapTight>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8431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Pr="000D3FE9" w:rsidRDefault="00646BCA" w:rsidP="00646BCA">
      <w:pPr>
        <w:widowControl w:val="0"/>
        <w:autoSpaceDE w:val="0"/>
        <w:autoSpaceDN w:val="0"/>
        <w:adjustRightInd w:val="0"/>
        <w:jc w:val="both"/>
        <w:rPr>
          <w:rFonts w:ascii="Florencesans Exp" w:eastAsia="Cambria" w:hAnsi="Florencesans Exp" w:cs="Times New Roman"/>
        </w:rPr>
      </w:pPr>
      <w:r w:rsidRPr="000D3FE9">
        <w:rPr>
          <w:rFonts w:ascii="Florencesans Exp" w:eastAsia="Cambria" w:hAnsi="Florencesans Exp" w:cs="Times New Roman"/>
        </w:rPr>
        <w:t xml:space="preserve">1. </w:t>
      </w:r>
      <w:r>
        <w:rPr>
          <w:rFonts w:ascii="Florencesans Exp" w:eastAsia="Cambria" w:hAnsi="Florencesans Exp" w:cs="Times New Roman"/>
        </w:rPr>
        <w:t>F</w:t>
      </w:r>
      <w:r w:rsidRPr="000D3FE9">
        <w:rPr>
          <w:rFonts w:ascii="Florencesans Exp" w:eastAsia="Cambria" w:hAnsi="Florencesans Exp" w:cs="Times New Roman"/>
        </w:rPr>
        <w:t>. 2. LA MOBILITE INTERNE (DONNEES T2 ET T3)</w:t>
      </w:r>
    </w:p>
    <w:p w:rsidR="00646BCA" w:rsidRPr="00C363EE" w:rsidRDefault="00646BCA" w:rsidP="00646BCA">
      <w:pPr>
        <w:tabs>
          <w:tab w:val="left" w:pos="1220"/>
        </w:tabs>
        <w:rPr>
          <w:rFonts w:ascii="BlairMdITC TT-Medium" w:eastAsia="Cambria" w:hAnsi="BlairMdITC TT-Medium" w:cs="Times New Roman"/>
          <w:b/>
          <w:color w:val="FF0080"/>
          <w:sz w:val="20"/>
        </w:rPr>
      </w:pPr>
    </w:p>
    <w:p w:rsidR="00646BCA" w:rsidRPr="009C43FC" w:rsidRDefault="00646BCA" w:rsidP="00646BCA">
      <w:pPr>
        <w:widowControl w:val="0"/>
        <w:tabs>
          <w:tab w:val="left" w:pos="765"/>
          <w:tab w:val="center" w:pos="4818"/>
          <w:tab w:val="right" w:pos="9637"/>
        </w:tabs>
        <w:autoSpaceDE w:val="0"/>
        <w:autoSpaceDN w:val="0"/>
        <w:adjustRightInd w:val="0"/>
        <w:jc w:val="both"/>
        <w:rPr>
          <w:rFonts w:ascii="Arial" w:eastAsia="Cambria" w:hAnsi="Arial" w:cs="Arial"/>
          <w:sz w:val="22"/>
          <w:szCs w:val="22"/>
        </w:rPr>
      </w:pPr>
      <w:r w:rsidRPr="009C43FC">
        <w:rPr>
          <w:rFonts w:ascii="Arial" w:eastAsia="Cambria" w:hAnsi="Arial" w:cs="Arial"/>
          <w:sz w:val="22"/>
          <w:szCs w:val="22"/>
        </w:rPr>
        <w:t>Un espace Mobilité a été créé en 2009 dans le cadre de la loi relative à la mobilité et aux parcours professionnels dans la fonction publique du 03 août 2009. A l'occasion de la restructuration de l'administration centrale en janvier 2010, l'existence de cette entité a été confirmée avec la création d'un pôle spécifique au sein du département du recrutement, de la mobilité et de la formation qui relève lui-même du service des ressources humaines du secrétariat général du ministère.</w:t>
      </w:r>
    </w:p>
    <w:p w:rsidR="00646BCA" w:rsidRPr="009C43FC" w:rsidRDefault="00646BCA" w:rsidP="00646BCA">
      <w:pPr>
        <w:widowControl w:val="0"/>
        <w:tabs>
          <w:tab w:val="left" w:pos="1205"/>
        </w:tabs>
        <w:autoSpaceDE w:val="0"/>
        <w:autoSpaceDN w:val="0"/>
        <w:adjustRightInd w:val="0"/>
        <w:ind w:right="5"/>
        <w:jc w:val="both"/>
        <w:rPr>
          <w:rFonts w:ascii="Arial" w:eastAsia="Cambria" w:hAnsi="Arial" w:cs="Arial"/>
          <w:sz w:val="22"/>
          <w:szCs w:val="22"/>
        </w:rPr>
      </w:pPr>
    </w:p>
    <w:p w:rsidR="00646BCA" w:rsidRPr="009C43FC" w:rsidRDefault="00646BCA" w:rsidP="00646BCA">
      <w:pPr>
        <w:widowControl w:val="0"/>
        <w:tabs>
          <w:tab w:val="left" w:pos="765"/>
        </w:tabs>
        <w:autoSpaceDE w:val="0"/>
        <w:autoSpaceDN w:val="0"/>
        <w:adjustRightInd w:val="0"/>
        <w:jc w:val="both"/>
        <w:rPr>
          <w:rFonts w:ascii="Arial" w:eastAsia="Cambria" w:hAnsi="Arial" w:cs="Arial"/>
          <w:sz w:val="22"/>
          <w:szCs w:val="22"/>
        </w:rPr>
      </w:pPr>
      <w:r w:rsidRPr="009C43FC">
        <w:rPr>
          <w:rFonts w:ascii="Arial" w:eastAsia="Cambria" w:hAnsi="Arial" w:cs="Arial"/>
          <w:sz w:val="22"/>
          <w:szCs w:val="22"/>
        </w:rPr>
        <w:t xml:space="preserve">Constitué de 5 agents, 4 conseillers mobilité dont le responsable du pôle et un agent chargé des emplois et des compétences, le pôle Mobilité et valorisation des compétences reçoit des agents titulaires de tous corps et des agents non titulaires (CDD ou CDI), provenant de toutes les entités du ministère (administration centrale, </w:t>
      </w:r>
      <w:r w:rsidRPr="009C43FC">
        <w:rPr>
          <w:rFonts w:ascii="Arial" w:eastAsia="Cambria" w:hAnsi="Arial" w:cs="Arial"/>
          <w:color w:val="000000"/>
          <w:sz w:val="22"/>
          <w:szCs w:val="22"/>
        </w:rPr>
        <w:t xml:space="preserve">directions régionales des affaires culturelles (DRAC), SCN ou établissements publics) relevant du titre 2 et parfois du titre 3 du budget du ministère. Il </w:t>
      </w:r>
      <w:r w:rsidRPr="009C43FC">
        <w:rPr>
          <w:rFonts w:ascii="Arial" w:eastAsia="Cambria" w:hAnsi="Arial" w:cs="Arial"/>
          <w:sz w:val="22"/>
          <w:szCs w:val="22"/>
        </w:rPr>
        <w:t xml:space="preserve">a pour missions générales et permanentes : </w:t>
      </w:r>
    </w:p>
    <w:p w:rsidR="00646BCA" w:rsidRPr="009C43FC" w:rsidRDefault="00646BCA" w:rsidP="00646BCA">
      <w:pPr>
        <w:widowControl w:val="0"/>
        <w:tabs>
          <w:tab w:val="left" w:pos="765"/>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65"/>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d’offrir une aide à l’exploration par les agents de leur parcours professionnel afin de dégager des pistes d’orientation, de diversification de leur expérience et de leur potentiel ;</w:t>
      </w:r>
    </w:p>
    <w:p w:rsidR="00646BCA" w:rsidRPr="009C43FC" w:rsidRDefault="00646BCA" w:rsidP="00646BCA">
      <w:pPr>
        <w:widowControl w:val="0"/>
        <w:tabs>
          <w:tab w:val="left" w:pos="765"/>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65"/>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d’accompagner les personnels dans l’élaboration d’un projet professionnel cohérent avec leurs compétences acquises d’une part et les priorités et les besoins des services d’autre part ;</w:t>
      </w:r>
    </w:p>
    <w:p w:rsidR="00646BCA" w:rsidRPr="009C43FC" w:rsidRDefault="00646BCA" w:rsidP="00646BCA">
      <w:pPr>
        <w:widowControl w:val="0"/>
        <w:tabs>
          <w:tab w:val="left" w:pos="765"/>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65"/>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l'accompagnement des personnels dans la concrétisation de leur projet professionnel (proposition de postes adaptés, aide à la réalisation de CV, aide à la préparation ou à la passation des entretiens) ;</w:t>
      </w:r>
    </w:p>
    <w:p w:rsidR="00646BCA" w:rsidRPr="009C43FC" w:rsidRDefault="00646BCA" w:rsidP="00646BCA">
      <w:pPr>
        <w:widowControl w:val="0"/>
        <w:tabs>
          <w:tab w:val="left" w:pos="765"/>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65"/>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d’assurer la prestation d’entretien et de bilan de carrière pour les agents qui le souhaitent et qui remplissent les conditions d’ancienneté requises ;</w:t>
      </w:r>
    </w:p>
    <w:p w:rsidR="00646BCA" w:rsidRPr="009C43FC" w:rsidRDefault="00646BCA" w:rsidP="00646BCA">
      <w:pPr>
        <w:widowControl w:val="0"/>
        <w:tabs>
          <w:tab w:val="left" w:pos="765"/>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65"/>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de contribuer au processus de recrutement (et de son suivi après la prise de fonction) et d’apporter un appui méthodologique aux services recruteurs ;</w:t>
      </w:r>
    </w:p>
    <w:p w:rsidR="00646BCA" w:rsidRPr="009C43FC" w:rsidRDefault="00646BCA" w:rsidP="00646BCA">
      <w:pPr>
        <w:widowControl w:val="0"/>
        <w:tabs>
          <w:tab w:val="left" w:pos="765"/>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65"/>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 xml:space="preserve">de coordonner et conduire le recrutement des personnels bénéficiant de l'obligation d'emploi, ainsi que de suivre leur insertion professionnelle dans les services. </w:t>
      </w:r>
    </w:p>
    <w:p w:rsidR="00646BCA" w:rsidRPr="009C43FC" w:rsidRDefault="00646BCA" w:rsidP="00646BCA">
      <w:pPr>
        <w:widowControl w:val="0"/>
        <w:autoSpaceDE w:val="0"/>
        <w:autoSpaceDN w:val="0"/>
        <w:adjustRightInd w:val="0"/>
        <w:ind w:left="360"/>
        <w:jc w:val="both"/>
        <w:rPr>
          <w:rFonts w:ascii="Arial" w:eastAsia="Cambria" w:hAnsi="Arial" w:cs="Arial"/>
          <w:sz w:val="22"/>
          <w:szCs w:val="22"/>
        </w:rPr>
      </w:pPr>
    </w:p>
    <w:p w:rsidR="00646BCA" w:rsidRPr="00C363EE" w:rsidRDefault="00646BCA" w:rsidP="00646BCA">
      <w:pPr>
        <w:pStyle w:val="western"/>
        <w:jc w:val="both"/>
        <w:rPr>
          <w:rFonts w:eastAsia="Cambria"/>
        </w:rPr>
      </w:pPr>
      <w:r w:rsidRPr="00CB4450">
        <w:rPr>
          <w:rFonts w:eastAsia="Cambria"/>
          <w:sz w:val="22"/>
          <w:szCs w:val="22"/>
        </w:rPr>
        <w:t xml:space="preserve">La montée en charge de l'espace mobilité a suivi le développement de son écho parmi les agents désireux de connaître une mutation ou un changement d’affectation mais s’est faite également en raison de la sollicitation plus grande à l’occasion </w:t>
      </w:r>
      <w:r w:rsidRPr="00CB4450">
        <w:rPr>
          <w:sz w:val="22"/>
          <w:szCs w:val="22"/>
        </w:rPr>
        <w:t>d’événements de réorganisation tels que le transfert à Marseille des activités d</w:t>
      </w:r>
      <w:r>
        <w:rPr>
          <w:sz w:val="22"/>
          <w:szCs w:val="22"/>
        </w:rPr>
        <w:t>u</w:t>
      </w:r>
      <w:r w:rsidRPr="00CB4450">
        <w:rPr>
          <w:sz w:val="22"/>
          <w:szCs w:val="22"/>
        </w:rPr>
        <w:t xml:space="preserve"> Musée des civilisations de l’Europe et de la Méditerranée (MuCEM)</w:t>
      </w:r>
      <w:r w:rsidRPr="00C363EE">
        <w:rPr>
          <w:rFonts w:eastAsia="Cambria"/>
        </w:rPr>
        <w:t>.</w:t>
      </w:r>
    </w:p>
    <w:p w:rsidR="00646BCA" w:rsidRPr="00C363EE" w:rsidRDefault="00646BCA" w:rsidP="00646BCA">
      <w:pPr>
        <w:widowControl w:val="0"/>
        <w:autoSpaceDE w:val="0"/>
        <w:autoSpaceDN w:val="0"/>
        <w:adjustRightInd w:val="0"/>
        <w:jc w:val="both"/>
        <w:rPr>
          <w:rFonts w:ascii="Arial" w:eastAsia="Cambria" w:hAnsi="Arial" w:cs="Arial"/>
        </w:rPr>
      </w:pPr>
    </w:p>
    <w:p w:rsidR="00646BCA" w:rsidRPr="00C363EE" w:rsidRDefault="00646BCA" w:rsidP="00646BCA">
      <w:pPr>
        <w:widowControl w:val="0"/>
        <w:autoSpaceDE w:val="0"/>
        <w:autoSpaceDN w:val="0"/>
        <w:adjustRightInd w:val="0"/>
        <w:jc w:val="both"/>
        <w:rPr>
          <w:rFonts w:ascii="Arial" w:eastAsia="Cambria" w:hAnsi="Arial" w:cs="Arial"/>
        </w:rPr>
      </w:pPr>
      <w:r w:rsidRPr="00C363EE">
        <w:rPr>
          <w:rFonts w:ascii="Arial" w:eastAsia="Cambria" w:hAnsi="Arial" w:cs="Arial"/>
        </w:rPr>
        <w:t>Les conseillers mobilité - carrière sont des spécialistes de l’accompagnement individuel</w:t>
      </w:r>
      <w:r w:rsidRPr="00270164">
        <w:rPr>
          <w:rFonts w:ascii="Arial" w:eastAsia="Cambria" w:hAnsi="Arial" w:cs="Arial"/>
        </w:rPr>
        <w:t>. Ils participent à l’élaboration</w:t>
      </w:r>
      <w:r w:rsidRPr="00C363EE">
        <w:rPr>
          <w:rFonts w:ascii="Arial" w:eastAsia="Cambria" w:hAnsi="Arial" w:cs="Arial"/>
        </w:rPr>
        <w:t xml:space="preserve"> de parcours professionnels et </w:t>
      </w:r>
      <w:r>
        <w:rPr>
          <w:rFonts w:ascii="Arial" w:eastAsia="Cambria" w:hAnsi="Arial" w:cs="Arial"/>
        </w:rPr>
        <w:t>à la</w:t>
      </w:r>
      <w:r w:rsidRPr="00C363EE">
        <w:rPr>
          <w:rFonts w:ascii="Arial" w:eastAsia="Cambria" w:hAnsi="Arial" w:cs="Arial"/>
        </w:rPr>
        <w:t xml:space="preserve"> gestion des.</w:t>
      </w:r>
    </w:p>
    <w:p w:rsidR="00646BCA" w:rsidRDefault="00646BCA" w:rsidP="00646BCA">
      <w:pPr>
        <w:tabs>
          <w:tab w:val="left" w:pos="1220"/>
        </w:tabs>
        <w:rPr>
          <w:rFonts w:ascii="BlairMdITC TT-Medium" w:eastAsia="Cambria" w:hAnsi="BlairMdITC TT-Medium" w:cs="Times New Roman"/>
          <w:b/>
          <w:color w:val="FF0080"/>
          <w:sz w:val="20"/>
        </w:rPr>
      </w:pPr>
    </w:p>
    <w:p w:rsidR="00646BCA" w:rsidRDefault="00646BCA" w:rsidP="00646BCA">
      <w:pPr>
        <w:rPr>
          <w:rFonts w:ascii="BlairMdITC TT-Medium" w:eastAsia="Cambria" w:hAnsi="BlairMdITC TT-Medium" w:cs="Times New Roman"/>
          <w:b/>
          <w:color w:val="FF0080"/>
          <w:sz w:val="20"/>
        </w:rPr>
      </w:pPr>
      <w:r>
        <w:rPr>
          <w:rFonts w:ascii="BlairMdITC TT-Medium" w:eastAsia="Cambria" w:hAnsi="BlairMdITC TT-Medium" w:cs="Times New Roman"/>
          <w:b/>
          <w:color w:val="FF0080"/>
          <w:sz w:val="20"/>
        </w:rPr>
        <w:br w:type="page"/>
      </w:r>
    </w:p>
    <w:p w:rsidR="00646BCA" w:rsidRPr="00C363EE" w:rsidRDefault="00646BCA" w:rsidP="00646BCA">
      <w:pPr>
        <w:tabs>
          <w:tab w:val="left" w:pos="1220"/>
        </w:tabs>
        <w:rPr>
          <w:rFonts w:ascii="BlairMdITC TT-Medium" w:eastAsia="Cambria" w:hAnsi="BlairMdITC TT-Medium" w:cs="Times New Roman"/>
          <w:b/>
          <w:color w:val="FF0080"/>
          <w:sz w:val="20"/>
        </w:rPr>
      </w:pPr>
    </w:p>
    <w:p w:rsidR="00646BCA" w:rsidRPr="00C363EE" w:rsidRDefault="00646BCA" w:rsidP="00646BCA">
      <w:pPr>
        <w:tabs>
          <w:tab w:val="left" w:pos="1220"/>
        </w:tabs>
        <w:rPr>
          <w:rFonts w:ascii="Arial" w:eastAsia="Cambria" w:hAnsi="Arial" w:cs="Times New Roman"/>
          <w:b/>
        </w:rPr>
      </w:pPr>
      <w:r w:rsidRPr="00C363EE">
        <w:rPr>
          <w:rFonts w:ascii="Arial" w:eastAsia="Cambria" w:hAnsi="Arial" w:cs="Times New Roman"/>
          <w:b/>
        </w:rPr>
        <w:t>Activité générale</w:t>
      </w:r>
    </w:p>
    <w:tbl>
      <w:tblPr>
        <w:tblW w:w="8909" w:type="dxa"/>
        <w:tblCellMar>
          <w:left w:w="70" w:type="dxa"/>
          <w:right w:w="70" w:type="dxa"/>
        </w:tblCellMar>
        <w:tblLook w:val="0000" w:firstRow="0" w:lastRow="0" w:firstColumn="0" w:lastColumn="0" w:noHBand="0" w:noVBand="0"/>
      </w:tblPr>
      <w:tblGrid>
        <w:gridCol w:w="4633"/>
        <w:gridCol w:w="1069"/>
        <w:gridCol w:w="1069"/>
        <w:gridCol w:w="1069"/>
        <w:gridCol w:w="1069"/>
      </w:tblGrid>
      <w:tr w:rsidR="00646BCA" w:rsidRPr="00C363EE" w:rsidTr="00D1704E">
        <w:trPr>
          <w:trHeight w:val="237"/>
        </w:trPr>
        <w:tc>
          <w:tcPr>
            <w:tcW w:w="4633" w:type="dxa"/>
            <w:tcBorders>
              <w:top w:val="nil"/>
              <w:left w:val="nil"/>
              <w:bottom w:val="nil"/>
              <w:right w:val="nil"/>
            </w:tcBorders>
            <w:shd w:val="clear" w:color="auto" w:fill="auto"/>
            <w:noWrap/>
            <w:vAlign w:val="bottom"/>
          </w:tcPr>
          <w:p w:rsidR="00646BCA" w:rsidRPr="00C363EE" w:rsidRDefault="00646BCA" w:rsidP="00D1704E">
            <w:pPr>
              <w:jc w:val="center"/>
              <w:rPr>
                <w:rFonts w:ascii="Verdana" w:eastAsia="Cambria" w:hAnsi="Verdana" w:cs="Times New Roman"/>
                <w:b/>
                <w:sz w:val="20"/>
                <w:szCs w:val="20"/>
                <w:lang w:eastAsia="fr-FR"/>
              </w:rPr>
            </w:pPr>
          </w:p>
        </w:tc>
        <w:tc>
          <w:tcPr>
            <w:tcW w:w="1069" w:type="dxa"/>
            <w:tcBorders>
              <w:top w:val="single" w:sz="4" w:space="0" w:color="808080"/>
              <w:left w:val="single" w:sz="4" w:space="0" w:color="808080"/>
              <w:bottom w:val="single" w:sz="4" w:space="0" w:color="808080"/>
              <w:right w:val="single" w:sz="4" w:space="0" w:color="808080"/>
            </w:tcBorders>
            <w:shd w:val="clear" w:color="auto" w:fill="E917DF"/>
            <w:noWrap/>
            <w:vAlign w:val="center"/>
          </w:tcPr>
          <w:p w:rsidR="00646BCA" w:rsidRPr="005908FF" w:rsidRDefault="00646BCA" w:rsidP="00D1704E">
            <w:pPr>
              <w:jc w:val="center"/>
              <w:rPr>
                <w:rFonts w:ascii="Arial" w:eastAsia="Cambria" w:hAnsi="Arial" w:cs="Arial"/>
                <w:b/>
                <w:bCs/>
                <w:color w:val="FFFFFF"/>
                <w:sz w:val="20"/>
                <w:szCs w:val="20"/>
                <w:lang w:eastAsia="fr-FR"/>
              </w:rPr>
            </w:pPr>
            <w:r w:rsidRPr="005908FF">
              <w:rPr>
                <w:rFonts w:ascii="Arial" w:eastAsia="Cambria" w:hAnsi="Arial" w:cs="Arial"/>
                <w:b/>
                <w:bCs/>
                <w:color w:val="FFFFFF"/>
                <w:sz w:val="20"/>
                <w:szCs w:val="20"/>
                <w:lang w:eastAsia="fr-FR"/>
              </w:rPr>
              <w:t>2010</w:t>
            </w:r>
          </w:p>
        </w:tc>
        <w:tc>
          <w:tcPr>
            <w:tcW w:w="1069" w:type="dxa"/>
            <w:tcBorders>
              <w:top w:val="single" w:sz="4" w:space="0" w:color="808080"/>
              <w:left w:val="single" w:sz="4" w:space="0" w:color="808080"/>
              <w:bottom w:val="single" w:sz="4" w:space="0" w:color="808080"/>
              <w:right w:val="single" w:sz="4" w:space="0" w:color="808080"/>
            </w:tcBorders>
            <w:shd w:val="clear" w:color="auto" w:fill="E917DF"/>
            <w:noWrap/>
            <w:vAlign w:val="center"/>
          </w:tcPr>
          <w:p w:rsidR="00646BCA" w:rsidRPr="005908FF" w:rsidRDefault="00646BCA" w:rsidP="00D1704E">
            <w:pPr>
              <w:jc w:val="center"/>
              <w:rPr>
                <w:rFonts w:ascii="Arial" w:eastAsia="Cambria" w:hAnsi="Arial" w:cs="Arial"/>
                <w:b/>
                <w:bCs/>
                <w:color w:val="FFFFFF"/>
                <w:sz w:val="20"/>
                <w:szCs w:val="20"/>
                <w:lang w:eastAsia="fr-FR"/>
              </w:rPr>
            </w:pPr>
            <w:r w:rsidRPr="005908FF">
              <w:rPr>
                <w:rFonts w:ascii="Arial" w:eastAsia="Cambria" w:hAnsi="Arial" w:cs="Arial"/>
                <w:b/>
                <w:bCs/>
                <w:color w:val="FFFFFF"/>
                <w:sz w:val="20"/>
                <w:szCs w:val="20"/>
                <w:lang w:eastAsia="fr-FR"/>
              </w:rPr>
              <w:t>2011</w:t>
            </w:r>
          </w:p>
        </w:tc>
        <w:tc>
          <w:tcPr>
            <w:tcW w:w="1069" w:type="dxa"/>
            <w:tcBorders>
              <w:top w:val="single" w:sz="4" w:space="0" w:color="808080"/>
              <w:left w:val="single" w:sz="4" w:space="0" w:color="808080"/>
              <w:bottom w:val="single" w:sz="4" w:space="0" w:color="808080"/>
              <w:right w:val="single" w:sz="4" w:space="0" w:color="808080"/>
            </w:tcBorders>
            <w:shd w:val="clear" w:color="auto" w:fill="E917DF"/>
            <w:noWrap/>
            <w:vAlign w:val="center"/>
          </w:tcPr>
          <w:p w:rsidR="00646BCA" w:rsidRPr="005908FF" w:rsidRDefault="00646BCA" w:rsidP="00D1704E">
            <w:pPr>
              <w:jc w:val="center"/>
              <w:rPr>
                <w:rFonts w:ascii="Arial" w:eastAsia="Cambria" w:hAnsi="Arial" w:cs="Arial"/>
                <w:b/>
                <w:bCs/>
                <w:color w:val="FFFFFF"/>
                <w:sz w:val="20"/>
                <w:szCs w:val="20"/>
                <w:lang w:eastAsia="fr-FR"/>
              </w:rPr>
            </w:pPr>
            <w:r w:rsidRPr="005908FF">
              <w:rPr>
                <w:rFonts w:ascii="Arial" w:eastAsia="Cambria" w:hAnsi="Arial" w:cs="Arial"/>
                <w:b/>
                <w:bCs/>
                <w:color w:val="FFFFFF"/>
                <w:sz w:val="20"/>
                <w:szCs w:val="20"/>
                <w:lang w:eastAsia="fr-FR"/>
              </w:rPr>
              <w:t>2012</w:t>
            </w:r>
          </w:p>
        </w:tc>
        <w:tc>
          <w:tcPr>
            <w:tcW w:w="1069" w:type="dxa"/>
            <w:tcBorders>
              <w:top w:val="single" w:sz="4" w:space="0" w:color="808080"/>
              <w:left w:val="single" w:sz="4" w:space="0" w:color="808080"/>
              <w:bottom w:val="single" w:sz="4" w:space="0" w:color="808080"/>
              <w:right w:val="single" w:sz="4" w:space="0" w:color="808080"/>
            </w:tcBorders>
            <w:shd w:val="clear" w:color="auto" w:fill="E917DF"/>
            <w:vAlign w:val="center"/>
          </w:tcPr>
          <w:p w:rsidR="00646BCA" w:rsidRPr="005908FF" w:rsidRDefault="00646BCA" w:rsidP="00D1704E">
            <w:pPr>
              <w:jc w:val="center"/>
              <w:rPr>
                <w:rFonts w:ascii="Arial" w:eastAsia="Cambria" w:hAnsi="Arial" w:cs="Arial"/>
                <w:b/>
                <w:bCs/>
                <w:color w:val="FFFFFF"/>
                <w:sz w:val="20"/>
                <w:szCs w:val="20"/>
                <w:lang w:eastAsia="fr-FR"/>
              </w:rPr>
            </w:pPr>
            <w:r w:rsidRPr="005908FF">
              <w:rPr>
                <w:rFonts w:ascii="Arial" w:eastAsia="Cambria" w:hAnsi="Arial" w:cs="Arial"/>
                <w:b/>
                <w:bCs/>
                <w:color w:val="FFFFFF"/>
                <w:sz w:val="20"/>
                <w:szCs w:val="20"/>
                <w:lang w:eastAsia="fr-FR"/>
              </w:rPr>
              <w:t>2013</w:t>
            </w:r>
          </w:p>
        </w:tc>
      </w:tr>
      <w:tr w:rsidR="00646BCA" w:rsidRPr="00C363EE" w:rsidTr="00D1704E">
        <w:trPr>
          <w:trHeight w:val="386"/>
        </w:trPr>
        <w:tc>
          <w:tcPr>
            <w:tcW w:w="4633" w:type="dxa"/>
            <w:tcBorders>
              <w:top w:val="single" w:sz="4" w:space="0" w:color="808080"/>
              <w:left w:val="single" w:sz="4" w:space="0" w:color="808080"/>
              <w:bottom w:val="single" w:sz="4" w:space="0" w:color="808080"/>
              <w:right w:val="nil"/>
            </w:tcBorders>
            <w:shd w:val="clear" w:color="auto" w:fill="A6A6A6" w:themeFill="background1" w:themeFillShade="A6"/>
            <w:vAlign w:val="center"/>
          </w:tcPr>
          <w:p w:rsidR="00646BCA" w:rsidRPr="00C85D52" w:rsidRDefault="00646BCA" w:rsidP="00D1704E">
            <w:pPr>
              <w:rPr>
                <w:rFonts w:ascii="Arial" w:eastAsia="Cambria" w:hAnsi="Arial" w:cs="Arial"/>
                <w:color w:val="FFFFFF" w:themeColor="background1"/>
                <w:sz w:val="20"/>
                <w:szCs w:val="20"/>
                <w:lang w:eastAsia="fr-FR"/>
              </w:rPr>
            </w:pPr>
            <w:r w:rsidRPr="00C85D52">
              <w:rPr>
                <w:rFonts w:ascii="Arial" w:eastAsia="Cambria" w:hAnsi="Arial" w:cs="Arial"/>
                <w:color w:val="FFFFFF" w:themeColor="background1"/>
                <w:sz w:val="20"/>
                <w:szCs w:val="20"/>
                <w:lang w:eastAsia="fr-FR"/>
              </w:rPr>
              <w:t>Nombre d'agents bénéficiant de l'action de l'équipe mobilité</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346</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531</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621</w:t>
            </w:r>
          </w:p>
        </w:tc>
        <w:tc>
          <w:tcPr>
            <w:tcW w:w="1069" w:type="dxa"/>
            <w:tcBorders>
              <w:top w:val="single" w:sz="4" w:space="0" w:color="808080"/>
              <w:left w:val="single" w:sz="4" w:space="0" w:color="808080"/>
              <w:bottom w:val="single" w:sz="4" w:space="0" w:color="808080"/>
              <w:right w:val="single" w:sz="4" w:space="0" w:color="808080"/>
            </w:tcBorders>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765</w:t>
            </w:r>
          </w:p>
        </w:tc>
      </w:tr>
      <w:tr w:rsidR="00646BCA" w:rsidRPr="00C363EE" w:rsidTr="00D1704E">
        <w:trPr>
          <w:trHeight w:val="400"/>
        </w:trPr>
        <w:tc>
          <w:tcPr>
            <w:tcW w:w="4633" w:type="dxa"/>
            <w:tcBorders>
              <w:top w:val="single" w:sz="4" w:space="0" w:color="808080"/>
              <w:left w:val="single" w:sz="4" w:space="0" w:color="808080"/>
              <w:bottom w:val="single" w:sz="4" w:space="0" w:color="808080"/>
              <w:right w:val="nil"/>
            </w:tcBorders>
            <w:shd w:val="clear" w:color="auto" w:fill="A6A6A6" w:themeFill="background1" w:themeFillShade="A6"/>
            <w:vAlign w:val="center"/>
          </w:tcPr>
          <w:p w:rsidR="00646BCA" w:rsidRPr="00C85D52" w:rsidRDefault="00646BCA" w:rsidP="00D1704E">
            <w:pPr>
              <w:rPr>
                <w:rFonts w:ascii="Arial" w:eastAsia="Cambria" w:hAnsi="Arial" w:cs="Arial"/>
                <w:color w:val="FFFFFF" w:themeColor="background1"/>
                <w:sz w:val="20"/>
                <w:szCs w:val="20"/>
                <w:lang w:eastAsia="fr-FR"/>
              </w:rPr>
            </w:pPr>
            <w:r w:rsidRPr="00C85D52">
              <w:rPr>
                <w:rFonts w:ascii="Arial" w:eastAsia="Cambria" w:hAnsi="Arial" w:cs="Arial"/>
                <w:color w:val="FFFFFF" w:themeColor="background1"/>
                <w:sz w:val="20"/>
                <w:szCs w:val="20"/>
                <w:lang w:eastAsia="fr-FR"/>
              </w:rPr>
              <w:t>Nombre d'entretiens réalisés</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578</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597</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527</w:t>
            </w:r>
          </w:p>
        </w:tc>
        <w:tc>
          <w:tcPr>
            <w:tcW w:w="1069" w:type="dxa"/>
            <w:tcBorders>
              <w:top w:val="single" w:sz="4" w:space="0" w:color="808080"/>
              <w:left w:val="single" w:sz="4" w:space="0" w:color="808080"/>
              <w:bottom w:val="single" w:sz="4" w:space="0" w:color="808080"/>
              <w:right w:val="single" w:sz="4" w:space="0" w:color="808080"/>
            </w:tcBorders>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686</w:t>
            </w:r>
          </w:p>
        </w:tc>
      </w:tr>
      <w:tr w:rsidR="00646BCA" w:rsidRPr="00C363EE" w:rsidTr="00D1704E">
        <w:trPr>
          <w:trHeight w:val="386"/>
        </w:trPr>
        <w:tc>
          <w:tcPr>
            <w:tcW w:w="4633" w:type="dxa"/>
            <w:tcBorders>
              <w:top w:val="single" w:sz="4" w:space="0" w:color="808080"/>
              <w:left w:val="single" w:sz="4" w:space="0" w:color="808080"/>
              <w:bottom w:val="single" w:sz="4" w:space="0" w:color="808080"/>
              <w:right w:val="nil"/>
            </w:tcBorders>
            <w:shd w:val="clear" w:color="auto" w:fill="A6A6A6" w:themeFill="background1" w:themeFillShade="A6"/>
            <w:vAlign w:val="center"/>
          </w:tcPr>
          <w:p w:rsidR="00646BCA" w:rsidRPr="00C85D52" w:rsidRDefault="00646BCA" w:rsidP="00D1704E">
            <w:pPr>
              <w:rPr>
                <w:rFonts w:ascii="Arial" w:eastAsia="Cambria" w:hAnsi="Arial" w:cs="Arial"/>
                <w:color w:val="FFFFFF" w:themeColor="background1"/>
                <w:sz w:val="20"/>
                <w:szCs w:val="20"/>
                <w:lang w:eastAsia="fr-FR"/>
              </w:rPr>
            </w:pPr>
            <w:r w:rsidRPr="00C85D52">
              <w:rPr>
                <w:rFonts w:ascii="Arial" w:eastAsia="Cambria" w:hAnsi="Arial" w:cs="Arial"/>
                <w:color w:val="FFFFFF" w:themeColor="background1"/>
                <w:sz w:val="20"/>
                <w:szCs w:val="20"/>
                <w:lang w:eastAsia="fr-FR"/>
              </w:rPr>
              <w:t>Nombre d'avis de vacances publiés sur la BIEP</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1988</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1876</w:t>
            </w:r>
          </w:p>
        </w:tc>
        <w:tc>
          <w:tcPr>
            <w:tcW w:w="106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2850</w:t>
            </w:r>
          </w:p>
        </w:tc>
        <w:tc>
          <w:tcPr>
            <w:tcW w:w="1069" w:type="dxa"/>
            <w:tcBorders>
              <w:top w:val="single" w:sz="4" w:space="0" w:color="808080"/>
              <w:left w:val="single" w:sz="4" w:space="0" w:color="808080"/>
              <w:bottom w:val="single" w:sz="4" w:space="0" w:color="808080"/>
              <w:right w:val="single" w:sz="4" w:space="0" w:color="808080"/>
            </w:tcBorders>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2497</w:t>
            </w:r>
          </w:p>
        </w:tc>
      </w:tr>
    </w:tbl>
    <w:p w:rsidR="00646BCA" w:rsidRDefault="00646BCA" w:rsidP="00646BCA">
      <w:pPr>
        <w:tabs>
          <w:tab w:val="left" w:pos="1220"/>
        </w:tabs>
        <w:rPr>
          <w:rFonts w:ascii="Arial" w:eastAsia="Cambria" w:hAnsi="Arial" w:cs="Times New Roman"/>
          <w:b/>
        </w:rPr>
      </w:pPr>
    </w:p>
    <w:p w:rsidR="00646BCA" w:rsidRPr="00C363EE" w:rsidRDefault="00646BCA" w:rsidP="00646BCA">
      <w:pPr>
        <w:tabs>
          <w:tab w:val="left" w:pos="1220"/>
        </w:tabs>
        <w:rPr>
          <w:rFonts w:ascii="Arial" w:eastAsia="Cambria" w:hAnsi="Arial" w:cs="Times New Roman"/>
          <w:b/>
          <w:sz w:val="28"/>
        </w:rPr>
      </w:pPr>
      <w:r w:rsidRPr="00C363EE">
        <w:rPr>
          <w:rFonts w:ascii="Arial" w:eastAsia="Cambria" w:hAnsi="Arial" w:cs="Times New Roman"/>
          <w:b/>
        </w:rPr>
        <w:t>Le recrutement et les affectations</w:t>
      </w:r>
    </w:p>
    <w:tbl>
      <w:tblPr>
        <w:tblW w:w="8928" w:type="dxa"/>
        <w:tblCellMar>
          <w:left w:w="70" w:type="dxa"/>
          <w:right w:w="70" w:type="dxa"/>
        </w:tblCellMar>
        <w:tblLook w:val="0000" w:firstRow="0" w:lastRow="0" w:firstColumn="0" w:lastColumn="0" w:noHBand="0" w:noVBand="0"/>
      </w:tblPr>
      <w:tblGrid>
        <w:gridCol w:w="5780"/>
        <w:gridCol w:w="787"/>
        <w:gridCol w:w="787"/>
        <w:gridCol w:w="787"/>
        <w:gridCol w:w="787"/>
      </w:tblGrid>
      <w:tr w:rsidR="00646BCA" w:rsidRPr="00C363EE" w:rsidTr="00D1704E">
        <w:trPr>
          <w:trHeight w:val="271"/>
        </w:trPr>
        <w:tc>
          <w:tcPr>
            <w:tcW w:w="5780" w:type="dxa"/>
            <w:tcBorders>
              <w:top w:val="nil"/>
              <w:left w:val="nil"/>
              <w:bottom w:val="nil"/>
              <w:right w:val="nil"/>
            </w:tcBorders>
            <w:shd w:val="clear" w:color="auto" w:fill="auto"/>
            <w:noWrap/>
            <w:vAlign w:val="bottom"/>
          </w:tcPr>
          <w:p w:rsidR="00646BCA" w:rsidRPr="00C363EE" w:rsidRDefault="00646BCA" w:rsidP="00D1704E">
            <w:pPr>
              <w:jc w:val="center"/>
              <w:rPr>
                <w:rFonts w:ascii="Verdana" w:eastAsia="Cambria" w:hAnsi="Verdana" w:cs="Times New Roman"/>
                <w:b/>
                <w:sz w:val="20"/>
                <w:szCs w:val="20"/>
                <w:lang w:eastAsia="fr-FR"/>
              </w:rPr>
            </w:pPr>
          </w:p>
        </w:tc>
        <w:tc>
          <w:tcPr>
            <w:tcW w:w="787" w:type="dxa"/>
            <w:tcBorders>
              <w:top w:val="single" w:sz="4" w:space="0" w:color="808080"/>
              <w:left w:val="single" w:sz="4" w:space="0" w:color="808080"/>
              <w:bottom w:val="nil"/>
              <w:right w:val="single" w:sz="4" w:space="0" w:color="808080"/>
            </w:tcBorders>
            <w:shd w:val="clear" w:color="auto" w:fill="E917DF"/>
            <w:noWrap/>
            <w:vAlign w:val="center"/>
          </w:tcPr>
          <w:p w:rsidR="00646BCA" w:rsidRPr="005908FF" w:rsidRDefault="00646BCA" w:rsidP="00D1704E">
            <w:pPr>
              <w:jc w:val="center"/>
              <w:rPr>
                <w:rFonts w:ascii="Arial" w:eastAsia="Cambria" w:hAnsi="Arial" w:cs="Arial"/>
                <w:b/>
                <w:bCs/>
                <w:color w:val="FFFFFF"/>
                <w:sz w:val="20"/>
                <w:szCs w:val="20"/>
                <w:lang w:eastAsia="fr-FR"/>
              </w:rPr>
            </w:pPr>
            <w:r w:rsidRPr="005908FF">
              <w:rPr>
                <w:rFonts w:ascii="Arial" w:eastAsia="Cambria" w:hAnsi="Arial" w:cs="Arial"/>
                <w:b/>
                <w:bCs/>
                <w:color w:val="FFFFFF"/>
                <w:sz w:val="20"/>
                <w:szCs w:val="20"/>
                <w:lang w:eastAsia="fr-FR"/>
              </w:rPr>
              <w:t>2010</w:t>
            </w:r>
          </w:p>
        </w:tc>
        <w:tc>
          <w:tcPr>
            <w:tcW w:w="787" w:type="dxa"/>
            <w:tcBorders>
              <w:top w:val="single" w:sz="4" w:space="0" w:color="808080"/>
              <w:left w:val="single" w:sz="4" w:space="0" w:color="808080"/>
              <w:bottom w:val="nil"/>
              <w:right w:val="single" w:sz="4" w:space="0" w:color="808080"/>
            </w:tcBorders>
            <w:shd w:val="clear" w:color="auto" w:fill="E917DF"/>
            <w:noWrap/>
            <w:vAlign w:val="center"/>
          </w:tcPr>
          <w:p w:rsidR="00646BCA" w:rsidRPr="005908FF" w:rsidRDefault="00646BCA" w:rsidP="00D1704E">
            <w:pPr>
              <w:jc w:val="center"/>
              <w:rPr>
                <w:rFonts w:ascii="Arial" w:eastAsia="Cambria" w:hAnsi="Arial" w:cs="Arial"/>
                <w:b/>
                <w:bCs/>
                <w:color w:val="FFFFFF"/>
                <w:sz w:val="20"/>
                <w:szCs w:val="20"/>
                <w:lang w:eastAsia="fr-FR"/>
              </w:rPr>
            </w:pPr>
            <w:r w:rsidRPr="005908FF">
              <w:rPr>
                <w:rFonts w:ascii="Arial" w:eastAsia="Cambria" w:hAnsi="Arial" w:cs="Arial"/>
                <w:b/>
                <w:bCs/>
                <w:color w:val="FFFFFF"/>
                <w:sz w:val="20"/>
                <w:szCs w:val="20"/>
                <w:lang w:eastAsia="fr-FR"/>
              </w:rPr>
              <w:t>2011</w:t>
            </w:r>
          </w:p>
        </w:tc>
        <w:tc>
          <w:tcPr>
            <w:tcW w:w="787" w:type="dxa"/>
            <w:tcBorders>
              <w:top w:val="single" w:sz="4" w:space="0" w:color="808080"/>
              <w:left w:val="single" w:sz="4" w:space="0" w:color="808080"/>
              <w:bottom w:val="nil"/>
              <w:right w:val="single" w:sz="4" w:space="0" w:color="808080"/>
            </w:tcBorders>
            <w:shd w:val="clear" w:color="auto" w:fill="E917DF"/>
            <w:noWrap/>
            <w:vAlign w:val="center"/>
          </w:tcPr>
          <w:p w:rsidR="00646BCA" w:rsidRPr="005908FF" w:rsidRDefault="00646BCA" w:rsidP="00D1704E">
            <w:pPr>
              <w:jc w:val="center"/>
              <w:rPr>
                <w:rFonts w:ascii="Arial" w:eastAsia="Cambria" w:hAnsi="Arial" w:cs="Arial"/>
                <w:b/>
                <w:bCs/>
                <w:color w:val="FFFFFF"/>
                <w:sz w:val="20"/>
                <w:szCs w:val="20"/>
                <w:lang w:eastAsia="fr-FR"/>
              </w:rPr>
            </w:pPr>
            <w:r w:rsidRPr="005908FF">
              <w:rPr>
                <w:rFonts w:ascii="Arial" w:eastAsia="Cambria" w:hAnsi="Arial" w:cs="Arial"/>
                <w:b/>
                <w:bCs/>
                <w:color w:val="FFFFFF"/>
                <w:sz w:val="20"/>
                <w:szCs w:val="20"/>
                <w:lang w:eastAsia="fr-FR"/>
              </w:rPr>
              <w:t>2012</w:t>
            </w:r>
          </w:p>
        </w:tc>
        <w:tc>
          <w:tcPr>
            <w:tcW w:w="787" w:type="dxa"/>
            <w:tcBorders>
              <w:top w:val="single" w:sz="4" w:space="0" w:color="808080"/>
              <w:left w:val="single" w:sz="4" w:space="0" w:color="808080"/>
              <w:bottom w:val="nil"/>
              <w:right w:val="single" w:sz="4" w:space="0" w:color="808080"/>
            </w:tcBorders>
            <w:shd w:val="clear" w:color="auto" w:fill="E917DF"/>
          </w:tcPr>
          <w:p w:rsidR="00646BCA" w:rsidRPr="005908FF" w:rsidRDefault="00646BCA" w:rsidP="00D1704E">
            <w:pPr>
              <w:jc w:val="center"/>
              <w:rPr>
                <w:rFonts w:ascii="Arial" w:eastAsia="Cambria" w:hAnsi="Arial" w:cs="Arial"/>
                <w:b/>
                <w:bCs/>
                <w:color w:val="FFFFFF"/>
                <w:sz w:val="20"/>
                <w:szCs w:val="20"/>
                <w:lang w:eastAsia="fr-FR"/>
              </w:rPr>
            </w:pPr>
            <w:r w:rsidRPr="005908FF">
              <w:rPr>
                <w:rFonts w:ascii="Arial" w:eastAsia="Cambria" w:hAnsi="Arial" w:cs="Arial"/>
                <w:b/>
                <w:bCs/>
                <w:color w:val="FFFFFF"/>
                <w:sz w:val="20"/>
                <w:szCs w:val="20"/>
                <w:lang w:eastAsia="fr-FR"/>
              </w:rPr>
              <w:t>2013</w:t>
            </w:r>
          </w:p>
        </w:tc>
      </w:tr>
      <w:tr w:rsidR="00646BCA" w:rsidRPr="00C363EE" w:rsidTr="00D1704E">
        <w:trPr>
          <w:trHeight w:val="271"/>
        </w:trPr>
        <w:tc>
          <w:tcPr>
            <w:tcW w:w="5780" w:type="dxa"/>
            <w:tcBorders>
              <w:top w:val="single" w:sz="4" w:space="0" w:color="808080"/>
              <w:left w:val="single" w:sz="4" w:space="0" w:color="808080"/>
              <w:bottom w:val="single" w:sz="4" w:space="0" w:color="808080"/>
              <w:right w:val="single" w:sz="4" w:space="0" w:color="808080"/>
            </w:tcBorders>
            <w:shd w:val="clear" w:color="auto" w:fill="A6A6A6" w:themeFill="background1" w:themeFillShade="A6"/>
            <w:noWrap/>
            <w:vAlign w:val="bottom"/>
          </w:tcPr>
          <w:p w:rsidR="00646BCA" w:rsidRPr="00C85D52" w:rsidRDefault="00646BCA" w:rsidP="00D1704E">
            <w:pPr>
              <w:rPr>
                <w:rFonts w:ascii="Arial" w:eastAsia="Cambria" w:hAnsi="Arial" w:cs="Arial"/>
                <w:color w:val="FFFFFF" w:themeColor="background1"/>
                <w:sz w:val="20"/>
                <w:szCs w:val="20"/>
                <w:lang w:eastAsia="fr-FR"/>
              </w:rPr>
            </w:pPr>
            <w:r w:rsidRPr="00C85D52">
              <w:rPr>
                <w:rFonts w:ascii="Arial" w:eastAsia="Cambria" w:hAnsi="Arial" w:cs="Arial"/>
                <w:color w:val="FFFFFF" w:themeColor="background1"/>
                <w:sz w:val="20"/>
                <w:szCs w:val="20"/>
                <w:lang w:eastAsia="fr-FR"/>
              </w:rPr>
              <w:t>Recrutement CDAPH (art. 27)</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23</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26</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30</w:t>
            </w:r>
          </w:p>
        </w:tc>
        <w:tc>
          <w:tcPr>
            <w:tcW w:w="787" w:type="dxa"/>
            <w:tcBorders>
              <w:top w:val="single" w:sz="4" w:space="0" w:color="808080"/>
              <w:left w:val="single" w:sz="4" w:space="0" w:color="808080"/>
              <w:bottom w:val="single" w:sz="4" w:space="0" w:color="808080"/>
              <w:right w:val="single" w:sz="4" w:space="0" w:color="808080"/>
            </w:tcBorders>
            <w:shd w:val="clear" w:color="auto" w:fill="auto"/>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33</w:t>
            </w:r>
          </w:p>
        </w:tc>
      </w:tr>
      <w:tr w:rsidR="00646BCA" w:rsidRPr="00C363EE" w:rsidTr="00D1704E">
        <w:trPr>
          <w:trHeight w:val="321"/>
        </w:trPr>
        <w:tc>
          <w:tcPr>
            <w:tcW w:w="5780" w:type="dxa"/>
            <w:tcBorders>
              <w:top w:val="single" w:sz="4" w:space="0" w:color="808080"/>
              <w:left w:val="single" w:sz="4" w:space="0" w:color="808080"/>
              <w:bottom w:val="single" w:sz="4" w:space="0" w:color="808080"/>
              <w:right w:val="single" w:sz="4" w:space="0" w:color="808080"/>
            </w:tcBorders>
            <w:shd w:val="clear" w:color="auto" w:fill="A6A6A6" w:themeFill="background1" w:themeFillShade="A6"/>
            <w:vAlign w:val="bottom"/>
          </w:tcPr>
          <w:p w:rsidR="00646BCA" w:rsidRPr="00C85D52" w:rsidRDefault="00646BCA" w:rsidP="00D1704E">
            <w:pPr>
              <w:rPr>
                <w:rFonts w:ascii="Arial" w:eastAsia="Cambria" w:hAnsi="Arial" w:cs="Arial"/>
                <w:color w:val="FFFFFF" w:themeColor="background1"/>
                <w:sz w:val="20"/>
                <w:szCs w:val="20"/>
                <w:lang w:eastAsia="fr-FR"/>
              </w:rPr>
            </w:pPr>
            <w:r w:rsidRPr="00C85D52">
              <w:rPr>
                <w:rFonts w:ascii="Arial" w:eastAsia="Cambria" w:hAnsi="Arial" w:cs="Arial"/>
                <w:color w:val="FFFFFF" w:themeColor="background1"/>
                <w:sz w:val="20"/>
                <w:szCs w:val="20"/>
                <w:lang w:eastAsia="fr-FR"/>
              </w:rPr>
              <w:t>Recrutement emplois réservés (Code de la Défense)</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bottom"/>
          </w:tcPr>
          <w:p w:rsidR="00646BCA" w:rsidRPr="005908FF" w:rsidRDefault="00646BCA" w:rsidP="00D1704E">
            <w:pPr>
              <w:rPr>
                <w:rFonts w:ascii="Arial" w:eastAsia="Cambria" w:hAnsi="Arial" w:cs="Arial"/>
                <w:sz w:val="20"/>
                <w:szCs w:val="20"/>
                <w:lang w:eastAsia="fr-FR"/>
              </w:rPr>
            </w:pPr>
            <w:r w:rsidRPr="005908FF">
              <w:rPr>
                <w:rFonts w:ascii="Arial" w:eastAsia="Cambria" w:hAnsi="Arial" w:cs="Arial"/>
                <w:sz w:val="20"/>
                <w:szCs w:val="20"/>
                <w:lang w:eastAsia="fr-FR"/>
              </w:rPr>
              <w:t> </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bottom"/>
          </w:tcPr>
          <w:p w:rsidR="00646BCA" w:rsidRPr="005908FF" w:rsidRDefault="00646BCA" w:rsidP="00D1704E">
            <w:pPr>
              <w:rPr>
                <w:rFonts w:ascii="Arial" w:eastAsia="Cambria" w:hAnsi="Arial" w:cs="Arial"/>
                <w:sz w:val="20"/>
                <w:szCs w:val="20"/>
                <w:lang w:eastAsia="fr-FR"/>
              </w:rPr>
            </w:pPr>
            <w:r w:rsidRPr="005908FF">
              <w:rPr>
                <w:rFonts w:ascii="Arial" w:eastAsia="Cambria" w:hAnsi="Arial" w:cs="Arial"/>
                <w:sz w:val="20"/>
                <w:szCs w:val="20"/>
                <w:lang w:eastAsia="fr-FR"/>
              </w:rPr>
              <w:t> </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8</w:t>
            </w:r>
          </w:p>
        </w:tc>
        <w:tc>
          <w:tcPr>
            <w:tcW w:w="787" w:type="dxa"/>
            <w:tcBorders>
              <w:top w:val="single" w:sz="4" w:space="0" w:color="808080"/>
              <w:left w:val="single" w:sz="4" w:space="0" w:color="808080"/>
              <w:bottom w:val="single" w:sz="4" w:space="0" w:color="808080"/>
              <w:right w:val="single" w:sz="4" w:space="0" w:color="808080"/>
            </w:tcBorders>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5</w:t>
            </w:r>
          </w:p>
        </w:tc>
      </w:tr>
      <w:tr w:rsidR="00646BCA" w:rsidRPr="00C363EE" w:rsidTr="00D1704E">
        <w:trPr>
          <w:trHeight w:val="282"/>
        </w:trPr>
        <w:tc>
          <w:tcPr>
            <w:tcW w:w="5780" w:type="dxa"/>
            <w:tcBorders>
              <w:top w:val="single" w:sz="4" w:space="0" w:color="808080"/>
              <w:left w:val="single" w:sz="4" w:space="0" w:color="808080"/>
              <w:bottom w:val="single" w:sz="4" w:space="0" w:color="808080"/>
              <w:right w:val="single" w:sz="4" w:space="0" w:color="808080"/>
            </w:tcBorders>
            <w:shd w:val="clear" w:color="auto" w:fill="A6A6A6" w:themeFill="background1" w:themeFillShade="A6"/>
            <w:vAlign w:val="bottom"/>
          </w:tcPr>
          <w:p w:rsidR="00646BCA" w:rsidRPr="00C85D52" w:rsidRDefault="00646BCA" w:rsidP="00D1704E">
            <w:pPr>
              <w:rPr>
                <w:rFonts w:ascii="Arial" w:eastAsia="Cambria" w:hAnsi="Arial" w:cs="Arial"/>
                <w:color w:val="FFFFFF" w:themeColor="background1"/>
                <w:sz w:val="20"/>
                <w:szCs w:val="20"/>
                <w:lang w:eastAsia="fr-FR"/>
              </w:rPr>
            </w:pPr>
            <w:r w:rsidRPr="00C85D52">
              <w:rPr>
                <w:rFonts w:ascii="Arial" w:eastAsia="Cambria" w:hAnsi="Arial" w:cs="Arial"/>
                <w:color w:val="FFFFFF" w:themeColor="background1"/>
                <w:sz w:val="20"/>
                <w:szCs w:val="20"/>
                <w:lang w:eastAsia="fr-FR"/>
              </w:rPr>
              <w:t>Propositions d'affectations post concours</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bottom"/>
          </w:tcPr>
          <w:p w:rsidR="00646BCA" w:rsidRPr="005908FF" w:rsidRDefault="00646BCA" w:rsidP="00D1704E">
            <w:pPr>
              <w:rPr>
                <w:rFonts w:ascii="Arial" w:eastAsia="Cambria" w:hAnsi="Arial" w:cs="Arial"/>
                <w:sz w:val="20"/>
                <w:szCs w:val="20"/>
                <w:lang w:eastAsia="fr-FR"/>
              </w:rPr>
            </w:pPr>
            <w:r w:rsidRPr="005908FF">
              <w:rPr>
                <w:rFonts w:ascii="Arial" w:eastAsia="Cambria" w:hAnsi="Arial" w:cs="Arial"/>
                <w:sz w:val="20"/>
                <w:szCs w:val="20"/>
                <w:lang w:eastAsia="fr-FR"/>
              </w:rPr>
              <w:t> </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bottom"/>
          </w:tcPr>
          <w:p w:rsidR="00646BCA" w:rsidRPr="005908FF" w:rsidRDefault="00646BCA" w:rsidP="00D1704E">
            <w:pPr>
              <w:rPr>
                <w:rFonts w:ascii="Arial" w:eastAsia="Cambria" w:hAnsi="Arial" w:cs="Arial"/>
                <w:sz w:val="20"/>
                <w:szCs w:val="20"/>
                <w:lang w:eastAsia="fr-FR"/>
              </w:rPr>
            </w:pPr>
            <w:r w:rsidRPr="005908FF">
              <w:rPr>
                <w:rFonts w:ascii="Arial" w:eastAsia="Cambria" w:hAnsi="Arial" w:cs="Arial"/>
                <w:sz w:val="20"/>
                <w:szCs w:val="20"/>
                <w:lang w:eastAsia="fr-FR"/>
              </w:rPr>
              <w:t> </w:t>
            </w:r>
          </w:p>
        </w:tc>
        <w:tc>
          <w:tcPr>
            <w:tcW w:w="787"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222</w:t>
            </w:r>
          </w:p>
        </w:tc>
        <w:tc>
          <w:tcPr>
            <w:tcW w:w="787" w:type="dxa"/>
            <w:tcBorders>
              <w:top w:val="single" w:sz="4" w:space="0" w:color="808080"/>
              <w:left w:val="single" w:sz="4" w:space="0" w:color="808080"/>
              <w:bottom w:val="single" w:sz="4" w:space="0" w:color="808080"/>
              <w:right w:val="single" w:sz="4" w:space="0" w:color="808080"/>
            </w:tcBorders>
          </w:tcPr>
          <w:p w:rsidR="00646BCA" w:rsidRPr="005908FF" w:rsidRDefault="00646BCA" w:rsidP="00D1704E">
            <w:pPr>
              <w:jc w:val="center"/>
              <w:rPr>
                <w:rFonts w:ascii="Arial" w:eastAsia="Cambria" w:hAnsi="Arial" w:cs="Arial"/>
                <w:sz w:val="20"/>
                <w:szCs w:val="20"/>
                <w:lang w:eastAsia="fr-FR"/>
              </w:rPr>
            </w:pPr>
            <w:r w:rsidRPr="005908FF">
              <w:rPr>
                <w:rFonts w:ascii="Arial" w:eastAsia="Cambria" w:hAnsi="Arial" w:cs="Arial"/>
                <w:sz w:val="20"/>
                <w:szCs w:val="20"/>
                <w:lang w:eastAsia="fr-FR"/>
              </w:rPr>
              <w:t>200</w:t>
            </w:r>
          </w:p>
        </w:tc>
      </w:tr>
    </w:tbl>
    <w:p w:rsidR="00646BCA" w:rsidRPr="00C363EE" w:rsidRDefault="00646BCA" w:rsidP="00646BCA">
      <w:pPr>
        <w:tabs>
          <w:tab w:val="left" w:pos="1220"/>
        </w:tabs>
        <w:rPr>
          <w:rFonts w:ascii="BlairMdITC TT-Medium" w:eastAsia="Cambria" w:hAnsi="BlairMdITC TT-Medium" w:cs="Times New Roman"/>
          <w:b/>
          <w:color w:val="FF0080"/>
          <w:sz w:val="28"/>
        </w:rPr>
      </w:pPr>
    </w:p>
    <w:p w:rsidR="00646BCA" w:rsidRDefault="00646BCA" w:rsidP="00646BCA">
      <w:pPr>
        <w:tabs>
          <w:tab w:val="left" w:pos="1220"/>
        </w:tabs>
        <w:rPr>
          <w:rFonts w:ascii="Arial" w:eastAsia="Cambria" w:hAnsi="Arial" w:cs="Times New Roman"/>
          <w:b/>
        </w:rPr>
      </w:pPr>
      <w:r w:rsidRPr="00692135">
        <w:rPr>
          <w:rFonts w:ascii="Arial" w:eastAsia="Cambria" w:hAnsi="Arial" w:cs="Times New Roman"/>
          <w:b/>
        </w:rPr>
        <w:t>Les suivis individuels</w:t>
      </w:r>
    </w:p>
    <w:p w:rsidR="00646BCA" w:rsidRPr="00C363EE" w:rsidRDefault="00646BCA" w:rsidP="00646BCA">
      <w:pPr>
        <w:tabs>
          <w:tab w:val="left" w:pos="1220"/>
        </w:tabs>
        <w:rPr>
          <w:rFonts w:ascii="Arial" w:eastAsia="Cambria" w:hAnsi="Arial" w:cs="Times New Roman"/>
          <w:b/>
        </w:rPr>
      </w:pPr>
    </w:p>
    <w:tbl>
      <w:tblPr>
        <w:tblW w:w="10040" w:type="dxa"/>
        <w:jc w:val="center"/>
        <w:tblCellMar>
          <w:left w:w="70" w:type="dxa"/>
          <w:right w:w="70" w:type="dxa"/>
        </w:tblCellMar>
        <w:tblLook w:val="04A0" w:firstRow="1" w:lastRow="0" w:firstColumn="1" w:lastColumn="0" w:noHBand="0" w:noVBand="1"/>
      </w:tblPr>
      <w:tblGrid>
        <w:gridCol w:w="4900"/>
        <w:gridCol w:w="2500"/>
        <w:gridCol w:w="2640"/>
      </w:tblGrid>
      <w:tr w:rsidR="00646BCA" w:rsidRPr="00692135" w:rsidTr="00D1704E">
        <w:trPr>
          <w:trHeight w:val="260"/>
          <w:jc w:val="center"/>
        </w:trPr>
        <w:tc>
          <w:tcPr>
            <w:tcW w:w="4900" w:type="dxa"/>
            <w:tcBorders>
              <w:top w:val="single" w:sz="4" w:space="0" w:color="A6A6A6"/>
              <w:left w:val="single" w:sz="4" w:space="0" w:color="A6A6A6"/>
              <w:bottom w:val="single" w:sz="4" w:space="0" w:color="A6A6A6"/>
              <w:right w:val="single" w:sz="4" w:space="0" w:color="A6A6A6"/>
            </w:tcBorders>
            <w:shd w:val="clear" w:color="FFFFCC" w:fill="F937F0"/>
            <w:noWrap/>
            <w:vAlign w:val="bottom"/>
            <w:hideMark/>
          </w:tcPr>
          <w:p w:rsidR="00646BCA" w:rsidRPr="00692135" w:rsidRDefault="00646BCA" w:rsidP="00D1704E">
            <w:pPr>
              <w:jc w:val="center"/>
              <w:rPr>
                <w:rFonts w:ascii="Arial" w:eastAsia="Times New Roman" w:hAnsi="Arial" w:cs="Arial"/>
                <w:b/>
                <w:bCs/>
                <w:color w:val="FFFFFF"/>
                <w:sz w:val="20"/>
                <w:szCs w:val="20"/>
                <w:lang w:eastAsia="fr-FR"/>
              </w:rPr>
            </w:pPr>
            <w:r w:rsidRPr="00692135">
              <w:rPr>
                <w:rFonts w:ascii="Arial" w:eastAsia="Times New Roman" w:hAnsi="Arial" w:cs="Arial"/>
                <w:b/>
                <w:bCs/>
                <w:color w:val="FFFFFF"/>
                <w:sz w:val="20"/>
                <w:szCs w:val="20"/>
                <w:lang w:eastAsia="fr-FR"/>
              </w:rPr>
              <w:t>2013</w:t>
            </w:r>
          </w:p>
        </w:tc>
        <w:tc>
          <w:tcPr>
            <w:tcW w:w="2500" w:type="dxa"/>
            <w:tcBorders>
              <w:top w:val="single" w:sz="4" w:space="0" w:color="A6A6A6"/>
              <w:left w:val="nil"/>
              <w:bottom w:val="single" w:sz="4" w:space="0" w:color="A6A6A6"/>
              <w:right w:val="single" w:sz="4" w:space="0" w:color="A6A6A6"/>
            </w:tcBorders>
            <w:shd w:val="clear" w:color="auto" w:fill="FF00FF"/>
            <w:noWrap/>
            <w:vAlign w:val="bottom"/>
            <w:hideMark/>
          </w:tcPr>
          <w:p w:rsidR="00646BCA" w:rsidRPr="00692135" w:rsidRDefault="00646BCA" w:rsidP="00D1704E">
            <w:pPr>
              <w:jc w:val="center"/>
              <w:rPr>
                <w:rFonts w:ascii="Arial" w:eastAsia="Times New Roman" w:hAnsi="Arial" w:cs="Arial"/>
                <w:b/>
                <w:bCs/>
                <w:color w:val="FFFFFF"/>
                <w:sz w:val="20"/>
                <w:szCs w:val="20"/>
                <w:lang w:eastAsia="fr-FR"/>
              </w:rPr>
            </w:pPr>
            <w:r w:rsidRPr="00692135">
              <w:rPr>
                <w:rFonts w:ascii="Arial" w:eastAsia="Times New Roman" w:hAnsi="Arial" w:cs="Arial"/>
                <w:b/>
                <w:bCs/>
                <w:color w:val="FFFFFF"/>
                <w:sz w:val="20"/>
                <w:szCs w:val="20"/>
                <w:lang w:eastAsia="fr-FR"/>
              </w:rPr>
              <w:t>Nbre d'agents</w:t>
            </w:r>
          </w:p>
        </w:tc>
        <w:tc>
          <w:tcPr>
            <w:tcW w:w="2640" w:type="dxa"/>
            <w:tcBorders>
              <w:top w:val="single" w:sz="4" w:space="0" w:color="A6A6A6"/>
              <w:left w:val="nil"/>
              <w:bottom w:val="single" w:sz="4" w:space="0" w:color="A6A6A6"/>
              <w:right w:val="single" w:sz="4" w:space="0" w:color="A6A6A6"/>
            </w:tcBorders>
            <w:shd w:val="clear" w:color="auto" w:fill="FF00FF"/>
            <w:noWrap/>
            <w:vAlign w:val="bottom"/>
            <w:hideMark/>
          </w:tcPr>
          <w:p w:rsidR="00646BCA" w:rsidRPr="00692135" w:rsidRDefault="00646BCA" w:rsidP="00D1704E">
            <w:pPr>
              <w:jc w:val="center"/>
              <w:rPr>
                <w:rFonts w:ascii="Arial" w:eastAsia="Times New Roman" w:hAnsi="Arial" w:cs="Arial"/>
                <w:b/>
                <w:bCs/>
                <w:color w:val="FFFFFF"/>
                <w:sz w:val="20"/>
                <w:szCs w:val="20"/>
                <w:lang w:eastAsia="fr-FR"/>
              </w:rPr>
            </w:pPr>
            <w:r w:rsidRPr="00692135">
              <w:rPr>
                <w:rFonts w:ascii="Arial" w:eastAsia="Times New Roman" w:hAnsi="Arial" w:cs="Arial"/>
                <w:b/>
                <w:bCs/>
                <w:color w:val="FFFFFF"/>
                <w:sz w:val="20"/>
                <w:szCs w:val="20"/>
                <w:lang w:eastAsia="fr-FR"/>
              </w:rPr>
              <w:t>Nbre d'entretiens</w:t>
            </w:r>
          </w:p>
        </w:tc>
      </w:tr>
      <w:tr w:rsidR="00646BCA" w:rsidRPr="00692135" w:rsidTr="00D1704E">
        <w:trPr>
          <w:trHeight w:val="250"/>
          <w:jc w:val="center"/>
        </w:trPr>
        <w:tc>
          <w:tcPr>
            <w:tcW w:w="4900" w:type="dxa"/>
            <w:tcBorders>
              <w:top w:val="nil"/>
              <w:left w:val="single" w:sz="4" w:space="0" w:color="A6A6A6"/>
              <w:bottom w:val="single" w:sz="4" w:space="0" w:color="A6A6A6"/>
              <w:right w:val="single" w:sz="4" w:space="0" w:color="A6A6A6"/>
            </w:tcBorders>
            <w:shd w:val="clear" w:color="auto" w:fill="auto"/>
            <w:noWrap/>
            <w:vAlign w:val="bottom"/>
            <w:hideMark/>
          </w:tcPr>
          <w:p w:rsidR="00646BCA" w:rsidRPr="00692135" w:rsidRDefault="00646BCA" w:rsidP="00D1704E">
            <w:pPr>
              <w:rPr>
                <w:rFonts w:ascii="Arial" w:eastAsia="Times New Roman" w:hAnsi="Arial" w:cs="Arial"/>
                <w:sz w:val="20"/>
                <w:szCs w:val="20"/>
                <w:lang w:eastAsia="fr-FR"/>
              </w:rPr>
            </w:pPr>
            <w:r w:rsidRPr="00692135">
              <w:rPr>
                <w:rFonts w:ascii="Arial" w:eastAsia="Times New Roman" w:hAnsi="Arial" w:cs="Arial"/>
                <w:sz w:val="20"/>
                <w:szCs w:val="20"/>
                <w:lang w:eastAsia="fr-FR"/>
              </w:rPr>
              <w:t>Suivi de carrière</w:t>
            </w:r>
          </w:p>
        </w:tc>
        <w:tc>
          <w:tcPr>
            <w:tcW w:w="250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174</w:t>
            </w:r>
          </w:p>
        </w:tc>
        <w:tc>
          <w:tcPr>
            <w:tcW w:w="264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80</w:t>
            </w:r>
          </w:p>
        </w:tc>
      </w:tr>
      <w:tr w:rsidR="00646BCA" w:rsidRPr="00692135" w:rsidTr="00D1704E">
        <w:trPr>
          <w:trHeight w:val="250"/>
          <w:jc w:val="center"/>
        </w:trPr>
        <w:tc>
          <w:tcPr>
            <w:tcW w:w="4900" w:type="dxa"/>
            <w:tcBorders>
              <w:top w:val="nil"/>
              <w:left w:val="single" w:sz="4" w:space="0" w:color="A6A6A6"/>
              <w:bottom w:val="single" w:sz="4" w:space="0" w:color="A6A6A6"/>
              <w:right w:val="single" w:sz="4" w:space="0" w:color="A6A6A6"/>
            </w:tcBorders>
            <w:shd w:val="clear" w:color="auto" w:fill="auto"/>
            <w:noWrap/>
            <w:vAlign w:val="bottom"/>
            <w:hideMark/>
          </w:tcPr>
          <w:p w:rsidR="00646BCA" w:rsidRPr="00692135" w:rsidRDefault="00646BCA" w:rsidP="00D1704E">
            <w:pPr>
              <w:rPr>
                <w:rFonts w:ascii="Arial" w:eastAsia="Times New Roman" w:hAnsi="Arial" w:cs="Arial"/>
                <w:sz w:val="20"/>
                <w:szCs w:val="20"/>
                <w:lang w:eastAsia="fr-FR"/>
              </w:rPr>
            </w:pPr>
            <w:r w:rsidRPr="00692135">
              <w:rPr>
                <w:rFonts w:ascii="Arial" w:eastAsia="Times New Roman" w:hAnsi="Arial" w:cs="Arial"/>
                <w:sz w:val="20"/>
                <w:szCs w:val="20"/>
                <w:lang w:eastAsia="fr-FR"/>
              </w:rPr>
              <w:t>Suivi de mobilité</w:t>
            </w:r>
          </w:p>
        </w:tc>
        <w:tc>
          <w:tcPr>
            <w:tcW w:w="250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303</w:t>
            </w:r>
          </w:p>
        </w:tc>
        <w:tc>
          <w:tcPr>
            <w:tcW w:w="264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194</w:t>
            </w:r>
          </w:p>
        </w:tc>
      </w:tr>
      <w:tr w:rsidR="00646BCA" w:rsidRPr="00692135" w:rsidTr="00D1704E">
        <w:trPr>
          <w:trHeight w:val="250"/>
          <w:jc w:val="center"/>
        </w:trPr>
        <w:tc>
          <w:tcPr>
            <w:tcW w:w="4900" w:type="dxa"/>
            <w:tcBorders>
              <w:top w:val="nil"/>
              <w:left w:val="single" w:sz="4" w:space="0" w:color="A6A6A6"/>
              <w:bottom w:val="single" w:sz="4" w:space="0" w:color="A6A6A6"/>
              <w:right w:val="single" w:sz="4" w:space="0" w:color="A6A6A6"/>
            </w:tcBorders>
            <w:shd w:val="clear" w:color="auto" w:fill="auto"/>
            <w:noWrap/>
            <w:vAlign w:val="bottom"/>
            <w:hideMark/>
          </w:tcPr>
          <w:p w:rsidR="00646BCA" w:rsidRPr="00692135" w:rsidRDefault="00646BCA" w:rsidP="00D1704E">
            <w:pPr>
              <w:rPr>
                <w:rFonts w:ascii="Arial" w:eastAsia="Times New Roman" w:hAnsi="Arial" w:cs="Arial"/>
                <w:sz w:val="20"/>
                <w:szCs w:val="20"/>
                <w:lang w:eastAsia="fr-FR"/>
              </w:rPr>
            </w:pPr>
            <w:r w:rsidRPr="00692135">
              <w:rPr>
                <w:rFonts w:ascii="Arial" w:eastAsia="Times New Roman" w:hAnsi="Arial" w:cs="Arial"/>
                <w:sz w:val="20"/>
                <w:szCs w:val="20"/>
                <w:lang w:eastAsia="fr-FR"/>
              </w:rPr>
              <w:t>Suivi recrutement</w:t>
            </w:r>
          </w:p>
        </w:tc>
        <w:tc>
          <w:tcPr>
            <w:tcW w:w="250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172</w:t>
            </w:r>
          </w:p>
        </w:tc>
        <w:tc>
          <w:tcPr>
            <w:tcW w:w="264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182</w:t>
            </w:r>
          </w:p>
        </w:tc>
      </w:tr>
      <w:tr w:rsidR="00646BCA" w:rsidRPr="00692135" w:rsidTr="00D1704E">
        <w:trPr>
          <w:trHeight w:val="250"/>
          <w:jc w:val="center"/>
        </w:trPr>
        <w:tc>
          <w:tcPr>
            <w:tcW w:w="4900" w:type="dxa"/>
            <w:tcBorders>
              <w:top w:val="nil"/>
              <w:left w:val="single" w:sz="4" w:space="0" w:color="A6A6A6"/>
              <w:bottom w:val="single" w:sz="4" w:space="0" w:color="A6A6A6"/>
              <w:right w:val="single" w:sz="4" w:space="0" w:color="A6A6A6"/>
            </w:tcBorders>
            <w:shd w:val="clear" w:color="auto" w:fill="auto"/>
            <w:noWrap/>
            <w:vAlign w:val="bottom"/>
            <w:hideMark/>
          </w:tcPr>
          <w:p w:rsidR="00646BCA" w:rsidRPr="00692135" w:rsidRDefault="00646BCA" w:rsidP="00D1704E">
            <w:pPr>
              <w:rPr>
                <w:rFonts w:ascii="Arial" w:eastAsia="Times New Roman" w:hAnsi="Arial" w:cs="Arial"/>
                <w:sz w:val="20"/>
                <w:szCs w:val="20"/>
                <w:lang w:eastAsia="fr-FR"/>
              </w:rPr>
            </w:pPr>
            <w:r w:rsidRPr="00692135">
              <w:rPr>
                <w:rFonts w:ascii="Arial" w:eastAsia="Times New Roman" w:hAnsi="Arial" w:cs="Arial"/>
                <w:sz w:val="20"/>
                <w:szCs w:val="20"/>
                <w:lang w:eastAsia="fr-FR"/>
              </w:rPr>
              <w:t>Réorientation individuelle ou collective</w:t>
            </w:r>
          </w:p>
        </w:tc>
        <w:tc>
          <w:tcPr>
            <w:tcW w:w="250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48</w:t>
            </w:r>
          </w:p>
        </w:tc>
        <w:tc>
          <w:tcPr>
            <w:tcW w:w="264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96</w:t>
            </w:r>
          </w:p>
        </w:tc>
      </w:tr>
      <w:tr w:rsidR="00646BCA" w:rsidRPr="00692135" w:rsidTr="00D1704E">
        <w:trPr>
          <w:trHeight w:val="250"/>
          <w:jc w:val="center"/>
        </w:trPr>
        <w:tc>
          <w:tcPr>
            <w:tcW w:w="4900" w:type="dxa"/>
            <w:tcBorders>
              <w:top w:val="nil"/>
              <w:left w:val="single" w:sz="4" w:space="0" w:color="A6A6A6"/>
              <w:bottom w:val="single" w:sz="4" w:space="0" w:color="A6A6A6"/>
              <w:right w:val="single" w:sz="4" w:space="0" w:color="A6A6A6"/>
            </w:tcBorders>
            <w:shd w:val="clear" w:color="auto" w:fill="auto"/>
            <w:noWrap/>
            <w:vAlign w:val="bottom"/>
            <w:hideMark/>
          </w:tcPr>
          <w:p w:rsidR="00646BCA" w:rsidRPr="00692135" w:rsidRDefault="00646BCA" w:rsidP="00D1704E">
            <w:pPr>
              <w:rPr>
                <w:rFonts w:ascii="Arial" w:eastAsia="Times New Roman" w:hAnsi="Arial" w:cs="Arial"/>
                <w:sz w:val="20"/>
                <w:szCs w:val="20"/>
                <w:lang w:eastAsia="fr-FR"/>
              </w:rPr>
            </w:pPr>
            <w:r w:rsidRPr="00692135">
              <w:rPr>
                <w:rFonts w:ascii="Arial" w:eastAsia="Times New Roman" w:hAnsi="Arial" w:cs="Arial"/>
                <w:sz w:val="20"/>
                <w:szCs w:val="20"/>
                <w:lang w:eastAsia="fr-FR"/>
              </w:rPr>
              <w:t>Aide au recrutement (RQTH – emplois dérogatoires)</w:t>
            </w:r>
          </w:p>
        </w:tc>
        <w:tc>
          <w:tcPr>
            <w:tcW w:w="250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50</w:t>
            </w:r>
          </w:p>
        </w:tc>
        <w:tc>
          <w:tcPr>
            <w:tcW w:w="264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102</w:t>
            </w:r>
          </w:p>
        </w:tc>
      </w:tr>
      <w:tr w:rsidR="00646BCA" w:rsidRPr="00692135" w:rsidTr="00D1704E">
        <w:trPr>
          <w:trHeight w:val="250"/>
          <w:jc w:val="center"/>
        </w:trPr>
        <w:tc>
          <w:tcPr>
            <w:tcW w:w="4900" w:type="dxa"/>
            <w:tcBorders>
              <w:top w:val="nil"/>
              <w:left w:val="single" w:sz="4" w:space="0" w:color="A6A6A6"/>
              <w:bottom w:val="single" w:sz="4" w:space="0" w:color="A6A6A6"/>
              <w:right w:val="single" w:sz="4" w:space="0" w:color="A6A6A6"/>
            </w:tcBorders>
            <w:shd w:val="clear" w:color="auto" w:fill="auto"/>
            <w:noWrap/>
            <w:vAlign w:val="bottom"/>
            <w:hideMark/>
          </w:tcPr>
          <w:p w:rsidR="00646BCA" w:rsidRPr="00692135" w:rsidRDefault="00646BCA" w:rsidP="00D1704E">
            <w:pPr>
              <w:rPr>
                <w:rFonts w:ascii="Arial" w:eastAsia="Times New Roman" w:hAnsi="Arial" w:cs="Arial"/>
                <w:sz w:val="20"/>
                <w:szCs w:val="20"/>
                <w:lang w:eastAsia="fr-FR"/>
              </w:rPr>
            </w:pPr>
            <w:r w:rsidRPr="00692135">
              <w:rPr>
                <w:rFonts w:ascii="Arial" w:eastAsia="Times New Roman" w:hAnsi="Arial" w:cs="Arial"/>
                <w:sz w:val="20"/>
                <w:szCs w:val="20"/>
                <w:lang w:eastAsia="fr-FR"/>
              </w:rPr>
              <w:t>Aide au reclassement médical</w:t>
            </w:r>
          </w:p>
        </w:tc>
        <w:tc>
          <w:tcPr>
            <w:tcW w:w="250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18</w:t>
            </w:r>
          </w:p>
        </w:tc>
        <w:tc>
          <w:tcPr>
            <w:tcW w:w="2640" w:type="dxa"/>
            <w:tcBorders>
              <w:top w:val="nil"/>
              <w:left w:val="nil"/>
              <w:bottom w:val="single" w:sz="4" w:space="0" w:color="A6A6A6"/>
              <w:right w:val="single" w:sz="4" w:space="0" w:color="A6A6A6"/>
            </w:tcBorders>
            <w:shd w:val="clear" w:color="auto" w:fill="auto"/>
            <w:noWrap/>
            <w:vAlign w:val="bottom"/>
            <w:hideMark/>
          </w:tcPr>
          <w:p w:rsidR="00646BCA" w:rsidRPr="00692135" w:rsidRDefault="00646BCA" w:rsidP="00D1704E">
            <w:pPr>
              <w:jc w:val="center"/>
              <w:rPr>
                <w:rFonts w:ascii="Arial" w:eastAsia="Times New Roman" w:hAnsi="Arial" w:cs="Arial"/>
                <w:sz w:val="20"/>
                <w:szCs w:val="20"/>
                <w:lang w:eastAsia="fr-FR"/>
              </w:rPr>
            </w:pPr>
            <w:r w:rsidRPr="00692135">
              <w:rPr>
                <w:rFonts w:ascii="Arial" w:eastAsia="Times New Roman" w:hAnsi="Arial" w:cs="Arial"/>
                <w:sz w:val="20"/>
                <w:szCs w:val="20"/>
                <w:lang w:eastAsia="fr-FR"/>
              </w:rPr>
              <w:t>54</w:t>
            </w:r>
          </w:p>
        </w:tc>
      </w:tr>
      <w:tr w:rsidR="00646BCA" w:rsidRPr="00692135" w:rsidTr="00D1704E">
        <w:trPr>
          <w:trHeight w:val="260"/>
          <w:jc w:val="center"/>
        </w:trPr>
        <w:tc>
          <w:tcPr>
            <w:tcW w:w="4900" w:type="dxa"/>
            <w:tcBorders>
              <w:top w:val="nil"/>
              <w:left w:val="single" w:sz="4" w:space="0" w:color="A6A6A6"/>
              <w:bottom w:val="single" w:sz="4" w:space="0" w:color="A6A6A6"/>
              <w:right w:val="single" w:sz="4" w:space="0" w:color="A6A6A6"/>
            </w:tcBorders>
            <w:shd w:val="clear" w:color="auto" w:fill="A6A6A6" w:themeFill="background1" w:themeFillShade="A6"/>
            <w:noWrap/>
            <w:vAlign w:val="bottom"/>
            <w:hideMark/>
          </w:tcPr>
          <w:p w:rsidR="00646BCA" w:rsidRPr="00692135" w:rsidRDefault="00646BCA" w:rsidP="00D1704E">
            <w:pPr>
              <w:jc w:val="center"/>
              <w:rPr>
                <w:rFonts w:ascii="Arial" w:eastAsia="Times New Roman" w:hAnsi="Arial" w:cs="Arial"/>
                <w:b/>
                <w:bCs/>
                <w:color w:val="FFFFFF"/>
                <w:sz w:val="20"/>
                <w:szCs w:val="20"/>
                <w:lang w:eastAsia="fr-FR"/>
              </w:rPr>
            </w:pPr>
            <w:r w:rsidRPr="00692135">
              <w:rPr>
                <w:rFonts w:ascii="Arial" w:eastAsia="Times New Roman" w:hAnsi="Arial" w:cs="Arial"/>
                <w:b/>
                <w:bCs/>
                <w:color w:val="FFFFFF"/>
                <w:sz w:val="20"/>
                <w:szCs w:val="20"/>
                <w:lang w:eastAsia="fr-FR"/>
              </w:rPr>
              <w:t>Total</w:t>
            </w:r>
          </w:p>
        </w:tc>
        <w:tc>
          <w:tcPr>
            <w:tcW w:w="2500" w:type="dxa"/>
            <w:tcBorders>
              <w:top w:val="nil"/>
              <w:left w:val="nil"/>
              <w:bottom w:val="single" w:sz="4" w:space="0" w:color="A6A6A6"/>
              <w:right w:val="single" w:sz="4" w:space="0" w:color="A6A6A6"/>
            </w:tcBorders>
            <w:shd w:val="clear" w:color="auto" w:fill="A6A6A6" w:themeFill="background1" w:themeFillShade="A6"/>
            <w:noWrap/>
            <w:vAlign w:val="bottom"/>
            <w:hideMark/>
          </w:tcPr>
          <w:p w:rsidR="00646BCA" w:rsidRPr="00692135" w:rsidRDefault="00646BCA" w:rsidP="00D1704E">
            <w:pPr>
              <w:jc w:val="center"/>
              <w:rPr>
                <w:rFonts w:ascii="Arial" w:eastAsia="Times New Roman" w:hAnsi="Arial" w:cs="Arial"/>
                <w:b/>
                <w:bCs/>
                <w:color w:val="FFFFFF"/>
                <w:sz w:val="20"/>
                <w:szCs w:val="20"/>
                <w:lang w:eastAsia="fr-FR"/>
              </w:rPr>
            </w:pPr>
            <w:r w:rsidRPr="00692135">
              <w:rPr>
                <w:rFonts w:ascii="Arial" w:eastAsia="Times New Roman" w:hAnsi="Arial" w:cs="Arial"/>
                <w:b/>
                <w:bCs/>
                <w:color w:val="FFFFFF"/>
                <w:sz w:val="20"/>
                <w:szCs w:val="20"/>
                <w:lang w:eastAsia="fr-FR"/>
              </w:rPr>
              <w:t>765</w:t>
            </w:r>
          </w:p>
        </w:tc>
        <w:tc>
          <w:tcPr>
            <w:tcW w:w="2640" w:type="dxa"/>
            <w:tcBorders>
              <w:top w:val="nil"/>
              <w:left w:val="nil"/>
              <w:bottom w:val="single" w:sz="4" w:space="0" w:color="A6A6A6"/>
              <w:right w:val="single" w:sz="4" w:space="0" w:color="A6A6A6"/>
            </w:tcBorders>
            <w:shd w:val="clear" w:color="auto" w:fill="A6A6A6" w:themeFill="background1" w:themeFillShade="A6"/>
            <w:noWrap/>
            <w:vAlign w:val="bottom"/>
            <w:hideMark/>
          </w:tcPr>
          <w:p w:rsidR="00646BCA" w:rsidRPr="00692135" w:rsidRDefault="00646BCA" w:rsidP="00D1704E">
            <w:pPr>
              <w:jc w:val="center"/>
              <w:rPr>
                <w:rFonts w:ascii="Arial" w:eastAsia="Times New Roman" w:hAnsi="Arial" w:cs="Arial"/>
                <w:b/>
                <w:bCs/>
                <w:color w:val="FFFFFF"/>
                <w:sz w:val="20"/>
                <w:szCs w:val="20"/>
                <w:lang w:eastAsia="fr-FR"/>
              </w:rPr>
            </w:pPr>
            <w:r w:rsidRPr="00692135">
              <w:rPr>
                <w:rFonts w:ascii="Arial" w:eastAsia="Times New Roman" w:hAnsi="Arial" w:cs="Arial"/>
                <w:b/>
                <w:bCs/>
                <w:color w:val="FFFFFF"/>
                <w:sz w:val="20"/>
                <w:szCs w:val="20"/>
                <w:lang w:eastAsia="fr-FR"/>
              </w:rPr>
              <w:t>686</w:t>
            </w:r>
          </w:p>
        </w:tc>
      </w:tr>
    </w:tbl>
    <w:p w:rsidR="00646BCA" w:rsidRDefault="00646BCA" w:rsidP="00646BCA">
      <w:pPr>
        <w:pStyle w:val="NormalWeb"/>
        <w:spacing w:after="0"/>
        <w:ind w:left="68"/>
        <w:jc w:val="both"/>
      </w:pPr>
      <w:r>
        <w:rPr>
          <w:rFonts w:ascii="Arial" w:hAnsi="Arial" w:cs="Arial"/>
          <w:sz w:val="22"/>
          <w:szCs w:val="22"/>
        </w:rPr>
        <w:t>Le graphique ci-après établit une typologie des événements qui mettent les agents en contact avec le pôle Mobilité :</w:t>
      </w:r>
    </w:p>
    <w:p w:rsidR="00646BCA" w:rsidRDefault="00646BCA" w:rsidP="00646BCA">
      <w:pPr>
        <w:tabs>
          <w:tab w:val="left" w:pos="1220"/>
        </w:tabs>
        <w:rPr>
          <w:rFonts w:ascii="Arial" w:eastAsia="Cambria" w:hAnsi="Arial" w:cs="Arial"/>
          <w:b/>
        </w:rPr>
      </w:pPr>
    </w:p>
    <w:p w:rsidR="00646BCA" w:rsidRPr="00E76A68" w:rsidRDefault="00646BCA" w:rsidP="00646BCA">
      <w:pPr>
        <w:tabs>
          <w:tab w:val="left" w:pos="1220"/>
        </w:tabs>
        <w:jc w:val="center"/>
        <w:rPr>
          <w:rFonts w:ascii="Arial" w:eastAsia="Cambria" w:hAnsi="Arial" w:cs="Arial"/>
          <w:b/>
        </w:rPr>
      </w:pPr>
      <w:r>
        <w:rPr>
          <w:noProof/>
          <w:lang w:eastAsia="fr-FR"/>
        </w:rPr>
        <w:drawing>
          <wp:anchor distT="0" distB="0" distL="114300" distR="114300" simplePos="0" relativeHeight="251698176" behindDoc="0" locked="0" layoutInCell="1" allowOverlap="1" wp14:anchorId="497C1D5B" wp14:editId="397F00BA">
            <wp:simplePos x="0" y="0"/>
            <wp:positionH relativeFrom="margin">
              <wp:posOffset>-156845</wp:posOffset>
            </wp:positionH>
            <wp:positionV relativeFrom="paragraph">
              <wp:posOffset>161925</wp:posOffset>
            </wp:positionV>
            <wp:extent cx="6102350" cy="3308350"/>
            <wp:effectExtent l="0" t="0" r="0" b="6350"/>
            <wp:wrapSquare wrapText="bothSides"/>
            <wp:docPr id="42" name="Graphique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page">
              <wp14:pctWidth>0</wp14:pctWidth>
            </wp14:sizeRelH>
            <wp14:sizeRelV relativeFrom="page">
              <wp14:pctHeight>0</wp14:pctHeight>
            </wp14:sizeRelV>
          </wp:anchor>
        </w:drawing>
      </w:r>
      <w:r>
        <w:rPr>
          <w:rFonts w:ascii="Arial" w:eastAsia="Cambria" w:hAnsi="Arial" w:cs="Arial"/>
          <w:b/>
        </w:rPr>
        <w:t>Le suivi individuel – Bilan 2013</w:t>
      </w:r>
    </w:p>
    <w:p w:rsidR="00646BCA" w:rsidRDefault="00646BCA" w:rsidP="00646BCA">
      <w:pPr>
        <w:rPr>
          <w:rFonts w:ascii="BlairMdITC TT-Medium" w:eastAsia="Cambria" w:hAnsi="BlairMdITC TT-Medium" w:cs="Times New Roman"/>
          <w:b/>
          <w:color w:val="FF0080"/>
          <w:sz w:val="28"/>
        </w:rPr>
      </w:pPr>
      <w:r>
        <w:rPr>
          <w:rFonts w:ascii="BlairMdITC TT-Medium" w:eastAsia="Cambria" w:hAnsi="BlairMdITC TT-Medium" w:cs="Times New Roman"/>
          <w:b/>
          <w:color w:val="FF0080"/>
          <w:sz w:val="28"/>
        </w:rPr>
        <w:br w:type="page"/>
      </w:r>
    </w:p>
    <w:p w:rsidR="00646BCA" w:rsidRPr="00C363EE" w:rsidRDefault="00646BCA" w:rsidP="00646BCA">
      <w:pPr>
        <w:tabs>
          <w:tab w:val="left" w:pos="1220"/>
        </w:tabs>
        <w:jc w:val="center"/>
        <w:rPr>
          <w:rFonts w:ascii="BlairMdITC TT-Medium" w:eastAsia="Cambria" w:hAnsi="BlairMdITC TT-Medium" w:cs="Times New Roman"/>
          <w:b/>
          <w:color w:val="FF0080"/>
          <w:sz w:val="28"/>
        </w:rPr>
      </w:pPr>
    </w:p>
    <w:p w:rsidR="00646BCA" w:rsidRPr="009C43FC" w:rsidRDefault="00646BCA" w:rsidP="00646BCA">
      <w:pPr>
        <w:widowControl w:val="0"/>
        <w:tabs>
          <w:tab w:val="left" w:pos="720"/>
        </w:tabs>
        <w:autoSpaceDE w:val="0"/>
        <w:autoSpaceDN w:val="0"/>
        <w:adjustRightInd w:val="0"/>
        <w:ind w:left="66"/>
        <w:jc w:val="both"/>
        <w:rPr>
          <w:rFonts w:ascii="Arial" w:eastAsia="Cambria" w:hAnsi="Arial" w:cs="Arial"/>
          <w:b/>
          <w:sz w:val="22"/>
          <w:szCs w:val="22"/>
        </w:rPr>
      </w:pPr>
      <w:r w:rsidRPr="009C43FC">
        <w:rPr>
          <w:rFonts w:ascii="Arial" w:eastAsia="Cambria" w:hAnsi="Arial" w:cs="Arial"/>
          <w:b/>
          <w:sz w:val="22"/>
          <w:szCs w:val="22"/>
        </w:rPr>
        <w:t>Evénements qui mettent les agents en contact avec le pôle Mobilité :</w:t>
      </w:r>
    </w:p>
    <w:p w:rsidR="00646BCA" w:rsidRPr="009C43FC" w:rsidRDefault="00646BCA" w:rsidP="00646BCA">
      <w:pPr>
        <w:widowControl w:val="0"/>
        <w:tabs>
          <w:tab w:val="left" w:pos="720"/>
        </w:tabs>
        <w:autoSpaceDE w:val="0"/>
        <w:autoSpaceDN w:val="0"/>
        <w:adjustRightInd w:val="0"/>
        <w:ind w:left="66"/>
        <w:jc w:val="both"/>
        <w:rPr>
          <w:rFonts w:ascii="Arial" w:eastAsia="Cambria" w:hAnsi="Arial" w:cs="Arial"/>
          <w:sz w:val="22"/>
          <w:szCs w:val="22"/>
        </w:rPr>
      </w:pPr>
    </w:p>
    <w:p w:rsidR="00646BCA" w:rsidRPr="009C43FC" w:rsidRDefault="00646BCA" w:rsidP="00646BCA">
      <w:pPr>
        <w:widowControl w:val="0"/>
        <w:numPr>
          <w:ilvl w:val="0"/>
          <w:numId w:val="1"/>
        </w:numPr>
        <w:tabs>
          <w:tab w:val="left" w:pos="720"/>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 xml:space="preserve">le </w:t>
      </w:r>
      <w:r w:rsidRPr="009C43FC">
        <w:rPr>
          <w:rFonts w:ascii="Arial" w:eastAsia="Cambria" w:hAnsi="Arial" w:cs="Arial"/>
          <w:i/>
          <w:iCs/>
          <w:sz w:val="22"/>
          <w:szCs w:val="22"/>
        </w:rPr>
        <w:t xml:space="preserve">suivi de carrière </w:t>
      </w:r>
      <w:r w:rsidRPr="009C43FC">
        <w:rPr>
          <w:rFonts w:ascii="Arial" w:eastAsia="Cambria" w:hAnsi="Arial" w:cs="Arial"/>
          <w:sz w:val="22"/>
          <w:szCs w:val="22"/>
        </w:rPr>
        <w:t>concerne des agents désireux de faire un point sur leur trajectoire professionnelle, sur les acquis et les compétences professionnelles dont ils disposent. Ces entretiens sont un moment d'exploration de leur parcours professionnel.</w:t>
      </w:r>
    </w:p>
    <w:p w:rsidR="00646BCA" w:rsidRPr="009C43FC" w:rsidRDefault="00646BCA" w:rsidP="00646BCA">
      <w:pPr>
        <w:widowControl w:val="0"/>
        <w:tabs>
          <w:tab w:val="left" w:pos="720"/>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20"/>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 xml:space="preserve">le </w:t>
      </w:r>
      <w:r w:rsidRPr="009C43FC">
        <w:rPr>
          <w:rFonts w:ascii="Arial" w:eastAsia="Cambria" w:hAnsi="Arial" w:cs="Arial"/>
          <w:i/>
          <w:iCs/>
          <w:sz w:val="22"/>
          <w:szCs w:val="22"/>
        </w:rPr>
        <w:t>suivi de mobilité</w:t>
      </w:r>
      <w:r w:rsidRPr="009C43FC">
        <w:rPr>
          <w:rFonts w:ascii="Arial" w:eastAsia="Cambria" w:hAnsi="Arial" w:cs="Arial"/>
          <w:sz w:val="22"/>
          <w:szCs w:val="22"/>
        </w:rPr>
        <w:t xml:space="preserve"> concerne des agents formulant explicitement un souhait de mobilité - changement de service de rattachement, changement de fonctions ou mobilité géographique -, ou bien concerne les agents touchés par une obligation de mobilité consécutive à une opération de restructuration.</w:t>
      </w:r>
    </w:p>
    <w:p w:rsidR="00646BCA" w:rsidRPr="009C43FC" w:rsidRDefault="00646BCA" w:rsidP="00646BCA">
      <w:pPr>
        <w:widowControl w:val="0"/>
        <w:tabs>
          <w:tab w:val="left" w:pos="720"/>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20"/>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l'</w:t>
      </w:r>
      <w:r w:rsidRPr="009C43FC">
        <w:rPr>
          <w:rFonts w:ascii="Arial" w:eastAsia="Cambria" w:hAnsi="Arial" w:cs="Arial"/>
          <w:i/>
          <w:iCs/>
          <w:sz w:val="22"/>
          <w:szCs w:val="22"/>
        </w:rPr>
        <w:t>accompagnement de projet</w:t>
      </w:r>
      <w:r w:rsidRPr="009C43FC">
        <w:rPr>
          <w:rFonts w:ascii="Arial" w:eastAsia="Cambria" w:hAnsi="Arial" w:cs="Arial"/>
          <w:sz w:val="22"/>
          <w:szCs w:val="22"/>
        </w:rPr>
        <w:t xml:space="preserve">  concerne des agents désireux de connaître une reconversion professionnelle profonde ou une progression de carrière en dehors des cadres habituels des filières professionnelles.</w:t>
      </w:r>
    </w:p>
    <w:p w:rsidR="00646BCA" w:rsidRPr="009C43FC" w:rsidRDefault="00646BCA" w:rsidP="00646BCA">
      <w:pPr>
        <w:widowControl w:val="0"/>
        <w:tabs>
          <w:tab w:val="left" w:pos="720"/>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20"/>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 xml:space="preserve">le </w:t>
      </w:r>
      <w:r w:rsidRPr="009C43FC">
        <w:rPr>
          <w:rFonts w:ascii="Arial" w:eastAsia="Cambria" w:hAnsi="Arial" w:cs="Arial"/>
          <w:i/>
          <w:iCs/>
          <w:sz w:val="22"/>
          <w:szCs w:val="22"/>
        </w:rPr>
        <w:t xml:space="preserve">suivi de recrutement </w:t>
      </w:r>
      <w:r w:rsidRPr="009C43FC">
        <w:rPr>
          <w:rFonts w:ascii="Arial" w:eastAsia="Cambria" w:hAnsi="Arial" w:cs="Arial"/>
          <w:sz w:val="22"/>
          <w:szCs w:val="22"/>
        </w:rPr>
        <w:t>a pour finalité de favoriser le recrutement des agents qui se portent candidat sur un poste. Les conseillers apportent une expertise et une aide à la rédaction du CV, de la lettre de motivation et à la préparation des entretiens avec les recruteurs.</w:t>
      </w:r>
    </w:p>
    <w:p w:rsidR="00646BCA" w:rsidRPr="009C43FC" w:rsidRDefault="00646BCA" w:rsidP="00646BCA">
      <w:pPr>
        <w:widowControl w:val="0"/>
        <w:tabs>
          <w:tab w:val="left" w:pos="720"/>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20"/>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l'</w:t>
      </w:r>
      <w:r w:rsidRPr="009C43FC">
        <w:rPr>
          <w:rFonts w:ascii="Arial" w:eastAsia="Cambria" w:hAnsi="Arial" w:cs="Arial"/>
          <w:i/>
          <w:iCs/>
          <w:sz w:val="22"/>
          <w:szCs w:val="22"/>
        </w:rPr>
        <w:t>aide au recrutement</w:t>
      </w:r>
      <w:r w:rsidRPr="009C43FC">
        <w:rPr>
          <w:rFonts w:ascii="Arial" w:eastAsia="Cambria" w:hAnsi="Arial" w:cs="Arial"/>
          <w:sz w:val="22"/>
          <w:szCs w:val="22"/>
        </w:rPr>
        <w:t xml:space="preserve"> vise à apporter une aide aux services</w:t>
      </w:r>
      <w:r w:rsidRPr="009C43FC">
        <w:rPr>
          <w:rFonts w:ascii="Arial" w:eastAsia="Cambria" w:hAnsi="Arial" w:cs="Arial"/>
          <w:color w:val="000000"/>
          <w:sz w:val="22"/>
          <w:szCs w:val="22"/>
        </w:rPr>
        <w:t xml:space="preserve"> recruteurs t</w:t>
      </w:r>
      <w:r w:rsidRPr="009C43FC">
        <w:rPr>
          <w:rFonts w:ascii="Arial" w:eastAsia="Cambria" w:hAnsi="Arial" w:cs="Arial"/>
          <w:sz w:val="22"/>
          <w:szCs w:val="22"/>
        </w:rPr>
        <w:t>out au long du processus de recrutement depuis l'élaboration de la fiche de poste jusqu'au suivi de l'intégration de l'agent en passant par la construction d'une grille d'entretien avec les candidats et l'évaluation de la valeur des candidatures.</w:t>
      </w:r>
    </w:p>
    <w:p w:rsidR="00646BCA" w:rsidRPr="009C43FC" w:rsidRDefault="00646BCA" w:rsidP="00646BCA">
      <w:pPr>
        <w:widowControl w:val="0"/>
        <w:tabs>
          <w:tab w:val="left" w:pos="720"/>
        </w:tabs>
        <w:autoSpaceDE w:val="0"/>
        <w:autoSpaceDN w:val="0"/>
        <w:adjustRightInd w:val="0"/>
        <w:jc w:val="both"/>
        <w:rPr>
          <w:rFonts w:ascii="Arial" w:eastAsia="Cambria" w:hAnsi="Arial" w:cs="Arial"/>
          <w:sz w:val="22"/>
          <w:szCs w:val="22"/>
        </w:rPr>
      </w:pPr>
    </w:p>
    <w:p w:rsidR="00646BCA" w:rsidRPr="009C43FC" w:rsidRDefault="00646BCA" w:rsidP="00646BCA">
      <w:pPr>
        <w:widowControl w:val="0"/>
        <w:numPr>
          <w:ilvl w:val="0"/>
          <w:numId w:val="1"/>
        </w:numPr>
        <w:tabs>
          <w:tab w:val="left" w:pos="720"/>
        </w:tabs>
        <w:autoSpaceDE w:val="0"/>
        <w:autoSpaceDN w:val="0"/>
        <w:adjustRightInd w:val="0"/>
        <w:contextualSpacing/>
        <w:jc w:val="both"/>
        <w:rPr>
          <w:rFonts w:ascii="Arial" w:eastAsia="Cambria" w:hAnsi="Arial" w:cs="Arial"/>
          <w:sz w:val="22"/>
          <w:szCs w:val="22"/>
        </w:rPr>
      </w:pPr>
      <w:r w:rsidRPr="009C43FC">
        <w:rPr>
          <w:rFonts w:ascii="Arial" w:eastAsia="Cambria" w:hAnsi="Arial" w:cs="Arial"/>
          <w:sz w:val="22"/>
          <w:szCs w:val="22"/>
        </w:rPr>
        <w:t>l'</w:t>
      </w:r>
      <w:r w:rsidRPr="009C43FC">
        <w:rPr>
          <w:rFonts w:ascii="Arial" w:eastAsia="Cambria" w:hAnsi="Arial" w:cs="Arial"/>
          <w:i/>
          <w:iCs/>
          <w:sz w:val="22"/>
          <w:szCs w:val="22"/>
        </w:rPr>
        <w:t>aide au reclassement médical</w:t>
      </w:r>
      <w:r w:rsidRPr="009C43FC">
        <w:rPr>
          <w:rFonts w:ascii="Arial" w:eastAsia="Cambria" w:hAnsi="Arial" w:cs="Arial"/>
          <w:sz w:val="22"/>
          <w:szCs w:val="22"/>
        </w:rPr>
        <w:t xml:space="preserve"> concerne des agents qui connaissent des problèmes de santé avérés ou dont la situation de santé a fait l'objet d'un avis du comité médical en faveur d'un reclassement pour inaptitude.</w:t>
      </w:r>
    </w:p>
    <w:p w:rsidR="00646BCA" w:rsidRPr="009C43FC" w:rsidRDefault="00646BCA" w:rsidP="00646BCA">
      <w:pPr>
        <w:widowControl w:val="0"/>
        <w:tabs>
          <w:tab w:val="left" w:pos="705"/>
        </w:tabs>
        <w:autoSpaceDE w:val="0"/>
        <w:autoSpaceDN w:val="0"/>
        <w:adjustRightInd w:val="0"/>
        <w:ind w:left="426"/>
        <w:jc w:val="both"/>
        <w:rPr>
          <w:rFonts w:ascii="Arial" w:eastAsia="Cambria" w:hAnsi="Arial" w:cs="Arial"/>
          <w:sz w:val="22"/>
          <w:szCs w:val="22"/>
        </w:rPr>
      </w:pPr>
    </w:p>
    <w:p w:rsidR="00646BCA" w:rsidRPr="009C43FC" w:rsidRDefault="00646BCA" w:rsidP="00646BCA">
      <w:pPr>
        <w:widowControl w:val="0"/>
        <w:tabs>
          <w:tab w:val="left" w:pos="720"/>
        </w:tabs>
        <w:autoSpaceDE w:val="0"/>
        <w:autoSpaceDN w:val="0"/>
        <w:adjustRightInd w:val="0"/>
        <w:ind w:left="66"/>
        <w:jc w:val="both"/>
        <w:rPr>
          <w:rFonts w:ascii="Arial" w:eastAsia="Cambria" w:hAnsi="Arial" w:cs="Arial"/>
          <w:sz w:val="22"/>
          <w:szCs w:val="22"/>
        </w:rPr>
      </w:pPr>
      <w:r w:rsidRPr="009C43FC">
        <w:rPr>
          <w:rFonts w:ascii="Arial" w:eastAsia="Cambria" w:hAnsi="Arial" w:cs="Arial"/>
          <w:sz w:val="22"/>
          <w:szCs w:val="22"/>
        </w:rPr>
        <w:t>Selon la nature des demandes et les résultats de l’expertise des conseillers mobilité, les actions mises en place avec les agents concernés peuvent prévoir un volet de formations individualisées ou provenant de l’offre commune, la réalisation de bilans de compétences ou même du coaching.</w:t>
      </w:r>
    </w:p>
    <w:p w:rsidR="00646BCA" w:rsidRPr="009C43FC" w:rsidRDefault="00646BCA" w:rsidP="00646BCA">
      <w:pPr>
        <w:widowControl w:val="0"/>
        <w:tabs>
          <w:tab w:val="left" w:pos="720"/>
        </w:tabs>
        <w:autoSpaceDE w:val="0"/>
        <w:autoSpaceDN w:val="0"/>
        <w:adjustRightInd w:val="0"/>
        <w:ind w:left="66"/>
        <w:jc w:val="both"/>
        <w:rPr>
          <w:rFonts w:ascii="Arial" w:eastAsia="Cambria" w:hAnsi="Arial" w:cs="Arial"/>
          <w:sz w:val="22"/>
          <w:szCs w:val="22"/>
        </w:rPr>
      </w:pPr>
    </w:p>
    <w:p w:rsidR="00646BCA" w:rsidRPr="009C43FC" w:rsidRDefault="00646BCA" w:rsidP="00646BCA">
      <w:pPr>
        <w:widowControl w:val="0"/>
        <w:tabs>
          <w:tab w:val="left" w:pos="360"/>
        </w:tabs>
        <w:autoSpaceDE w:val="0"/>
        <w:autoSpaceDN w:val="0"/>
        <w:adjustRightInd w:val="0"/>
        <w:jc w:val="both"/>
        <w:rPr>
          <w:rFonts w:ascii="Arial" w:eastAsia="Cambria" w:hAnsi="Arial" w:cs="Arial"/>
          <w:b/>
          <w:bCs/>
          <w:iCs/>
          <w:sz w:val="22"/>
          <w:szCs w:val="22"/>
        </w:rPr>
      </w:pPr>
      <w:r w:rsidRPr="009C43FC">
        <w:rPr>
          <w:rFonts w:ascii="Arial" w:eastAsia="Cambria" w:hAnsi="Arial" w:cs="Arial"/>
          <w:b/>
          <w:bCs/>
          <w:iCs/>
          <w:sz w:val="22"/>
          <w:szCs w:val="22"/>
        </w:rPr>
        <w:t>Les actions singulières menées durant l'année 2013</w:t>
      </w:r>
    </w:p>
    <w:p w:rsidR="00646BCA" w:rsidRPr="009C43FC" w:rsidRDefault="00646BCA" w:rsidP="00646BCA">
      <w:pPr>
        <w:widowControl w:val="0"/>
        <w:tabs>
          <w:tab w:val="left" w:pos="360"/>
        </w:tabs>
        <w:autoSpaceDE w:val="0"/>
        <w:autoSpaceDN w:val="0"/>
        <w:adjustRightInd w:val="0"/>
        <w:jc w:val="both"/>
        <w:rPr>
          <w:rFonts w:ascii="Arial" w:eastAsia="Cambria" w:hAnsi="Arial" w:cs="Arial"/>
          <w:b/>
          <w:bCs/>
          <w:iCs/>
          <w:sz w:val="22"/>
          <w:szCs w:val="22"/>
        </w:rPr>
      </w:pPr>
    </w:p>
    <w:p w:rsidR="00646BCA" w:rsidRPr="009C43FC" w:rsidRDefault="00646BCA" w:rsidP="00646BCA">
      <w:pPr>
        <w:numPr>
          <w:ilvl w:val="0"/>
          <w:numId w:val="1"/>
        </w:numPr>
        <w:jc w:val="both"/>
        <w:rPr>
          <w:rFonts w:ascii="Arial" w:eastAsia="Times New Roman" w:hAnsi="Arial" w:cs="Arial"/>
          <w:color w:val="000000"/>
          <w:sz w:val="22"/>
          <w:szCs w:val="22"/>
          <w:lang w:eastAsia="fr-FR"/>
        </w:rPr>
      </w:pPr>
      <w:r w:rsidRPr="009C43FC">
        <w:rPr>
          <w:rFonts w:ascii="Arial" w:eastAsia="Times New Roman" w:hAnsi="Arial" w:cs="Arial"/>
          <w:color w:val="000000"/>
          <w:sz w:val="22"/>
          <w:szCs w:val="22"/>
          <w:lang w:eastAsia="fr-FR"/>
        </w:rPr>
        <w:t xml:space="preserve">Le recrutement des agents reconnus travailleurs handicapés et celui sur emplois réservés poursuit une pente ascendante depuis sa prise en charge par le pôle Mobilité. La recherche d’une diversification des profils et des recrutements est aussi à relever. </w:t>
      </w:r>
    </w:p>
    <w:p w:rsidR="00646BCA" w:rsidRPr="009C43FC" w:rsidRDefault="00646BCA" w:rsidP="00646BCA">
      <w:pPr>
        <w:jc w:val="both"/>
        <w:rPr>
          <w:rFonts w:ascii="Arial" w:eastAsia="Times New Roman" w:hAnsi="Arial" w:cs="Arial"/>
          <w:color w:val="000000"/>
          <w:sz w:val="22"/>
          <w:szCs w:val="22"/>
          <w:lang w:eastAsia="fr-FR"/>
        </w:rPr>
      </w:pPr>
    </w:p>
    <w:p w:rsidR="00646BCA" w:rsidRPr="009C43FC" w:rsidRDefault="00646BCA" w:rsidP="00646BCA">
      <w:pPr>
        <w:numPr>
          <w:ilvl w:val="0"/>
          <w:numId w:val="1"/>
        </w:numPr>
        <w:jc w:val="both"/>
        <w:rPr>
          <w:rFonts w:ascii="Arial" w:eastAsia="Times New Roman" w:hAnsi="Arial" w:cs="Arial"/>
          <w:color w:val="000000"/>
          <w:sz w:val="22"/>
          <w:szCs w:val="22"/>
          <w:lang w:eastAsia="fr-FR"/>
        </w:rPr>
      </w:pPr>
      <w:r w:rsidRPr="009C43FC">
        <w:rPr>
          <w:rFonts w:ascii="Arial" w:eastAsia="Times New Roman" w:hAnsi="Arial" w:cs="Arial"/>
          <w:color w:val="000000"/>
          <w:sz w:val="22"/>
          <w:szCs w:val="22"/>
          <w:lang w:eastAsia="fr-FR"/>
        </w:rPr>
        <w:t>Le département du recrutement, de la mobilité et de la formation a mis en place un accompagnement particulier des attachés sortis des Instituts Régionaux d’Administration (IRA) en vue de leur meilleure insertion dans leur cadre professionnel. Cet accompagnement appelé Mentorat a été réalisé durant l’année 2013 grâce au concours de pairs chevronnés, au bénéfice de 10 attachés.</w:t>
      </w:r>
    </w:p>
    <w:p w:rsidR="00646BCA" w:rsidRDefault="00646BCA" w:rsidP="00646BCA">
      <w:pPr>
        <w:rPr>
          <w:rFonts w:ascii="BlairMdITC TT-Medium" w:eastAsia="Cambria" w:hAnsi="BlairMdITC TT-Medium" w:cs="Times New Roman"/>
          <w:b/>
          <w:color w:val="FF0080"/>
          <w:sz w:val="28"/>
        </w:rPr>
      </w:pPr>
      <w:r>
        <w:rPr>
          <w:rFonts w:ascii="BlairMdITC TT-Medium" w:eastAsia="Cambria" w:hAnsi="BlairMdITC TT-Medium" w:cs="Times New Roman"/>
          <w:b/>
          <w:color w:val="FF0080"/>
          <w:sz w:val="28"/>
        </w:rPr>
        <w:br w:type="page"/>
      </w:r>
    </w:p>
    <w:p w:rsidR="00646BCA" w:rsidRPr="00C363EE" w:rsidRDefault="00646BCA" w:rsidP="00646BCA">
      <w:pPr>
        <w:tabs>
          <w:tab w:val="left" w:pos="1220"/>
        </w:tabs>
        <w:rPr>
          <w:rFonts w:ascii="BlairMdITC TT-Medium" w:eastAsia="Cambria" w:hAnsi="BlairMdITC TT-Medium" w:cs="Times New Roman"/>
          <w:b/>
          <w:color w:val="FF0080"/>
          <w:sz w:val="28"/>
        </w:rPr>
      </w:pPr>
    </w:p>
    <w:p w:rsidR="00646BCA" w:rsidRPr="000D3FE9" w:rsidRDefault="00646BCA" w:rsidP="00646BCA">
      <w:pPr>
        <w:widowControl w:val="0"/>
        <w:autoSpaceDE w:val="0"/>
        <w:autoSpaceDN w:val="0"/>
        <w:adjustRightInd w:val="0"/>
        <w:ind w:left="1134" w:hanging="1134"/>
        <w:rPr>
          <w:rFonts w:ascii="Florencesans Exp" w:eastAsia="Cambria" w:hAnsi="Florencesans Exp" w:cs="Times New Roman"/>
        </w:rPr>
      </w:pPr>
      <w:r w:rsidRPr="000D3FE9">
        <w:rPr>
          <w:rFonts w:ascii="Florencesans Exp" w:eastAsia="Cambria" w:hAnsi="Florencesans Exp" w:cs="Times New Roman"/>
        </w:rPr>
        <w:t xml:space="preserve">1. </w:t>
      </w:r>
      <w:r>
        <w:rPr>
          <w:rFonts w:ascii="Florencesans Exp" w:eastAsia="Cambria" w:hAnsi="Florencesans Exp" w:cs="Times New Roman"/>
        </w:rPr>
        <w:t>F</w:t>
      </w:r>
      <w:r w:rsidRPr="000D3FE9">
        <w:rPr>
          <w:rFonts w:ascii="Florencesans Exp" w:eastAsia="Cambria" w:hAnsi="Florencesans Exp" w:cs="Times New Roman"/>
        </w:rPr>
        <w:t xml:space="preserve">. 3. LES PROMOTIONS DE GRADE ET DE CORPS </w:t>
      </w:r>
      <w:r>
        <w:rPr>
          <w:rFonts w:ascii="Florencesans Exp" w:eastAsia="Cambria" w:hAnsi="Florencesans Exp" w:cs="Times New Roman"/>
        </w:rPr>
        <w:br/>
      </w:r>
      <w:r w:rsidRPr="000D3FE9">
        <w:rPr>
          <w:rFonts w:ascii="Florencesans Exp" w:eastAsia="Cambria" w:hAnsi="Florencesans Exp" w:cs="Times New Roman"/>
        </w:rPr>
        <w:t>(DONNEES T2 ET T3)</w:t>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r w:rsidRPr="00270164">
        <w:rPr>
          <w:noProof/>
          <w:lang w:eastAsia="fr-FR"/>
        </w:rPr>
        <w:drawing>
          <wp:anchor distT="0" distB="0" distL="114300" distR="114300" simplePos="0" relativeHeight="251768832" behindDoc="1" locked="0" layoutInCell="1" allowOverlap="1" wp14:anchorId="584BC326" wp14:editId="6D8A7200">
            <wp:simplePos x="0" y="0"/>
            <wp:positionH relativeFrom="margin">
              <wp:align>center</wp:align>
            </wp:positionH>
            <wp:positionV relativeFrom="paragraph">
              <wp:posOffset>287020</wp:posOffset>
            </wp:positionV>
            <wp:extent cx="6331585" cy="4730750"/>
            <wp:effectExtent l="0" t="0" r="0" b="0"/>
            <wp:wrapTight wrapText="bothSides">
              <wp:wrapPolygon edited="0">
                <wp:start x="0" y="0"/>
                <wp:lineTo x="0" y="21484"/>
                <wp:lineTo x="21511" y="21484"/>
                <wp:lineTo x="21511" y="0"/>
                <wp:lineTo x="0" y="0"/>
              </wp:wrapPolygon>
            </wp:wrapTight>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31585" cy="4730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Pr="00C363EE" w:rsidRDefault="00646BCA" w:rsidP="00646BCA">
      <w:pPr>
        <w:tabs>
          <w:tab w:val="left" w:pos="1220"/>
        </w:tabs>
        <w:rPr>
          <w:rFonts w:ascii="BlairMdITC TT-Medium" w:eastAsia="Cambria" w:hAnsi="BlairMdITC TT-Medium" w:cs="Times New Roman"/>
          <w:b/>
          <w:color w:val="FF0080"/>
          <w:sz w:val="28"/>
        </w:rPr>
      </w:pPr>
    </w:p>
    <w:p w:rsidR="00646BCA" w:rsidRPr="00C363EE" w:rsidRDefault="00646BCA" w:rsidP="00646BCA">
      <w:pPr>
        <w:tabs>
          <w:tab w:val="left" w:pos="1220"/>
        </w:tabs>
        <w:rPr>
          <w:rFonts w:ascii="BlairMdITC TT-Medium" w:eastAsia="Cambria" w:hAnsi="BlairMdITC TT-Medium" w:cs="Times New Roman"/>
          <w:b/>
          <w:color w:val="FF0080"/>
          <w:sz w:val="28"/>
        </w:rPr>
      </w:pPr>
    </w:p>
    <w:p w:rsidR="00646BCA" w:rsidRDefault="00646BCA" w:rsidP="00646BCA">
      <w:pPr>
        <w:tabs>
          <w:tab w:val="left" w:pos="1220"/>
        </w:tabs>
        <w:rPr>
          <w:rFonts w:ascii="BlairMdITC TT-Medium" w:eastAsia="Cambria" w:hAnsi="BlairMdITC TT-Medium" w:cs="Times New Roman"/>
          <w:b/>
          <w:color w:val="FF0080"/>
          <w:sz w:val="28"/>
        </w:rPr>
      </w:pPr>
      <w:r w:rsidRPr="00F7690D">
        <w:rPr>
          <w:noProof/>
          <w:lang w:eastAsia="fr-FR"/>
        </w:rPr>
        <w:lastRenderedPageBreak/>
        <w:drawing>
          <wp:anchor distT="0" distB="0" distL="114300" distR="114300" simplePos="0" relativeHeight="251769856" behindDoc="1" locked="0" layoutInCell="1" allowOverlap="1" wp14:anchorId="73446B19" wp14:editId="22CD9D16">
            <wp:simplePos x="0" y="0"/>
            <wp:positionH relativeFrom="margin">
              <wp:align>center</wp:align>
            </wp:positionH>
            <wp:positionV relativeFrom="paragraph">
              <wp:posOffset>0</wp:posOffset>
            </wp:positionV>
            <wp:extent cx="6382385" cy="9258300"/>
            <wp:effectExtent l="0" t="0" r="0" b="0"/>
            <wp:wrapTight wrapText="bothSides">
              <wp:wrapPolygon edited="0">
                <wp:start x="0" y="0"/>
                <wp:lineTo x="0" y="21556"/>
                <wp:lineTo x="21533" y="21556"/>
                <wp:lineTo x="21533" y="0"/>
                <wp:lineTo x="0" y="0"/>
              </wp:wrapPolygon>
            </wp:wrapTight>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82385" cy="925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Pr="008B0661" w:rsidRDefault="00646BCA" w:rsidP="00646BCA">
      <w:pPr>
        <w:tabs>
          <w:tab w:val="left" w:pos="1220"/>
        </w:tabs>
        <w:jc w:val="both"/>
        <w:rPr>
          <w:rFonts w:ascii="Arial" w:hAnsi="Arial" w:cs="Arial"/>
          <w:sz w:val="22"/>
          <w:szCs w:val="22"/>
        </w:rPr>
      </w:pPr>
      <w:r w:rsidRPr="008B0661">
        <w:rPr>
          <w:rFonts w:ascii="Arial" w:hAnsi="Arial" w:cs="Arial"/>
          <w:sz w:val="22"/>
          <w:szCs w:val="22"/>
        </w:rPr>
        <w:lastRenderedPageBreak/>
        <w:t>D’une manière générale, il est constaté une diminution de l’assiette des promouvables pour le corps des adjoints techniques d’accueil, de surveillance et de magasinage (AASM), entre 2012 et 2013, impliquant ainsi la baisse du nombre de promus, soit une perte de 27 postes :</w:t>
      </w:r>
    </w:p>
    <w:p w:rsidR="00646BCA" w:rsidRPr="008B0661" w:rsidRDefault="00646BCA" w:rsidP="00646BCA">
      <w:pPr>
        <w:pStyle w:val="Paragraphedeliste"/>
        <w:numPr>
          <w:ilvl w:val="0"/>
          <w:numId w:val="1"/>
        </w:numPr>
        <w:tabs>
          <w:tab w:val="left" w:pos="1220"/>
        </w:tabs>
        <w:jc w:val="both"/>
        <w:rPr>
          <w:rFonts w:ascii="Arial" w:hAnsi="Arial" w:cs="Arial"/>
          <w:sz w:val="22"/>
          <w:szCs w:val="22"/>
        </w:rPr>
      </w:pPr>
      <w:r w:rsidRPr="008B0661">
        <w:rPr>
          <w:rFonts w:ascii="Arial" w:hAnsi="Arial" w:cs="Arial"/>
          <w:sz w:val="22"/>
          <w:szCs w:val="22"/>
        </w:rPr>
        <w:t>76 postes en 2012 contre 65 postes en 2013, pour le grade des AASM de 1</w:t>
      </w:r>
      <w:r w:rsidRPr="008B0661">
        <w:rPr>
          <w:rFonts w:ascii="Arial" w:hAnsi="Arial" w:cs="Arial"/>
          <w:sz w:val="22"/>
          <w:szCs w:val="22"/>
          <w:vertAlign w:val="superscript"/>
        </w:rPr>
        <w:t>ère</w:t>
      </w:r>
      <w:r w:rsidRPr="008B0661">
        <w:rPr>
          <w:rFonts w:ascii="Arial" w:hAnsi="Arial" w:cs="Arial"/>
          <w:sz w:val="22"/>
          <w:szCs w:val="22"/>
        </w:rPr>
        <w:t xml:space="preserve"> classe entre 2012 et 2013 ;</w:t>
      </w:r>
    </w:p>
    <w:p w:rsidR="00646BCA" w:rsidRPr="008B0661" w:rsidRDefault="00646BCA" w:rsidP="00646BCA">
      <w:pPr>
        <w:pStyle w:val="Paragraphedeliste"/>
        <w:numPr>
          <w:ilvl w:val="0"/>
          <w:numId w:val="1"/>
        </w:numPr>
        <w:tabs>
          <w:tab w:val="left" w:pos="1220"/>
        </w:tabs>
        <w:jc w:val="both"/>
        <w:rPr>
          <w:rFonts w:ascii="Arial" w:hAnsi="Arial" w:cs="Arial"/>
          <w:sz w:val="22"/>
          <w:szCs w:val="22"/>
        </w:rPr>
      </w:pPr>
      <w:r w:rsidRPr="008B0661">
        <w:rPr>
          <w:rFonts w:ascii="Arial" w:hAnsi="Arial" w:cs="Arial"/>
          <w:sz w:val="22"/>
          <w:szCs w:val="22"/>
        </w:rPr>
        <w:t>60 postes en 2012 contre 49 postes en 2013, pour le grade des AASM Principal 2</w:t>
      </w:r>
      <w:r w:rsidRPr="008B0661">
        <w:rPr>
          <w:rFonts w:ascii="Arial" w:hAnsi="Arial" w:cs="Arial"/>
          <w:sz w:val="22"/>
          <w:szCs w:val="22"/>
          <w:vertAlign w:val="superscript"/>
        </w:rPr>
        <w:t>ème</w:t>
      </w:r>
      <w:r w:rsidRPr="008B0661">
        <w:rPr>
          <w:rFonts w:ascii="Arial" w:hAnsi="Arial" w:cs="Arial"/>
          <w:sz w:val="22"/>
          <w:szCs w:val="22"/>
        </w:rPr>
        <w:t xml:space="preserve"> classe ;</w:t>
      </w:r>
    </w:p>
    <w:p w:rsidR="00646BCA" w:rsidRPr="008B0661" w:rsidRDefault="00646BCA" w:rsidP="00646BCA">
      <w:pPr>
        <w:pStyle w:val="Paragraphedeliste"/>
        <w:numPr>
          <w:ilvl w:val="0"/>
          <w:numId w:val="1"/>
        </w:numPr>
        <w:tabs>
          <w:tab w:val="left" w:pos="1220"/>
        </w:tabs>
        <w:jc w:val="both"/>
        <w:rPr>
          <w:rFonts w:ascii="Arial" w:hAnsi="Arial" w:cs="Arial"/>
          <w:sz w:val="22"/>
          <w:szCs w:val="22"/>
        </w:rPr>
      </w:pPr>
      <w:r w:rsidRPr="008B0661">
        <w:rPr>
          <w:rFonts w:ascii="Arial" w:hAnsi="Arial" w:cs="Arial"/>
          <w:sz w:val="22"/>
          <w:szCs w:val="22"/>
        </w:rPr>
        <w:t>33 postes en 2012 contre 28 postes en 2013, pour le grade des AASM de Principal 1</w:t>
      </w:r>
      <w:r w:rsidRPr="008B0661">
        <w:rPr>
          <w:rFonts w:ascii="Arial" w:hAnsi="Arial" w:cs="Arial"/>
          <w:sz w:val="22"/>
          <w:szCs w:val="22"/>
          <w:vertAlign w:val="superscript"/>
        </w:rPr>
        <w:t>ère</w:t>
      </w:r>
      <w:r w:rsidRPr="008B0661">
        <w:rPr>
          <w:rFonts w:ascii="Arial" w:hAnsi="Arial" w:cs="Arial"/>
          <w:sz w:val="22"/>
          <w:szCs w:val="22"/>
        </w:rPr>
        <w:t xml:space="preserve"> classe.</w:t>
      </w:r>
    </w:p>
    <w:p w:rsidR="00646BCA" w:rsidRPr="008B0661" w:rsidRDefault="00646BCA" w:rsidP="00646BCA">
      <w:pPr>
        <w:tabs>
          <w:tab w:val="left" w:pos="1220"/>
        </w:tabs>
        <w:jc w:val="both"/>
        <w:rPr>
          <w:rFonts w:ascii="Arial" w:hAnsi="Arial" w:cs="Arial"/>
          <w:sz w:val="22"/>
          <w:szCs w:val="22"/>
        </w:rPr>
      </w:pPr>
    </w:p>
    <w:p w:rsidR="00646BCA" w:rsidRPr="008B0661" w:rsidRDefault="00646BCA" w:rsidP="00646BCA">
      <w:pPr>
        <w:tabs>
          <w:tab w:val="left" w:pos="1220"/>
        </w:tabs>
        <w:jc w:val="both"/>
        <w:rPr>
          <w:rFonts w:ascii="Arial" w:hAnsi="Arial" w:cs="Arial"/>
          <w:sz w:val="22"/>
          <w:szCs w:val="22"/>
        </w:rPr>
      </w:pPr>
      <w:r w:rsidRPr="008B0661">
        <w:rPr>
          <w:rFonts w:ascii="Arial" w:hAnsi="Arial" w:cs="Arial"/>
          <w:sz w:val="22"/>
          <w:szCs w:val="22"/>
        </w:rPr>
        <w:t>Il est à noter que l’</w:t>
      </w:r>
      <w:r w:rsidRPr="008B0661">
        <w:rPr>
          <w:rStyle w:val="lev"/>
          <w:rFonts w:ascii="Arial" w:hAnsi="Arial" w:cs="Arial"/>
          <w:b w:val="0"/>
          <w:sz w:val="22"/>
          <w:szCs w:val="22"/>
        </w:rPr>
        <w:t xml:space="preserve">arrêté du 8 décembre 2011 fixant les taux de promotion des corps du ministère de la culture et de la communication, pour les années 2012, 2013 et 2014, </w:t>
      </w:r>
      <w:r w:rsidRPr="008B0661">
        <w:rPr>
          <w:rFonts w:ascii="Arial" w:hAnsi="Arial" w:cs="Arial"/>
          <w:sz w:val="22"/>
          <w:szCs w:val="22"/>
        </w:rPr>
        <w:t>prévoyait une baisse du taux de promotion de 22 à 20 %.</w:t>
      </w:r>
    </w:p>
    <w:p w:rsidR="00646BCA" w:rsidRPr="00250F63" w:rsidRDefault="00646BCA" w:rsidP="00646BCA">
      <w:pPr>
        <w:tabs>
          <w:tab w:val="left" w:pos="1220"/>
        </w:tabs>
        <w:rPr>
          <w:color w:val="660000"/>
        </w:rPr>
      </w:pPr>
    </w:p>
    <w:p w:rsidR="00646BCA" w:rsidRDefault="00646BCA" w:rsidP="00646BCA">
      <w:pPr>
        <w:rPr>
          <w:rFonts w:ascii="Florencesans Exp" w:eastAsia="Cambria" w:hAnsi="Florencesans Exp" w:cs="Times New Roman"/>
          <w:b/>
          <w:color w:val="E917DF"/>
          <w:sz w:val="28"/>
        </w:rPr>
      </w:pPr>
      <w:r>
        <w:rPr>
          <w:rFonts w:ascii="Florencesans Exp" w:eastAsia="Cambria" w:hAnsi="Florencesans Exp" w:cs="Times New Roman"/>
          <w:b/>
          <w:color w:val="E917DF"/>
          <w:sz w:val="28"/>
        </w:rPr>
        <w:br w:type="page"/>
      </w:r>
    </w:p>
    <w:p w:rsidR="00D1704E" w:rsidRDefault="00D1704E" w:rsidP="00646BCA">
      <w:pPr>
        <w:tabs>
          <w:tab w:val="left" w:pos="1220"/>
        </w:tabs>
        <w:ind w:left="851" w:hanging="851"/>
        <w:rPr>
          <w:rFonts w:ascii="Florencesans Exp" w:eastAsia="Cambria" w:hAnsi="Florencesans Exp" w:cs="Times New Roman"/>
          <w:b/>
          <w:color w:val="E917DF"/>
          <w:sz w:val="28"/>
        </w:rPr>
      </w:pPr>
    </w:p>
    <w:p w:rsidR="00646BCA" w:rsidRPr="008B5C99" w:rsidRDefault="00646BCA" w:rsidP="00646BCA">
      <w:pPr>
        <w:tabs>
          <w:tab w:val="left" w:pos="1220"/>
        </w:tabs>
        <w:ind w:left="851" w:hanging="851"/>
        <w:rPr>
          <w:rFonts w:ascii="Florencesans Exp" w:eastAsia="Cambria" w:hAnsi="Florencesans Exp" w:cs="Times New Roman"/>
          <w:b/>
          <w:color w:val="E917DF"/>
          <w:sz w:val="28"/>
        </w:rPr>
      </w:pPr>
      <w:r w:rsidRPr="008B5C99">
        <w:rPr>
          <w:rFonts w:ascii="Florencesans Exp" w:eastAsia="Cambria" w:hAnsi="Florencesans Exp" w:cs="Times New Roman"/>
          <w:b/>
          <w:color w:val="E917DF"/>
          <w:sz w:val="28"/>
        </w:rPr>
        <w:t xml:space="preserve">1. </w:t>
      </w:r>
      <w:r>
        <w:rPr>
          <w:rFonts w:ascii="Florencesans Exp" w:eastAsia="Cambria" w:hAnsi="Florencesans Exp" w:cs="Times New Roman"/>
          <w:b/>
          <w:color w:val="E917DF"/>
          <w:sz w:val="28"/>
        </w:rPr>
        <w:t>G</w:t>
      </w:r>
      <w:r w:rsidRPr="008B5C99">
        <w:rPr>
          <w:rFonts w:ascii="Florencesans Exp" w:eastAsia="Cambria" w:hAnsi="Florencesans Exp" w:cs="Times New Roman"/>
          <w:b/>
          <w:color w:val="E917DF"/>
          <w:sz w:val="28"/>
        </w:rPr>
        <w:t xml:space="preserve">. </w:t>
      </w:r>
      <w:r w:rsidRPr="004737E6">
        <w:rPr>
          <w:rFonts w:ascii="Florencesans Exp" w:eastAsia="Cambria" w:hAnsi="Florencesans Exp" w:cs="Times New Roman"/>
          <w:b/>
          <w:color w:val="E917DF"/>
          <w:sz w:val="28"/>
        </w:rPr>
        <w:t xml:space="preserve">PILOTAGE DU SCHEMA D’EMPLOIS </w:t>
      </w:r>
      <w:r w:rsidRPr="004737E6">
        <w:rPr>
          <w:rFonts w:ascii="Florencesans Exp" w:eastAsia="Cambria" w:hAnsi="Florencesans Exp" w:cs="Times New Roman"/>
          <w:b/>
          <w:color w:val="E917DF"/>
          <w:sz w:val="28"/>
        </w:rPr>
        <w:br/>
        <w:t>(DONNEES T2)</w:t>
      </w:r>
    </w:p>
    <w:p w:rsidR="00646BCA" w:rsidRPr="00C363EE" w:rsidRDefault="00646BCA" w:rsidP="00646BCA">
      <w:pPr>
        <w:tabs>
          <w:tab w:val="left" w:pos="1220"/>
        </w:tabs>
        <w:rPr>
          <w:rFonts w:ascii="BlairMdITC TT-Medium" w:eastAsia="Cambria" w:hAnsi="BlairMdITC TT-Medium" w:cs="Times New Roman"/>
          <w:b/>
          <w:color w:val="FF0080"/>
          <w:sz w:val="28"/>
        </w:rPr>
      </w:pPr>
    </w:p>
    <w:p w:rsidR="00646BCA" w:rsidRPr="003D54CF" w:rsidRDefault="00646BCA" w:rsidP="00646BCA">
      <w:pPr>
        <w:tabs>
          <w:tab w:val="left" w:pos="1220"/>
        </w:tabs>
        <w:jc w:val="both"/>
        <w:rPr>
          <w:rFonts w:ascii="Arial" w:eastAsia="Cambria" w:hAnsi="Arial" w:cs="Times New Roman"/>
          <w:color w:val="000000"/>
          <w:sz w:val="22"/>
          <w:szCs w:val="22"/>
        </w:rPr>
      </w:pPr>
      <w:r w:rsidRPr="003D54CF">
        <w:rPr>
          <w:rFonts w:ascii="Arial" w:eastAsia="Cambria" w:hAnsi="Arial" w:cs="Times New Roman"/>
          <w:color w:val="000000"/>
          <w:sz w:val="22"/>
          <w:szCs w:val="22"/>
        </w:rPr>
        <w:t>Dans le cadre de la politique de réduction du nombre de fonctionnaires, les ministères sont confrontés à la maîtrise de leurs effectifs et de leurs dépenses de personnel. Ainsi, les plafonds en emplois fixés en lois de finances sont en diminution chaque année.</w:t>
      </w:r>
    </w:p>
    <w:p w:rsidR="00646BCA" w:rsidRPr="003D54CF" w:rsidRDefault="00646BCA" w:rsidP="00646BCA">
      <w:pPr>
        <w:tabs>
          <w:tab w:val="left" w:pos="1220"/>
        </w:tabs>
        <w:jc w:val="both"/>
        <w:rPr>
          <w:rFonts w:ascii="Arial" w:eastAsia="Cambria" w:hAnsi="Arial" w:cs="Times New Roman"/>
          <w:color w:val="000000"/>
          <w:sz w:val="22"/>
          <w:szCs w:val="22"/>
        </w:rPr>
      </w:pPr>
    </w:p>
    <w:p w:rsidR="00646BCA" w:rsidRPr="003D54CF" w:rsidRDefault="00646BCA" w:rsidP="00646BCA">
      <w:pPr>
        <w:tabs>
          <w:tab w:val="left" w:pos="1220"/>
        </w:tabs>
        <w:jc w:val="both"/>
        <w:rPr>
          <w:rFonts w:ascii="Arial" w:eastAsia="Cambria" w:hAnsi="Arial" w:cs="Times New Roman"/>
          <w:color w:val="000000"/>
          <w:sz w:val="22"/>
          <w:szCs w:val="22"/>
        </w:rPr>
      </w:pPr>
      <w:r w:rsidRPr="003D54CF">
        <w:rPr>
          <w:rFonts w:ascii="Arial" w:eastAsia="Cambria" w:hAnsi="Arial" w:cs="Times New Roman"/>
          <w:color w:val="000000"/>
          <w:sz w:val="22"/>
          <w:szCs w:val="22"/>
        </w:rPr>
        <w:t>Chaque ministère est ainsi tenu par un schéma d’emplois annuel contribuant à cette réduction. Celui-ci retrace les flux entrants et les flux sortants de personnels, dont le solde représente en cible le nombre d’emplois à supprimer au cours de l’année. Ce schéma qui sous-tend le calibrage des crédits de personnel et du plafond d’emplois doit être respecté et en cas de baisse des flux sortants, les flux entrants doivent impérativement être ajustés en conséquence.</w:t>
      </w:r>
    </w:p>
    <w:p w:rsidR="00646BCA" w:rsidRPr="003D54CF" w:rsidRDefault="00646BCA" w:rsidP="00646BCA">
      <w:pPr>
        <w:tabs>
          <w:tab w:val="left" w:pos="1220"/>
        </w:tabs>
        <w:jc w:val="both"/>
        <w:rPr>
          <w:rFonts w:ascii="Arial" w:eastAsia="Cambria" w:hAnsi="Arial" w:cs="Times New Roman"/>
          <w:color w:val="000000"/>
          <w:sz w:val="22"/>
          <w:szCs w:val="22"/>
        </w:rPr>
      </w:pPr>
    </w:p>
    <w:p w:rsidR="00646BCA" w:rsidRPr="003D54CF" w:rsidRDefault="00646BCA" w:rsidP="00646BCA">
      <w:pPr>
        <w:tabs>
          <w:tab w:val="left" w:pos="1220"/>
        </w:tabs>
        <w:jc w:val="both"/>
        <w:rPr>
          <w:rFonts w:ascii="Arial" w:eastAsia="Cambria" w:hAnsi="Arial" w:cs="Times New Roman"/>
          <w:color w:val="000000"/>
          <w:sz w:val="22"/>
          <w:szCs w:val="22"/>
        </w:rPr>
      </w:pPr>
      <w:r w:rsidRPr="003D54CF">
        <w:rPr>
          <w:rFonts w:ascii="Arial" w:eastAsia="Cambria" w:hAnsi="Arial" w:cs="Times New Roman"/>
          <w:color w:val="000000"/>
          <w:sz w:val="22"/>
          <w:szCs w:val="22"/>
        </w:rPr>
        <w:t xml:space="preserve">Les flux affectant les effectifs du ministère se décomposent en entrées et sorties. </w:t>
      </w:r>
    </w:p>
    <w:p w:rsidR="00646BCA" w:rsidRPr="003D54CF" w:rsidRDefault="00646BCA" w:rsidP="00646BCA">
      <w:pPr>
        <w:tabs>
          <w:tab w:val="left" w:pos="1220"/>
        </w:tabs>
        <w:jc w:val="both"/>
        <w:rPr>
          <w:rFonts w:ascii="Arial" w:eastAsia="Cambria" w:hAnsi="Arial" w:cs="Times New Roman"/>
          <w:color w:val="000000"/>
          <w:sz w:val="22"/>
          <w:szCs w:val="22"/>
        </w:rPr>
      </w:pPr>
    </w:p>
    <w:p w:rsidR="00646BCA" w:rsidRPr="003D54CF" w:rsidRDefault="00646BCA" w:rsidP="00646BCA">
      <w:pPr>
        <w:tabs>
          <w:tab w:val="left" w:pos="1220"/>
        </w:tabs>
        <w:jc w:val="both"/>
        <w:rPr>
          <w:rFonts w:ascii="Arial" w:eastAsia="Cambria" w:hAnsi="Arial" w:cs="Times New Roman"/>
          <w:color w:val="000000"/>
          <w:sz w:val="22"/>
          <w:szCs w:val="22"/>
        </w:rPr>
      </w:pPr>
      <w:r w:rsidRPr="003D54CF">
        <w:rPr>
          <w:rFonts w:ascii="Arial" w:eastAsia="Cambria" w:hAnsi="Arial" w:cs="Times New Roman"/>
          <w:color w:val="000000"/>
          <w:sz w:val="22"/>
          <w:szCs w:val="22"/>
        </w:rPr>
        <w:t>Les entrées sont de deux types: entrées externes et retours de situation interruptive.</w:t>
      </w:r>
    </w:p>
    <w:p w:rsidR="00646BCA" w:rsidRPr="003D54CF" w:rsidRDefault="00646BCA" w:rsidP="00646BCA">
      <w:pPr>
        <w:tabs>
          <w:tab w:val="left" w:pos="1220"/>
        </w:tabs>
        <w:jc w:val="both"/>
        <w:rPr>
          <w:rFonts w:ascii="Arial" w:eastAsia="Cambria" w:hAnsi="Arial" w:cs="Times New Roman"/>
          <w:color w:val="000000"/>
          <w:sz w:val="22"/>
          <w:szCs w:val="22"/>
        </w:rPr>
      </w:pPr>
    </w:p>
    <w:p w:rsidR="00646BCA" w:rsidRPr="003D54CF" w:rsidRDefault="00646BCA" w:rsidP="00646BCA">
      <w:pPr>
        <w:tabs>
          <w:tab w:val="left" w:pos="1220"/>
        </w:tabs>
        <w:jc w:val="both"/>
        <w:rPr>
          <w:rFonts w:ascii="Arial" w:eastAsia="Cambria" w:hAnsi="Arial" w:cs="Times New Roman"/>
          <w:color w:val="000000"/>
          <w:sz w:val="22"/>
          <w:szCs w:val="22"/>
        </w:rPr>
      </w:pPr>
      <w:r w:rsidRPr="003D54CF">
        <w:rPr>
          <w:rFonts w:ascii="Arial" w:eastAsia="Cambria" w:hAnsi="Arial" w:cs="Times New Roman"/>
          <w:color w:val="000000"/>
          <w:sz w:val="22"/>
          <w:szCs w:val="22"/>
        </w:rPr>
        <w:t xml:space="preserve">Les entrées externes concernent des agents ne faisant pas partie initialement du ministère. Ces agents l'intègrent suite à un concours, ou par la voie du détachement pour les agents titulaires, ou par contrat pour les agents contractuels, ou en tant que personnes bénéficiant de la reconnaissance travailleur handicapé (RQTH). </w:t>
      </w:r>
    </w:p>
    <w:p w:rsidR="00646BCA" w:rsidRPr="003D54CF" w:rsidRDefault="00646BCA" w:rsidP="00646BCA">
      <w:pPr>
        <w:tabs>
          <w:tab w:val="left" w:pos="1220"/>
        </w:tabs>
        <w:jc w:val="both"/>
        <w:rPr>
          <w:rFonts w:ascii="BlairMdITC TT-Medium" w:eastAsia="Cambria" w:hAnsi="BlairMdITC TT-Medium" w:cs="Times New Roman"/>
          <w:b/>
          <w:color w:val="FF0080"/>
          <w:sz w:val="22"/>
          <w:szCs w:val="22"/>
        </w:rPr>
      </w:pPr>
      <w:r w:rsidRPr="003D54CF">
        <w:rPr>
          <w:rFonts w:ascii="Arial" w:eastAsia="Cambria" w:hAnsi="Arial" w:cs="Times New Roman"/>
          <w:color w:val="000000"/>
          <w:sz w:val="22"/>
          <w:szCs w:val="22"/>
        </w:rPr>
        <w:t>Les entrées par concours renvoient aux lauréats ayant intégré le ministère en année N suite à des concours organisés en année N, mais également en année (N-1). Les entrées par concours regroupent également les emplois réservés.</w:t>
      </w:r>
    </w:p>
    <w:p w:rsidR="00646BCA" w:rsidRPr="003D54CF" w:rsidRDefault="00646BCA" w:rsidP="00646BCA">
      <w:pPr>
        <w:tabs>
          <w:tab w:val="left" w:pos="1220"/>
        </w:tabs>
        <w:jc w:val="both"/>
        <w:rPr>
          <w:rFonts w:ascii="Arial" w:eastAsia="Cambria" w:hAnsi="Arial" w:cs="Arial"/>
          <w:sz w:val="22"/>
          <w:szCs w:val="22"/>
        </w:rPr>
      </w:pPr>
    </w:p>
    <w:p w:rsidR="00646BCA" w:rsidRPr="003D54CF" w:rsidRDefault="00646BCA" w:rsidP="00646BCA">
      <w:pPr>
        <w:tabs>
          <w:tab w:val="left" w:pos="1220"/>
        </w:tabs>
        <w:jc w:val="both"/>
        <w:rPr>
          <w:rFonts w:ascii="Arial" w:eastAsia="Cambria" w:hAnsi="Arial" w:cs="Arial"/>
          <w:sz w:val="22"/>
          <w:szCs w:val="22"/>
        </w:rPr>
      </w:pPr>
      <w:r w:rsidRPr="003D54CF">
        <w:rPr>
          <w:rFonts w:ascii="Arial" w:eastAsia="Cambria" w:hAnsi="Arial" w:cs="Arial"/>
          <w:sz w:val="22"/>
          <w:szCs w:val="22"/>
        </w:rPr>
        <w:t>Les retours de situation interruptive font suite à des congés de longue durée pour maladie, à une mise en disponibilité ou un détachement, à un congé parental ou à une mutation (retour d'affectation du musée du Louvre, de la Bibliothèque Nationale de France ou du ministère de l'Education nationale pour les personnels de la filière bibliothèque).</w:t>
      </w:r>
    </w:p>
    <w:p w:rsidR="00646BCA" w:rsidRPr="003D54CF" w:rsidRDefault="00646BCA" w:rsidP="00646BCA">
      <w:pPr>
        <w:tabs>
          <w:tab w:val="left" w:pos="1220"/>
        </w:tabs>
        <w:jc w:val="both"/>
        <w:rPr>
          <w:rFonts w:ascii="Arial" w:eastAsia="Cambria" w:hAnsi="Arial" w:cs="Arial"/>
          <w:sz w:val="22"/>
          <w:szCs w:val="22"/>
        </w:rPr>
      </w:pPr>
    </w:p>
    <w:p w:rsidR="00646BCA" w:rsidRPr="003D54CF" w:rsidRDefault="00646BCA" w:rsidP="00646BCA">
      <w:pPr>
        <w:tabs>
          <w:tab w:val="left" w:pos="1220"/>
        </w:tabs>
        <w:jc w:val="both"/>
        <w:rPr>
          <w:rFonts w:ascii="Arial" w:eastAsia="Cambria" w:hAnsi="Arial" w:cs="Arial"/>
          <w:sz w:val="22"/>
          <w:szCs w:val="22"/>
        </w:rPr>
      </w:pPr>
      <w:r w:rsidRPr="003D54CF">
        <w:rPr>
          <w:rFonts w:ascii="Arial" w:eastAsia="Cambria" w:hAnsi="Arial" w:cs="Arial"/>
          <w:sz w:val="22"/>
          <w:szCs w:val="22"/>
        </w:rPr>
        <w:t>Les sorties peuvent être définitives ou provisoires selon le motif.</w:t>
      </w:r>
    </w:p>
    <w:p w:rsidR="00646BCA" w:rsidRPr="003D54CF" w:rsidRDefault="00646BCA" w:rsidP="00646BCA">
      <w:pPr>
        <w:tabs>
          <w:tab w:val="left" w:pos="1220"/>
        </w:tabs>
        <w:jc w:val="both"/>
        <w:rPr>
          <w:rFonts w:ascii="Arial" w:eastAsia="Cambria" w:hAnsi="Arial" w:cs="Arial"/>
          <w:sz w:val="22"/>
          <w:szCs w:val="22"/>
        </w:rPr>
      </w:pPr>
    </w:p>
    <w:p w:rsidR="00646BCA" w:rsidRPr="003D54CF" w:rsidRDefault="00646BCA" w:rsidP="00646BCA">
      <w:pPr>
        <w:tabs>
          <w:tab w:val="left" w:pos="1220"/>
        </w:tabs>
        <w:jc w:val="both"/>
        <w:rPr>
          <w:rFonts w:ascii="Arial" w:eastAsia="Cambria" w:hAnsi="Arial" w:cs="Arial"/>
          <w:sz w:val="22"/>
          <w:szCs w:val="22"/>
        </w:rPr>
      </w:pPr>
      <w:r w:rsidRPr="003D54CF">
        <w:rPr>
          <w:rFonts w:ascii="Arial" w:eastAsia="Cambria" w:hAnsi="Arial" w:cs="Arial"/>
          <w:sz w:val="22"/>
          <w:szCs w:val="22"/>
        </w:rPr>
        <w:t>Les sorties définitives concernent les départs à la retraite, les décès, les fins de contrat pour les agents contractuels et un ensemble d'autres motifs, tels que les démissions, les licenciements, l'absence de renouvellement de détachement et la réintégration dans l'administration d'origine, les révocations et les radiations de corps.</w:t>
      </w:r>
    </w:p>
    <w:p w:rsidR="00646BCA" w:rsidRPr="003D54CF" w:rsidRDefault="00646BCA" w:rsidP="00646BCA">
      <w:pPr>
        <w:tabs>
          <w:tab w:val="left" w:pos="1220"/>
        </w:tabs>
        <w:jc w:val="both"/>
        <w:rPr>
          <w:rFonts w:ascii="Arial" w:eastAsia="Cambria" w:hAnsi="Arial" w:cs="Arial"/>
          <w:sz w:val="22"/>
          <w:szCs w:val="22"/>
        </w:rPr>
      </w:pPr>
    </w:p>
    <w:p w:rsidR="00646BCA" w:rsidRPr="003D54CF" w:rsidRDefault="00646BCA" w:rsidP="00646BCA">
      <w:pPr>
        <w:tabs>
          <w:tab w:val="left" w:pos="1220"/>
        </w:tabs>
        <w:jc w:val="both"/>
        <w:rPr>
          <w:rFonts w:ascii="Arial" w:eastAsia="Cambria" w:hAnsi="Arial" w:cs="Arial"/>
          <w:sz w:val="22"/>
          <w:szCs w:val="22"/>
        </w:rPr>
      </w:pPr>
      <w:r w:rsidRPr="003D54CF">
        <w:rPr>
          <w:rFonts w:ascii="Arial" w:eastAsia="Cambria" w:hAnsi="Arial" w:cs="Arial"/>
          <w:sz w:val="22"/>
          <w:szCs w:val="22"/>
        </w:rPr>
        <w:t>Les motifs de sorties provisoires, ou situations interruptives, sont le congé de longue durée ou grave maladie, la mise en disponibilité, le détachement hors du ministère, le congé parental et la mutation (affectation au musée du Louvre, à la Bibliothèque Nationale de France ou au ministère de l'Education nationale pour les personnels de la filière bibliothèques).</w:t>
      </w:r>
    </w:p>
    <w:p w:rsidR="00646BCA" w:rsidRDefault="00646BCA" w:rsidP="00646BCA">
      <w:pPr>
        <w:jc w:val="both"/>
        <w:rPr>
          <w:rFonts w:ascii="BlairMdITC TT-Medium" w:eastAsia="Cambria" w:hAnsi="BlairMdITC TT-Medium" w:cs="Times New Roman"/>
          <w:b/>
          <w:color w:val="FF0080"/>
          <w:sz w:val="28"/>
        </w:rPr>
      </w:pPr>
      <w:r>
        <w:rPr>
          <w:rFonts w:ascii="BlairMdITC TT-Medium" w:eastAsia="Cambria" w:hAnsi="BlairMdITC TT-Medium" w:cs="Times New Roman"/>
          <w:b/>
          <w:color w:val="FF0080"/>
          <w:sz w:val="28"/>
        </w:rPr>
        <w:br w:type="page"/>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8B5C99" w:rsidRDefault="00646BCA" w:rsidP="00646BCA">
      <w:pPr>
        <w:widowControl w:val="0"/>
        <w:autoSpaceDE w:val="0"/>
        <w:autoSpaceDN w:val="0"/>
        <w:adjustRightInd w:val="0"/>
        <w:jc w:val="both"/>
        <w:rPr>
          <w:rFonts w:ascii="Florencesans Exp" w:eastAsia="Cambria" w:hAnsi="Florencesans Exp" w:cs="Times New Roman"/>
        </w:rPr>
      </w:pPr>
      <w:r w:rsidRPr="008B5C99">
        <w:rPr>
          <w:rFonts w:ascii="Florencesans Exp" w:eastAsia="Cambria" w:hAnsi="Florencesans Exp" w:cs="Times New Roman"/>
        </w:rPr>
        <w:t xml:space="preserve">1. </w:t>
      </w:r>
      <w:r>
        <w:rPr>
          <w:rFonts w:ascii="Florencesans Exp" w:eastAsia="Cambria" w:hAnsi="Florencesans Exp" w:cs="Times New Roman"/>
        </w:rPr>
        <w:t>G</w:t>
      </w:r>
      <w:r w:rsidRPr="008B5C99">
        <w:rPr>
          <w:rFonts w:ascii="Florencesans Exp" w:eastAsia="Cambria" w:hAnsi="Florencesans Exp" w:cs="Times New Roman"/>
        </w:rPr>
        <w:t>. 1. LES ENTREES EXTERNES</w:t>
      </w:r>
    </w:p>
    <w:p w:rsidR="00646BCA" w:rsidRDefault="001833F2" w:rsidP="00646BCA">
      <w:pPr>
        <w:tabs>
          <w:tab w:val="left" w:pos="1220"/>
        </w:tabs>
        <w:rPr>
          <w:rFonts w:ascii="BlairMdITC TT-Medium" w:eastAsia="Cambria" w:hAnsi="BlairMdITC TT-Medium" w:cs="Times New Roman"/>
          <w:b/>
          <w:color w:val="FF0080"/>
          <w:sz w:val="28"/>
        </w:rPr>
      </w:pPr>
      <w:r w:rsidRPr="001833F2">
        <w:rPr>
          <w:noProof/>
          <w:lang w:eastAsia="fr-FR"/>
        </w:rPr>
        <w:drawing>
          <wp:inline distT="0" distB="0" distL="0" distR="0">
            <wp:extent cx="5760720" cy="3200400"/>
            <wp:effectExtent l="0" t="0" r="0"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0720" cy="3200400"/>
                    </a:xfrm>
                    <a:prstGeom prst="rect">
                      <a:avLst/>
                    </a:prstGeom>
                    <a:noFill/>
                    <a:ln>
                      <a:noFill/>
                    </a:ln>
                  </pic:spPr>
                </pic:pic>
              </a:graphicData>
            </a:graphic>
          </wp:inline>
        </w:drawing>
      </w:r>
    </w:p>
    <w:p w:rsidR="00646BCA" w:rsidRPr="00C363EE" w:rsidRDefault="00646BCA" w:rsidP="00646BCA">
      <w:pPr>
        <w:tabs>
          <w:tab w:val="left" w:pos="1220"/>
        </w:tabs>
        <w:rPr>
          <w:rFonts w:ascii="BlairMdITC TT-Medium" w:eastAsia="Cambria" w:hAnsi="BlairMdITC TT-Medium" w:cs="Times New Roman"/>
          <w:b/>
          <w:color w:val="FF0080"/>
          <w:sz w:val="28"/>
        </w:rPr>
      </w:pPr>
    </w:p>
    <w:p w:rsidR="00646BCA" w:rsidRPr="003D54CF" w:rsidRDefault="00646BCA" w:rsidP="00646BCA">
      <w:pPr>
        <w:tabs>
          <w:tab w:val="left" w:pos="1220"/>
        </w:tabs>
        <w:jc w:val="both"/>
        <w:rPr>
          <w:rFonts w:ascii="Arial" w:eastAsia="Cambria" w:hAnsi="Arial" w:cs="Times New Roman"/>
          <w:color w:val="000000"/>
          <w:sz w:val="22"/>
          <w:szCs w:val="22"/>
          <w:lang w:eastAsia="fr-FR"/>
        </w:rPr>
      </w:pPr>
      <w:r w:rsidRPr="003D54CF">
        <w:rPr>
          <w:rFonts w:ascii="Arial" w:eastAsia="Cambria" w:hAnsi="Arial" w:cs="Times New Roman"/>
          <w:color w:val="000000"/>
          <w:sz w:val="22"/>
          <w:szCs w:val="22"/>
          <w:lang w:eastAsia="fr-FR"/>
        </w:rPr>
        <w:t xml:space="preserve">La progression du nombre total d'entrées externes est constante depuis 2011. La voie principale de recrutement externe est le recrutement par contrat (38 % des entrées externes). </w:t>
      </w:r>
    </w:p>
    <w:p w:rsidR="00646BCA" w:rsidRPr="003D54CF" w:rsidRDefault="00646BCA" w:rsidP="00646BCA">
      <w:pPr>
        <w:tabs>
          <w:tab w:val="left" w:pos="1220"/>
        </w:tabs>
        <w:jc w:val="both"/>
        <w:rPr>
          <w:rFonts w:ascii="Arial" w:eastAsia="Cambria" w:hAnsi="Arial" w:cs="Times New Roman"/>
          <w:color w:val="000000"/>
          <w:sz w:val="22"/>
          <w:szCs w:val="22"/>
          <w:lang w:eastAsia="fr-FR"/>
        </w:rPr>
      </w:pPr>
    </w:p>
    <w:p w:rsidR="00646BCA" w:rsidRPr="003D54CF" w:rsidRDefault="00646BCA" w:rsidP="00646BCA">
      <w:pPr>
        <w:tabs>
          <w:tab w:val="left" w:pos="1220"/>
        </w:tabs>
        <w:jc w:val="both"/>
        <w:rPr>
          <w:rFonts w:ascii="Arial" w:eastAsia="Cambria" w:hAnsi="Arial" w:cs="Times New Roman"/>
          <w:color w:val="000000"/>
          <w:sz w:val="22"/>
          <w:szCs w:val="22"/>
          <w:lang w:eastAsia="fr-FR"/>
        </w:rPr>
      </w:pPr>
      <w:r w:rsidRPr="003D54CF">
        <w:rPr>
          <w:rFonts w:ascii="Arial" w:eastAsia="Cambria" w:hAnsi="Arial" w:cs="Times New Roman"/>
          <w:color w:val="000000"/>
          <w:sz w:val="22"/>
          <w:szCs w:val="22"/>
          <w:lang w:eastAsia="fr-FR"/>
        </w:rPr>
        <w:t xml:space="preserve">En 2013, 42 % des entrées par contrat concernent la filière technique et enseignement, et plus particulièrement le corps des maîtres assistants associés (MAAS), en lien avec la sanctuarisation de la filière enseignement. En déduisant le nombre de contrats MAAS du volume total, soit un solde de 120 contrats en 2013, la voie principale devient le concours avec 177 entrées, conformément à la volonté politique du ministère. </w:t>
      </w:r>
    </w:p>
    <w:p w:rsidR="00646BCA" w:rsidRPr="003D54CF" w:rsidRDefault="00646BCA" w:rsidP="00646BCA">
      <w:pPr>
        <w:tabs>
          <w:tab w:val="left" w:pos="1220"/>
        </w:tabs>
        <w:jc w:val="both"/>
        <w:rPr>
          <w:rFonts w:ascii="Arial" w:eastAsia="Cambria" w:hAnsi="Arial" w:cs="Times New Roman"/>
          <w:color w:val="000000"/>
          <w:sz w:val="22"/>
          <w:szCs w:val="22"/>
          <w:lang w:eastAsia="fr-FR"/>
        </w:rPr>
      </w:pPr>
    </w:p>
    <w:p w:rsidR="00646BCA" w:rsidRPr="003D54CF" w:rsidRDefault="00646BCA" w:rsidP="00646BCA">
      <w:pPr>
        <w:tabs>
          <w:tab w:val="left" w:pos="1220"/>
        </w:tabs>
        <w:jc w:val="both"/>
        <w:rPr>
          <w:rFonts w:ascii="Arial" w:eastAsia="Cambria" w:hAnsi="Arial" w:cs="Times New Roman"/>
          <w:color w:val="000000"/>
          <w:sz w:val="22"/>
          <w:szCs w:val="22"/>
          <w:lang w:eastAsia="fr-FR"/>
        </w:rPr>
      </w:pPr>
      <w:r w:rsidRPr="003D54CF">
        <w:rPr>
          <w:rFonts w:ascii="Arial" w:eastAsia="Cambria" w:hAnsi="Arial" w:cs="Times New Roman"/>
          <w:color w:val="000000"/>
          <w:sz w:val="22"/>
          <w:szCs w:val="22"/>
          <w:lang w:eastAsia="fr-FR"/>
        </w:rPr>
        <w:t>En 2013, la filière technique et enseignement n'a représenté que 10 % des entrées totales par concours. Ce pourcentage est en diminution, car le ministère n'a pas organisé de concours de professeur et maître assistant en école d'architecture en 2013. Mais, un concours a été ouvert en 2014.</w:t>
      </w:r>
    </w:p>
    <w:p w:rsidR="00646BCA" w:rsidRPr="003D54CF" w:rsidRDefault="00646BCA" w:rsidP="00646BCA">
      <w:pPr>
        <w:tabs>
          <w:tab w:val="left" w:pos="1220"/>
        </w:tabs>
        <w:jc w:val="both"/>
        <w:rPr>
          <w:rFonts w:ascii="Arial" w:eastAsia="Cambria" w:hAnsi="Arial" w:cs="Times New Roman"/>
          <w:color w:val="000000"/>
          <w:sz w:val="22"/>
          <w:szCs w:val="22"/>
          <w:lang w:eastAsia="fr-FR"/>
        </w:rPr>
      </w:pPr>
    </w:p>
    <w:p w:rsidR="00646BCA" w:rsidRPr="003D54CF" w:rsidRDefault="00540D0A" w:rsidP="00646BCA">
      <w:pPr>
        <w:tabs>
          <w:tab w:val="left" w:pos="1220"/>
        </w:tabs>
        <w:jc w:val="both"/>
        <w:rPr>
          <w:rFonts w:ascii="BlairMdITC TT-Medium" w:eastAsia="Cambria" w:hAnsi="BlairMdITC TT-Medium" w:cs="Times New Roman"/>
          <w:sz w:val="22"/>
          <w:szCs w:val="22"/>
        </w:rPr>
      </w:pPr>
      <w:r w:rsidRPr="003D54CF">
        <w:rPr>
          <w:noProof/>
          <w:sz w:val="22"/>
          <w:szCs w:val="22"/>
          <w:lang w:eastAsia="fr-FR"/>
        </w:rPr>
        <w:drawing>
          <wp:anchor distT="0" distB="0" distL="114300" distR="114300" simplePos="0" relativeHeight="251719680" behindDoc="1" locked="0" layoutInCell="1" allowOverlap="1" wp14:anchorId="2A4C1454" wp14:editId="43B49961">
            <wp:simplePos x="0" y="0"/>
            <wp:positionH relativeFrom="margin">
              <wp:posOffset>1036955</wp:posOffset>
            </wp:positionH>
            <wp:positionV relativeFrom="paragraph">
              <wp:posOffset>795020</wp:posOffset>
            </wp:positionV>
            <wp:extent cx="3898900" cy="1727200"/>
            <wp:effectExtent l="0" t="0" r="6350" b="6350"/>
            <wp:wrapTopAndBottom/>
            <wp:docPr id="77" name="Graphique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14:sizeRelV relativeFrom="margin">
              <wp14:pctHeight>0</wp14:pctHeight>
            </wp14:sizeRelV>
          </wp:anchor>
        </w:drawing>
      </w:r>
      <w:r w:rsidR="00646BCA" w:rsidRPr="003D54CF">
        <w:rPr>
          <w:rFonts w:ascii="Arial" w:eastAsia="Cambria" w:hAnsi="Arial" w:cs="Times New Roman"/>
          <w:color w:val="000000"/>
          <w:sz w:val="22"/>
          <w:szCs w:val="22"/>
          <w:lang w:eastAsia="fr-FR"/>
        </w:rPr>
        <w:t>La proportion des entrées par détachement est en constante progression depuis 2011. Les détachements concernant majoritairement la filière administrative.</w:t>
      </w:r>
      <w:r w:rsidRPr="003D54CF">
        <w:rPr>
          <w:rFonts w:ascii="Arial" w:eastAsia="Cambria" w:hAnsi="Arial" w:cs="Times New Roman"/>
          <w:color w:val="000000"/>
          <w:sz w:val="22"/>
          <w:szCs w:val="22"/>
          <w:lang w:eastAsia="fr-FR"/>
        </w:rPr>
        <w:t xml:space="preserve"> </w:t>
      </w:r>
      <w:r w:rsidR="00646BCA" w:rsidRPr="003D54CF">
        <w:rPr>
          <w:rFonts w:ascii="Arial" w:eastAsia="Cambria" w:hAnsi="Arial" w:cs="Times New Roman"/>
          <w:color w:val="000000"/>
          <w:sz w:val="22"/>
          <w:szCs w:val="22"/>
          <w:lang w:eastAsia="fr-FR"/>
        </w:rPr>
        <w:t>Les entrées externes ont concerné principalement la filière administrative (30 %) et la filière technique et enseignement (21 %).</w:t>
      </w:r>
      <w:r w:rsidR="00646BCA" w:rsidRPr="003D54CF">
        <w:rPr>
          <w:rFonts w:ascii="BlairMdITC TT-Medium" w:eastAsia="Cambria" w:hAnsi="BlairMdITC TT-Medium" w:cs="Times New Roman"/>
          <w:sz w:val="22"/>
          <w:szCs w:val="22"/>
        </w:rPr>
        <w:br w:type="page"/>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8B5C99" w:rsidRDefault="00646BCA" w:rsidP="00646BCA">
      <w:pPr>
        <w:widowControl w:val="0"/>
        <w:autoSpaceDE w:val="0"/>
        <w:autoSpaceDN w:val="0"/>
        <w:adjustRightInd w:val="0"/>
        <w:jc w:val="both"/>
        <w:rPr>
          <w:rFonts w:ascii="Florencesans Exp" w:eastAsia="Cambria" w:hAnsi="Florencesans Exp" w:cs="Times New Roman"/>
        </w:rPr>
      </w:pPr>
      <w:r w:rsidRPr="008B5C99">
        <w:rPr>
          <w:rFonts w:ascii="Florencesans Exp" w:eastAsia="Cambria" w:hAnsi="Florencesans Exp" w:cs="Times New Roman"/>
        </w:rPr>
        <w:t xml:space="preserve">1. </w:t>
      </w:r>
      <w:r>
        <w:rPr>
          <w:rFonts w:ascii="Florencesans Exp" w:eastAsia="Cambria" w:hAnsi="Florencesans Exp" w:cs="Times New Roman"/>
        </w:rPr>
        <w:t>G</w:t>
      </w:r>
      <w:r w:rsidRPr="008B5C99">
        <w:rPr>
          <w:rFonts w:ascii="Florencesans Exp" w:eastAsia="Cambria" w:hAnsi="Florencesans Exp" w:cs="Times New Roman"/>
        </w:rPr>
        <w:t>. 2. LES RETOURS DE SITUATION INTERRUPTIVE</w:t>
      </w:r>
    </w:p>
    <w:p w:rsidR="00646BCA" w:rsidRDefault="00646BCA" w:rsidP="00646BCA">
      <w:pPr>
        <w:widowControl w:val="0"/>
        <w:autoSpaceDE w:val="0"/>
        <w:autoSpaceDN w:val="0"/>
        <w:adjustRightInd w:val="0"/>
        <w:jc w:val="both"/>
        <w:rPr>
          <w:rFonts w:ascii="BlairMdITC TT-Medium" w:eastAsia="Cambria" w:hAnsi="BlairMdITC TT-Medium" w:cs="Times New Roman"/>
        </w:rPr>
      </w:pPr>
      <w:r w:rsidRPr="00276DD3">
        <w:rPr>
          <w:noProof/>
          <w:lang w:eastAsia="fr-FR"/>
        </w:rPr>
        <w:drawing>
          <wp:anchor distT="0" distB="0" distL="114300" distR="114300" simplePos="0" relativeHeight="251720704" behindDoc="1" locked="0" layoutInCell="1" allowOverlap="1" wp14:anchorId="34CFC374" wp14:editId="218A0DD0">
            <wp:simplePos x="0" y="0"/>
            <wp:positionH relativeFrom="margin">
              <wp:align>center</wp:align>
            </wp:positionH>
            <wp:positionV relativeFrom="paragraph">
              <wp:posOffset>122555</wp:posOffset>
            </wp:positionV>
            <wp:extent cx="6377333" cy="3829050"/>
            <wp:effectExtent l="0" t="0" r="4445" b="0"/>
            <wp:wrapTight wrapText="bothSides">
              <wp:wrapPolygon edited="0">
                <wp:start x="4388" y="0"/>
                <wp:lineTo x="4388" y="3439"/>
                <wp:lineTo x="0" y="3761"/>
                <wp:lineTo x="0" y="21493"/>
                <wp:lineTo x="21551" y="21493"/>
                <wp:lineTo x="21551" y="16334"/>
                <wp:lineTo x="21163" y="15475"/>
                <wp:lineTo x="21551" y="14937"/>
                <wp:lineTo x="21551" y="12036"/>
                <wp:lineTo x="21099" y="12036"/>
                <wp:lineTo x="21292" y="10316"/>
                <wp:lineTo x="21551" y="9242"/>
                <wp:lineTo x="21551" y="7307"/>
                <wp:lineTo x="21292" y="6878"/>
                <wp:lineTo x="21551" y="5803"/>
                <wp:lineTo x="21551" y="0"/>
                <wp:lineTo x="4388" y="0"/>
              </wp:wrapPolygon>
            </wp:wrapTight>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77333" cy="3829050"/>
                    </a:xfrm>
                    <a:prstGeom prst="rect">
                      <a:avLst/>
                    </a:prstGeom>
                    <a:noFill/>
                    <a:ln>
                      <a:noFill/>
                    </a:ln>
                  </pic:spPr>
                </pic:pic>
              </a:graphicData>
            </a:graphic>
          </wp:anchor>
        </w:drawing>
      </w: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Le volume total de retours de situation interruptive est en légère augmentation sur la période 2011 - 2013.</w:t>
      </w: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 xml:space="preserve">Les retours de situation interruptive se font majoritairement suite à une mise en disponibilité ou un détachement sortant (58 %). Ce motif de retour concerne principalement la filière administrative (44 %) et la filière scientifique (24 %). Le nombre de personnes concernées par une mise en disponibilité ou un détachement a augmenté entre 2011 et 2013. </w:t>
      </w: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Le nombre de retours de congés de longue durée est stable sur la période, il représente 16 % du volume total des retours de situation interruptive de 76 %, en 2013.</w:t>
      </w: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La part des mutations des opérateurs (titre 3) vers le ministère (titre2) dans le volume total des retours de situation interruptive était de 24 % en 2011, elle a diminué à 14 % en 2013. Cette situation est due aux schémas d'emplois négatifs sur ces trois années.</w:t>
      </w:r>
    </w:p>
    <w:p w:rsidR="00646BCA" w:rsidRPr="00540D0A" w:rsidRDefault="00646BCA" w:rsidP="00646BCA">
      <w:pPr>
        <w:widowControl w:val="0"/>
        <w:autoSpaceDE w:val="0"/>
        <w:autoSpaceDN w:val="0"/>
        <w:adjustRightInd w:val="0"/>
        <w:jc w:val="both"/>
        <w:rPr>
          <w:rFonts w:ascii="BlairMdITC TT-Medium" w:eastAsia="Cambria" w:hAnsi="BlairMdITC TT-Medium" w:cs="Times New Roman"/>
          <w:sz w:val="22"/>
          <w:szCs w:val="22"/>
        </w:rPr>
      </w:pPr>
      <w:r w:rsidRPr="00540D0A">
        <w:rPr>
          <w:noProof/>
          <w:sz w:val="22"/>
          <w:szCs w:val="22"/>
          <w:lang w:eastAsia="fr-FR"/>
        </w:rPr>
        <w:drawing>
          <wp:anchor distT="0" distB="0" distL="114300" distR="114300" simplePos="0" relativeHeight="251721728" behindDoc="0" locked="0" layoutInCell="1" allowOverlap="1" wp14:anchorId="4840A1C7" wp14:editId="728B387D">
            <wp:simplePos x="0" y="0"/>
            <wp:positionH relativeFrom="margin">
              <wp:align>center</wp:align>
            </wp:positionH>
            <wp:positionV relativeFrom="paragraph">
              <wp:posOffset>179705</wp:posOffset>
            </wp:positionV>
            <wp:extent cx="5035550" cy="2012950"/>
            <wp:effectExtent l="0" t="0" r="0" b="6350"/>
            <wp:wrapTopAndBottom/>
            <wp:docPr id="82" name="Graphique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anchor>
        </w:drawing>
      </w: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r w:rsidRPr="008B5C99">
        <w:rPr>
          <w:rFonts w:ascii="Florencesans Exp" w:eastAsia="Cambria" w:hAnsi="Florencesans Exp" w:cs="Times New Roman"/>
        </w:rPr>
        <w:t xml:space="preserve">1. </w:t>
      </w:r>
      <w:r>
        <w:rPr>
          <w:rFonts w:ascii="Florencesans Exp" w:eastAsia="Cambria" w:hAnsi="Florencesans Exp" w:cs="Times New Roman"/>
        </w:rPr>
        <w:t>G</w:t>
      </w:r>
      <w:r w:rsidRPr="008B5C99">
        <w:rPr>
          <w:rFonts w:ascii="Florencesans Exp" w:eastAsia="Cambria" w:hAnsi="Florencesans Exp" w:cs="Times New Roman"/>
        </w:rPr>
        <w:t>. 3. LES SORTIES DEFINITIVES DES EFFECTIFS</w:t>
      </w:r>
    </w:p>
    <w:p w:rsidR="00646BCA" w:rsidRDefault="00646BCA" w:rsidP="00646BCA">
      <w:pPr>
        <w:widowControl w:val="0"/>
        <w:autoSpaceDE w:val="0"/>
        <w:autoSpaceDN w:val="0"/>
        <w:adjustRightInd w:val="0"/>
        <w:jc w:val="both"/>
        <w:rPr>
          <w:rFonts w:ascii="BlairMdITC TT-Medium" w:eastAsia="Cambria" w:hAnsi="BlairMdITC TT-Medium" w:cs="Times New Roman"/>
        </w:rPr>
      </w:pPr>
      <w:r w:rsidRPr="00284A83">
        <w:rPr>
          <w:noProof/>
          <w:lang w:eastAsia="fr-FR"/>
        </w:rPr>
        <w:drawing>
          <wp:anchor distT="0" distB="0" distL="114300" distR="114300" simplePos="0" relativeHeight="251722752" behindDoc="1" locked="0" layoutInCell="1" allowOverlap="1" wp14:anchorId="62031483" wp14:editId="2B36BE3B">
            <wp:simplePos x="0" y="0"/>
            <wp:positionH relativeFrom="margin">
              <wp:align>center</wp:align>
            </wp:positionH>
            <wp:positionV relativeFrom="paragraph">
              <wp:posOffset>180340</wp:posOffset>
            </wp:positionV>
            <wp:extent cx="6884035" cy="4074160"/>
            <wp:effectExtent l="0" t="0" r="0" b="2540"/>
            <wp:wrapTight wrapText="bothSides">
              <wp:wrapPolygon edited="0">
                <wp:start x="4722" y="0"/>
                <wp:lineTo x="4722" y="1616"/>
                <wp:lineTo x="0" y="2828"/>
                <wp:lineTo x="0" y="21512"/>
                <wp:lineTo x="418" y="21512"/>
                <wp:lineTo x="1255" y="21411"/>
                <wp:lineTo x="10759" y="21007"/>
                <wp:lineTo x="21518" y="20906"/>
                <wp:lineTo x="21518" y="9696"/>
                <wp:lineTo x="21100" y="9696"/>
                <wp:lineTo x="21518" y="9090"/>
                <wp:lineTo x="21518" y="7070"/>
                <wp:lineTo x="21100" y="6464"/>
                <wp:lineTo x="21518" y="6464"/>
                <wp:lineTo x="21518" y="4848"/>
                <wp:lineTo x="21100" y="4848"/>
                <wp:lineTo x="21518" y="4242"/>
                <wp:lineTo x="21518" y="0"/>
                <wp:lineTo x="4722" y="0"/>
              </wp:wrapPolygon>
            </wp:wrapTight>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884035" cy="407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sz w:val="18"/>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Le nombre de sorties définitives a augmenté de 11 % entre 2011 et 2013.</w:t>
      </w:r>
    </w:p>
    <w:p w:rsidR="00646BCA" w:rsidRPr="00540D0A" w:rsidRDefault="00646BCA" w:rsidP="00646BCA">
      <w:pPr>
        <w:widowControl w:val="0"/>
        <w:autoSpaceDE w:val="0"/>
        <w:autoSpaceDN w:val="0"/>
        <w:adjustRightInd w:val="0"/>
        <w:jc w:val="both"/>
        <w:rPr>
          <w:rFonts w:ascii="Arial" w:eastAsia="Cambria" w:hAnsi="Arial" w:cs="Times New Roman"/>
          <w:color w:val="000000"/>
          <w:sz w:val="16"/>
          <w:szCs w:val="16"/>
          <w:lang w:eastAsia="fr-FR"/>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Les sorties définitives des effectifs du ministère sont essentiellement dues à des départs en retraite (64 %), dont le nombre a augmenté de façon importante dans la filière scientifique (plus 48 % entre 2011 et 2013). Néanmoins, avant 2013, le vieillissement de la population concernait essentiellement la filière technique et enseignement.</w:t>
      </w:r>
    </w:p>
    <w:p w:rsidR="00646BCA" w:rsidRPr="00540D0A" w:rsidRDefault="00646BCA" w:rsidP="00646BCA">
      <w:pPr>
        <w:widowControl w:val="0"/>
        <w:autoSpaceDE w:val="0"/>
        <w:autoSpaceDN w:val="0"/>
        <w:adjustRightInd w:val="0"/>
        <w:jc w:val="both"/>
        <w:rPr>
          <w:rFonts w:ascii="Arial" w:eastAsia="Cambria" w:hAnsi="Arial" w:cs="Times New Roman"/>
          <w:color w:val="000000"/>
          <w:sz w:val="16"/>
          <w:szCs w:val="16"/>
          <w:lang w:eastAsia="fr-FR"/>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La part des sorties pour fin de contrat, dans le volume total des sorties définitives, augmente légèrement entre 2011 et 2013, pour passer de 14 % à 19 %. Cependant, le nombre de fins de contrat dans la filière technique et enseignement a plus que doublé entre 2011 et 2013. Cela est dû à un nombre important de renouvellements de contrats de maîtres assistants associés. Cependant, le nombre de fins de contrat concernant les autres agents contractuels est en diminution.</w:t>
      </w:r>
    </w:p>
    <w:p w:rsidR="00646BCA" w:rsidRPr="00540D0A" w:rsidRDefault="00646BCA" w:rsidP="00646BCA">
      <w:pPr>
        <w:widowControl w:val="0"/>
        <w:autoSpaceDE w:val="0"/>
        <w:autoSpaceDN w:val="0"/>
        <w:adjustRightInd w:val="0"/>
        <w:jc w:val="both"/>
        <w:rPr>
          <w:rFonts w:ascii="Arial" w:eastAsia="Cambria" w:hAnsi="Arial" w:cs="Times New Roman"/>
          <w:color w:val="000000"/>
          <w:sz w:val="16"/>
          <w:szCs w:val="16"/>
          <w:lang w:eastAsia="fr-FR"/>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La filière technique et enseignement reste la filière ayant le plus contribué aux sorties définitives sur la période 2011-2013 (environ 30%).</w:t>
      </w:r>
    </w:p>
    <w:p w:rsidR="00646BCA" w:rsidRPr="00C363EE" w:rsidRDefault="00646BCA" w:rsidP="00646BCA">
      <w:pPr>
        <w:widowControl w:val="0"/>
        <w:autoSpaceDE w:val="0"/>
        <w:autoSpaceDN w:val="0"/>
        <w:adjustRightInd w:val="0"/>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noProof/>
          <w:lang w:eastAsia="fr-FR"/>
        </w:rPr>
        <w:drawing>
          <wp:anchor distT="0" distB="0" distL="114300" distR="114300" simplePos="0" relativeHeight="251723776" behindDoc="1" locked="0" layoutInCell="1" allowOverlap="1" wp14:anchorId="6E2CB2B3" wp14:editId="43D071FE">
            <wp:simplePos x="0" y="0"/>
            <wp:positionH relativeFrom="margin">
              <wp:align>center</wp:align>
            </wp:positionH>
            <wp:positionV relativeFrom="paragraph">
              <wp:posOffset>-127000</wp:posOffset>
            </wp:positionV>
            <wp:extent cx="3783965" cy="1796415"/>
            <wp:effectExtent l="0" t="0" r="6985"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83965" cy="1796415"/>
                    </a:xfrm>
                    <a:prstGeom prst="rect">
                      <a:avLst/>
                    </a:prstGeom>
                    <a:noFill/>
                  </pic:spPr>
                </pic:pic>
              </a:graphicData>
            </a:graphic>
            <wp14:sizeRelH relativeFrom="margin">
              <wp14:pctWidth>0</wp14:pctWidth>
            </wp14:sizeRelH>
            <wp14:sizeRelV relativeFrom="margin">
              <wp14:pctHeight>0</wp14:pctHeight>
            </wp14:sizeRelV>
          </wp:anchor>
        </w:drawing>
      </w:r>
      <w:r>
        <w:rPr>
          <w:rFonts w:ascii="BlairMdITC TT-Medium" w:eastAsia="Cambria" w:hAnsi="BlairMdITC TT-Medium" w:cs="Times New Roman"/>
        </w:rPr>
        <w:br w:type="page"/>
      </w: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Arial" w:eastAsia="Cambria" w:hAnsi="Arial" w:cs="Arial"/>
          <w:b/>
        </w:rPr>
      </w:pPr>
      <w:r w:rsidRPr="00B57B3D">
        <w:rPr>
          <w:rFonts w:ascii="Arial" w:eastAsia="Cambria" w:hAnsi="Arial" w:cs="Arial"/>
          <w:b/>
        </w:rPr>
        <w:t>Les sorties définitives des effectifs pour autres motifs</w:t>
      </w:r>
    </w:p>
    <w:p w:rsidR="00646BCA" w:rsidRDefault="00646BCA" w:rsidP="00646BCA">
      <w:pPr>
        <w:widowControl w:val="0"/>
        <w:autoSpaceDE w:val="0"/>
        <w:autoSpaceDN w:val="0"/>
        <w:adjustRightInd w:val="0"/>
        <w:jc w:val="both"/>
        <w:rPr>
          <w:rFonts w:ascii="Arial" w:eastAsia="Cambria" w:hAnsi="Arial" w:cs="Arial"/>
        </w:rPr>
      </w:pPr>
      <w:r w:rsidRPr="00B57B3D">
        <w:rPr>
          <w:noProof/>
          <w:lang w:eastAsia="fr-FR"/>
        </w:rPr>
        <w:drawing>
          <wp:anchor distT="0" distB="0" distL="114300" distR="114300" simplePos="0" relativeHeight="251724800" behindDoc="1" locked="0" layoutInCell="1" allowOverlap="1" wp14:anchorId="2EB1E595" wp14:editId="79C14377">
            <wp:simplePos x="0" y="0"/>
            <wp:positionH relativeFrom="margin">
              <wp:align>center</wp:align>
            </wp:positionH>
            <wp:positionV relativeFrom="paragraph">
              <wp:posOffset>196215</wp:posOffset>
            </wp:positionV>
            <wp:extent cx="6422390" cy="4216400"/>
            <wp:effectExtent l="0" t="0" r="0" b="0"/>
            <wp:wrapTight wrapText="bothSides">
              <wp:wrapPolygon edited="0">
                <wp:start x="4357" y="0"/>
                <wp:lineTo x="4357" y="3123"/>
                <wp:lineTo x="0" y="4001"/>
                <wp:lineTo x="0" y="21470"/>
                <wp:lineTo x="21527" y="21470"/>
                <wp:lineTo x="21527" y="18835"/>
                <wp:lineTo x="21463" y="18737"/>
                <wp:lineTo x="21207" y="18737"/>
                <wp:lineTo x="21527" y="18249"/>
                <wp:lineTo x="21527" y="16200"/>
                <wp:lineTo x="21207" y="15712"/>
                <wp:lineTo x="21463" y="15614"/>
                <wp:lineTo x="21527" y="15517"/>
                <wp:lineTo x="21527" y="11028"/>
                <wp:lineTo x="21143" y="10930"/>
                <wp:lineTo x="21527" y="10442"/>
                <wp:lineTo x="21527" y="6636"/>
                <wp:lineTo x="21207" y="6246"/>
                <wp:lineTo x="21463" y="6246"/>
                <wp:lineTo x="21527" y="5855"/>
                <wp:lineTo x="21527" y="0"/>
                <wp:lineTo x="4357" y="0"/>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22390" cy="421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both"/>
        <w:rPr>
          <w:rFonts w:ascii="Arial" w:eastAsia="Cambria" w:hAnsi="Arial" w:cs="Arial"/>
        </w:rPr>
      </w:pPr>
    </w:p>
    <w:p w:rsidR="00646BCA" w:rsidRDefault="00646BCA" w:rsidP="00646BCA">
      <w:pPr>
        <w:widowControl w:val="0"/>
        <w:autoSpaceDE w:val="0"/>
        <w:autoSpaceDN w:val="0"/>
        <w:adjustRightInd w:val="0"/>
        <w:jc w:val="both"/>
        <w:rPr>
          <w:rFonts w:ascii="Arial" w:eastAsia="Cambria" w:hAnsi="Arial" w:cs="Arial"/>
        </w:rPr>
      </w:pPr>
    </w:p>
    <w:p w:rsidR="00646BCA" w:rsidRDefault="00646BCA" w:rsidP="00646BCA">
      <w:pPr>
        <w:widowControl w:val="0"/>
        <w:autoSpaceDE w:val="0"/>
        <w:autoSpaceDN w:val="0"/>
        <w:adjustRightInd w:val="0"/>
        <w:jc w:val="both"/>
        <w:rPr>
          <w:rFonts w:ascii="Arial" w:eastAsia="Cambria" w:hAnsi="Arial" w:cs="Arial"/>
        </w:rPr>
      </w:pPr>
    </w:p>
    <w:p w:rsidR="00646BCA" w:rsidRDefault="00646BCA" w:rsidP="00646BCA">
      <w:pPr>
        <w:widowControl w:val="0"/>
        <w:autoSpaceDE w:val="0"/>
        <w:autoSpaceDN w:val="0"/>
        <w:adjustRightInd w:val="0"/>
        <w:jc w:val="both"/>
        <w:rPr>
          <w:rFonts w:ascii="Arial" w:eastAsia="Cambria" w:hAnsi="Arial" w:cs="Arial"/>
        </w:rPr>
      </w:pPr>
    </w:p>
    <w:p w:rsidR="00646BCA" w:rsidRDefault="00646BCA" w:rsidP="00646BCA">
      <w:pPr>
        <w:widowControl w:val="0"/>
        <w:autoSpaceDE w:val="0"/>
        <w:autoSpaceDN w:val="0"/>
        <w:adjustRightInd w:val="0"/>
        <w:jc w:val="both"/>
        <w:rPr>
          <w:rFonts w:ascii="Arial" w:eastAsia="Cambria" w:hAnsi="Arial" w:cs="Arial"/>
        </w:rPr>
      </w:pPr>
    </w:p>
    <w:p w:rsidR="00646BCA" w:rsidRDefault="00646BCA" w:rsidP="00646BCA">
      <w:pPr>
        <w:widowControl w:val="0"/>
        <w:autoSpaceDE w:val="0"/>
        <w:autoSpaceDN w:val="0"/>
        <w:adjustRightInd w:val="0"/>
        <w:jc w:val="both"/>
        <w:rPr>
          <w:rFonts w:ascii="Arial" w:eastAsia="Cambria" w:hAnsi="Arial" w:cs="Arial"/>
        </w:rPr>
      </w:pPr>
    </w:p>
    <w:p w:rsidR="00646BCA" w:rsidRDefault="00646BCA" w:rsidP="00646BCA">
      <w:pPr>
        <w:widowControl w:val="0"/>
        <w:autoSpaceDE w:val="0"/>
        <w:autoSpaceDN w:val="0"/>
        <w:adjustRightInd w:val="0"/>
        <w:jc w:val="both"/>
        <w:rPr>
          <w:rFonts w:ascii="Arial" w:eastAsia="Cambria" w:hAnsi="Arial" w:cs="Arial"/>
        </w:rPr>
      </w:pPr>
      <w:r>
        <w:rPr>
          <w:noProof/>
          <w:lang w:eastAsia="fr-FR"/>
        </w:rPr>
        <w:drawing>
          <wp:anchor distT="0" distB="0" distL="114300" distR="114300" simplePos="0" relativeHeight="251725824" behindDoc="1" locked="0" layoutInCell="1" allowOverlap="1" wp14:anchorId="0646313B" wp14:editId="4DDB67CB">
            <wp:simplePos x="0" y="0"/>
            <wp:positionH relativeFrom="margin">
              <wp:align>center</wp:align>
            </wp:positionH>
            <wp:positionV relativeFrom="paragraph">
              <wp:posOffset>3810</wp:posOffset>
            </wp:positionV>
            <wp:extent cx="4572000" cy="2743200"/>
            <wp:effectExtent l="0" t="0" r="0" b="0"/>
            <wp:wrapTight wrapText="bothSides">
              <wp:wrapPolygon edited="0">
                <wp:start x="0" y="0"/>
                <wp:lineTo x="0" y="21450"/>
                <wp:lineTo x="21510" y="21450"/>
                <wp:lineTo x="21510" y="0"/>
                <wp:lineTo x="0" y="0"/>
              </wp:wrapPolygon>
            </wp:wrapTight>
            <wp:docPr id="47" name="Graphique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anchor>
        </w:drawing>
      </w:r>
    </w:p>
    <w:p w:rsidR="00646BCA" w:rsidRPr="00B57B3D" w:rsidRDefault="00646BCA" w:rsidP="00646BCA">
      <w:pPr>
        <w:widowControl w:val="0"/>
        <w:autoSpaceDE w:val="0"/>
        <w:autoSpaceDN w:val="0"/>
        <w:adjustRightInd w:val="0"/>
        <w:jc w:val="both"/>
        <w:rPr>
          <w:rFonts w:ascii="Arial" w:eastAsia="Cambria" w:hAnsi="Arial" w:cs="Arial"/>
        </w:rPr>
      </w:pPr>
    </w:p>
    <w:p w:rsidR="00646BCA" w:rsidRPr="00B57B3D" w:rsidRDefault="00646BCA" w:rsidP="00646BCA">
      <w:pPr>
        <w:widowControl w:val="0"/>
        <w:autoSpaceDE w:val="0"/>
        <w:autoSpaceDN w:val="0"/>
        <w:adjustRightInd w:val="0"/>
        <w:jc w:val="both"/>
        <w:rPr>
          <w:rFonts w:ascii="Arial" w:eastAsia="Cambria" w:hAnsi="Arial" w:cs="Arial"/>
        </w:rPr>
      </w:pP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8B5C99" w:rsidRDefault="00646BCA" w:rsidP="00646BCA">
      <w:pPr>
        <w:widowControl w:val="0"/>
        <w:autoSpaceDE w:val="0"/>
        <w:autoSpaceDN w:val="0"/>
        <w:adjustRightInd w:val="0"/>
        <w:jc w:val="both"/>
        <w:rPr>
          <w:rFonts w:ascii="Florencesans Exp" w:eastAsia="Cambria" w:hAnsi="Florencesans Exp" w:cs="Times New Roman"/>
        </w:rPr>
      </w:pPr>
      <w:r w:rsidRPr="008B5C99">
        <w:rPr>
          <w:rFonts w:ascii="Florencesans Exp" w:eastAsia="Cambria" w:hAnsi="Florencesans Exp" w:cs="Times New Roman"/>
        </w:rPr>
        <w:t xml:space="preserve">1. </w:t>
      </w:r>
      <w:r>
        <w:rPr>
          <w:rFonts w:ascii="Florencesans Exp" w:eastAsia="Cambria" w:hAnsi="Florencesans Exp" w:cs="Times New Roman"/>
        </w:rPr>
        <w:t>G</w:t>
      </w:r>
      <w:r w:rsidRPr="008B5C99">
        <w:rPr>
          <w:rFonts w:ascii="Florencesans Exp" w:eastAsia="Cambria" w:hAnsi="Florencesans Exp" w:cs="Times New Roman"/>
        </w:rPr>
        <w:t>. 4. LES SITUATIONS INTERRUPTIVES</w:t>
      </w:r>
    </w:p>
    <w:p w:rsidR="00646BCA" w:rsidRDefault="00646BCA" w:rsidP="00646BCA">
      <w:pPr>
        <w:widowControl w:val="0"/>
        <w:autoSpaceDE w:val="0"/>
        <w:autoSpaceDN w:val="0"/>
        <w:adjustRightInd w:val="0"/>
        <w:jc w:val="both"/>
        <w:rPr>
          <w:rFonts w:ascii="BlairMdITC TT-Medium" w:eastAsia="Cambria" w:hAnsi="BlairMdITC TT-Medium" w:cs="Times New Roman"/>
        </w:rPr>
      </w:pPr>
      <w:r w:rsidRPr="00231FC2">
        <w:rPr>
          <w:noProof/>
          <w:lang w:eastAsia="fr-FR"/>
        </w:rPr>
        <w:drawing>
          <wp:anchor distT="0" distB="0" distL="114300" distR="114300" simplePos="0" relativeHeight="251726848" behindDoc="1" locked="0" layoutInCell="1" allowOverlap="1" wp14:anchorId="7529BBE5" wp14:editId="5D1A48A2">
            <wp:simplePos x="0" y="0"/>
            <wp:positionH relativeFrom="margin">
              <wp:align>center</wp:align>
            </wp:positionH>
            <wp:positionV relativeFrom="paragraph">
              <wp:posOffset>92710</wp:posOffset>
            </wp:positionV>
            <wp:extent cx="6236335" cy="4284980"/>
            <wp:effectExtent l="0" t="0" r="0" b="1270"/>
            <wp:wrapTight wrapText="bothSides">
              <wp:wrapPolygon edited="0">
                <wp:start x="4553" y="0"/>
                <wp:lineTo x="4553" y="3073"/>
                <wp:lineTo x="0" y="3361"/>
                <wp:lineTo x="0" y="21510"/>
                <wp:lineTo x="21510" y="21510"/>
                <wp:lineTo x="21510" y="19110"/>
                <wp:lineTo x="21180" y="18437"/>
                <wp:lineTo x="21510" y="18149"/>
                <wp:lineTo x="21510" y="16901"/>
                <wp:lineTo x="20454" y="16901"/>
                <wp:lineTo x="21444" y="16325"/>
                <wp:lineTo x="21510" y="16037"/>
                <wp:lineTo x="21180" y="15365"/>
                <wp:lineTo x="21444" y="15365"/>
                <wp:lineTo x="21510" y="14980"/>
                <wp:lineTo x="21510" y="12484"/>
                <wp:lineTo x="21444" y="12388"/>
                <wp:lineTo x="20454" y="12292"/>
                <wp:lineTo x="21510" y="11619"/>
                <wp:lineTo x="21510" y="7970"/>
                <wp:lineTo x="21444" y="7874"/>
                <wp:lineTo x="21048" y="7682"/>
                <wp:lineTo x="21510" y="7010"/>
                <wp:lineTo x="21510" y="0"/>
                <wp:lineTo x="4553" y="0"/>
              </wp:wrapPolygon>
            </wp:wrapTight>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236335" cy="4284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231FC2" w:rsidRDefault="00646BCA" w:rsidP="00646BCA">
      <w:pPr>
        <w:widowControl w:val="0"/>
        <w:autoSpaceDE w:val="0"/>
        <w:autoSpaceDN w:val="0"/>
        <w:adjustRightInd w:val="0"/>
        <w:jc w:val="both"/>
        <w:rPr>
          <w:rFonts w:ascii="BlairMdITC TT-Medium" w:eastAsia="Cambria" w:hAnsi="BlairMdITC TT-Medium" w:cs="Times New Roman"/>
          <w:sz w:val="12"/>
          <w:szCs w:val="12"/>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 xml:space="preserve">Le nombre total des sorties interruptives est stable entre 2011 et 2013. </w:t>
      </w:r>
    </w:p>
    <w:p w:rsidR="00646BCA" w:rsidRPr="00540D0A" w:rsidRDefault="00646BCA" w:rsidP="00646BCA">
      <w:pPr>
        <w:widowControl w:val="0"/>
        <w:autoSpaceDE w:val="0"/>
        <w:autoSpaceDN w:val="0"/>
        <w:adjustRightInd w:val="0"/>
        <w:jc w:val="both"/>
        <w:rPr>
          <w:rFonts w:ascii="Arial" w:eastAsia="Cambria" w:hAnsi="Arial" w:cs="Times New Roman"/>
          <w:color w:val="000000"/>
          <w:sz w:val="12"/>
          <w:szCs w:val="12"/>
          <w:lang w:eastAsia="fr-FR"/>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Les principaux motifs générateurs des sorties interruptives sont la disponibilité et le détachement sortant (73 % du total). Cette proportion augmente considérablement sur la période 2011-2013, passant de 59 % à 73 %. Il concerne principalement la filière administrative (48 % des cas).</w:t>
      </w:r>
    </w:p>
    <w:p w:rsidR="00646BCA" w:rsidRPr="00540D0A" w:rsidRDefault="00646BCA" w:rsidP="00646BCA">
      <w:pPr>
        <w:widowControl w:val="0"/>
        <w:autoSpaceDE w:val="0"/>
        <w:autoSpaceDN w:val="0"/>
        <w:adjustRightInd w:val="0"/>
        <w:jc w:val="both"/>
        <w:rPr>
          <w:rFonts w:ascii="Arial" w:eastAsia="Cambria" w:hAnsi="Arial" w:cs="Times New Roman"/>
          <w:color w:val="000000"/>
          <w:sz w:val="16"/>
          <w:szCs w:val="16"/>
          <w:lang w:eastAsia="fr-FR"/>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lang w:eastAsia="fr-FR"/>
        </w:rPr>
      </w:pPr>
      <w:r w:rsidRPr="00540D0A">
        <w:rPr>
          <w:rFonts w:ascii="Arial" w:eastAsia="Cambria" w:hAnsi="Arial" w:cs="Times New Roman"/>
          <w:color w:val="000000"/>
          <w:sz w:val="22"/>
          <w:szCs w:val="22"/>
          <w:lang w:eastAsia="fr-FR"/>
        </w:rPr>
        <w:t>Après avoir augmenté en 2012 et représenté 17 % des situations interruptives totales, les sorties pour congés de longue durée sont en diminution de 38 % entre 2012 et 2013. Ils représentent 12 % du total. Ils concernent la filière surveillance dans la moitié des cas.</w:t>
      </w:r>
    </w:p>
    <w:p w:rsidR="00646BCA" w:rsidRPr="00540D0A" w:rsidRDefault="00646BCA" w:rsidP="00646BCA">
      <w:pPr>
        <w:widowControl w:val="0"/>
        <w:autoSpaceDE w:val="0"/>
        <w:autoSpaceDN w:val="0"/>
        <w:adjustRightInd w:val="0"/>
        <w:jc w:val="both"/>
        <w:rPr>
          <w:rFonts w:ascii="Arial" w:eastAsia="Cambria" w:hAnsi="Arial" w:cs="Times New Roman"/>
          <w:color w:val="000000"/>
          <w:sz w:val="16"/>
          <w:szCs w:val="16"/>
          <w:lang w:eastAsia="fr-FR"/>
        </w:rPr>
      </w:pP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color w:val="000000"/>
          <w:sz w:val="22"/>
          <w:szCs w:val="22"/>
          <w:lang w:eastAsia="fr-FR"/>
        </w:rPr>
        <w:t>La part des mutations vers les opérateurs est en diminution (7 % du total) et 58 % des mutations sont réalisées par la filière scientifique. Cette diminution est à rapprocher de la difficulté à revenir ensuite sur le titre 2, en raison des schémas d'emplois négatifs.</w:t>
      </w:r>
    </w:p>
    <w:p w:rsidR="00646BCA" w:rsidRPr="005D588E" w:rsidRDefault="00646BCA" w:rsidP="00646BCA">
      <w:pPr>
        <w:widowControl w:val="0"/>
        <w:autoSpaceDE w:val="0"/>
        <w:autoSpaceDN w:val="0"/>
        <w:adjustRightInd w:val="0"/>
        <w:jc w:val="both"/>
        <w:rPr>
          <w:rFonts w:ascii="BlairMdITC TT-Medium" w:eastAsia="Cambria" w:hAnsi="BlairMdITC TT-Medium" w:cs="Times New Roman"/>
          <w:sz w:val="12"/>
          <w:szCs w:val="12"/>
        </w:rPr>
      </w:pPr>
      <w:r>
        <w:rPr>
          <w:noProof/>
          <w:lang w:eastAsia="fr-FR"/>
        </w:rPr>
        <w:drawing>
          <wp:anchor distT="0" distB="0" distL="114300" distR="114300" simplePos="0" relativeHeight="251727872" behindDoc="1" locked="0" layoutInCell="1" allowOverlap="1" wp14:anchorId="54616636" wp14:editId="379B0D05">
            <wp:simplePos x="0" y="0"/>
            <wp:positionH relativeFrom="margin">
              <wp:posOffset>484505</wp:posOffset>
            </wp:positionH>
            <wp:positionV relativeFrom="paragraph">
              <wp:posOffset>62865</wp:posOffset>
            </wp:positionV>
            <wp:extent cx="4857750" cy="1898650"/>
            <wp:effectExtent l="0" t="0" r="0" b="6350"/>
            <wp:wrapTight wrapText="bothSides">
              <wp:wrapPolygon edited="0">
                <wp:start x="0" y="0"/>
                <wp:lineTo x="0" y="21456"/>
                <wp:lineTo x="21515" y="21456"/>
                <wp:lineTo x="21515" y="0"/>
                <wp:lineTo x="0" y="0"/>
              </wp:wrapPolygon>
            </wp:wrapTight>
            <wp:docPr id="74" name="Graphique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margin">
              <wp14:pctWidth>0</wp14:pctWidth>
            </wp14:sizeRelH>
            <wp14:sizeRelV relativeFrom="margin">
              <wp14:pctHeight>0</wp14:pctHeight>
            </wp14:sizeRelV>
          </wp:anchor>
        </w:drawing>
      </w:r>
    </w:p>
    <w:p w:rsidR="00646BCA" w:rsidRPr="005D588E" w:rsidRDefault="00646BCA" w:rsidP="00646BCA">
      <w:pPr>
        <w:widowControl w:val="0"/>
        <w:autoSpaceDE w:val="0"/>
        <w:autoSpaceDN w:val="0"/>
        <w:adjustRightInd w:val="0"/>
        <w:jc w:val="both"/>
        <w:rPr>
          <w:rFonts w:ascii="BlairMdITC TT-Medium" w:eastAsia="Cambria" w:hAnsi="BlairMdITC TT-Medium" w:cs="Times New Roman"/>
          <w:sz w:val="12"/>
          <w:szCs w:val="12"/>
        </w:rPr>
      </w:pPr>
    </w:p>
    <w:p w:rsidR="00646BCA" w:rsidRPr="005D588E" w:rsidRDefault="00646BCA" w:rsidP="00646BCA">
      <w:pPr>
        <w:widowControl w:val="0"/>
        <w:autoSpaceDE w:val="0"/>
        <w:autoSpaceDN w:val="0"/>
        <w:adjustRightInd w:val="0"/>
        <w:jc w:val="both"/>
        <w:rPr>
          <w:rFonts w:ascii="BlairMdITC TT-Medium" w:eastAsia="Cambria" w:hAnsi="BlairMdITC TT-Medium" w:cs="Times New Roman"/>
          <w:sz w:val="12"/>
          <w:szCs w:val="12"/>
        </w:rPr>
      </w:pP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1A749A" w:rsidRDefault="00646BCA" w:rsidP="00646BCA">
      <w:pPr>
        <w:widowControl w:val="0"/>
        <w:autoSpaceDE w:val="0"/>
        <w:autoSpaceDN w:val="0"/>
        <w:adjustRightInd w:val="0"/>
        <w:jc w:val="both"/>
        <w:rPr>
          <w:rFonts w:ascii="Florencesans Exp" w:eastAsia="Cambria" w:hAnsi="Florencesans Exp" w:cs="Times New Roman"/>
        </w:rPr>
      </w:pPr>
      <w:r w:rsidRPr="00A33CFB">
        <w:rPr>
          <w:noProof/>
          <w:lang w:eastAsia="fr-FR"/>
        </w:rPr>
        <w:drawing>
          <wp:anchor distT="0" distB="0" distL="114300" distR="114300" simplePos="0" relativeHeight="251730944" behindDoc="1" locked="0" layoutInCell="1" allowOverlap="1" wp14:anchorId="524F45C4" wp14:editId="46345EF2">
            <wp:simplePos x="0" y="0"/>
            <wp:positionH relativeFrom="page">
              <wp:posOffset>203200</wp:posOffset>
            </wp:positionH>
            <wp:positionV relativeFrom="paragraph">
              <wp:posOffset>3803015</wp:posOffset>
            </wp:positionV>
            <wp:extent cx="7146925" cy="155575"/>
            <wp:effectExtent l="0" t="0" r="0" b="0"/>
            <wp:wrapTight wrapText="bothSides">
              <wp:wrapPolygon edited="0">
                <wp:start x="0" y="0"/>
                <wp:lineTo x="0" y="18514"/>
                <wp:lineTo x="21533" y="18514"/>
                <wp:lineTo x="21533" y="0"/>
                <wp:lineTo x="0" y="0"/>
              </wp:wrapPolygon>
            </wp:wrapTight>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7146925" cy="155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CFB">
        <w:rPr>
          <w:noProof/>
          <w:lang w:eastAsia="fr-FR"/>
        </w:rPr>
        <w:drawing>
          <wp:anchor distT="0" distB="0" distL="114300" distR="114300" simplePos="0" relativeHeight="251729920" behindDoc="1" locked="0" layoutInCell="1" allowOverlap="1" wp14:anchorId="622B5596" wp14:editId="337F3602">
            <wp:simplePos x="0" y="0"/>
            <wp:positionH relativeFrom="margin">
              <wp:align>center</wp:align>
            </wp:positionH>
            <wp:positionV relativeFrom="paragraph">
              <wp:posOffset>2310765</wp:posOffset>
            </wp:positionV>
            <wp:extent cx="7155815" cy="1449705"/>
            <wp:effectExtent l="0" t="0" r="6985" b="0"/>
            <wp:wrapTight wrapText="bothSides">
              <wp:wrapPolygon edited="0">
                <wp:start x="0" y="0"/>
                <wp:lineTo x="0" y="21288"/>
                <wp:lineTo x="21564" y="21288"/>
                <wp:lineTo x="21564" y="0"/>
                <wp:lineTo x="0" y="0"/>
              </wp:wrapPolygon>
            </wp:wrapTight>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155815" cy="1449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CFB">
        <w:rPr>
          <w:noProof/>
          <w:lang w:eastAsia="fr-FR"/>
        </w:rPr>
        <w:drawing>
          <wp:anchor distT="0" distB="0" distL="114300" distR="114300" simplePos="0" relativeHeight="251728896" behindDoc="1" locked="0" layoutInCell="1" allowOverlap="1" wp14:anchorId="3247AE63" wp14:editId="02F9E6A2">
            <wp:simplePos x="0" y="0"/>
            <wp:positionH relativeFrom="margin">
              <wp:align>center</wp:align>
            </wp:positionH>
            <wp:positionV relativeFrom="paragraph">
              <wp:posOffset>304165</wp:posOffset>
            </wp:positionV>
            <wp:extent cx="7128646" cy="1790700"/>
            <wp:effectExtent l="0" t="0" r="0" b="0"/>
            <wp:wrapTight wrapText="bothSides">
              <wp:wrapPolygon edited="0">
                <wp:start x="0" y="0"/>
                <wp:lineTo x="0" y="21370"/>
                <wp:lineTo x="21531" y="21370"/>
                <wp:lineTo x="21531" y="0"/>
                <wp:lineTo x="0" y="0"/>
              </wp:wrapPolygon>
            </wp:wrapTight>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128646"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749A">
        <w:rPr>
          <w:rFonts w:ascii="Florencesans Exp" w:eastAsia="Cambria" w:hAnsi="Florencesans Exp" w:cs="Times New Roman"/>
        </w:rPr>
        <w:t xml:space="preserve">1. </w:t>
      </w:r>
      <w:r>
        <w:rPr>
          <w:rFonts w:ascii="Florencesans Exp" w:eastAsia="Cambria" w:hAnsi="Florencesans Exp" w:cs="Times New Roman"/>
        </w:rPr>
        <w:t>G</w:t>
      </w:r>
      <w:r w:rsidRPr="001A749A">
        <w:rPr>
          <w:rFonts w:ascii="Florencesans Exp" w:eastAsia="Cambria" w:hAnsi="Florencesans Exp" w:cs="Times New Roman"/>
        </w:rPr>
        <w:t>. 5. LES FLUX PAR AUTORITE D’EMPLOIS</w:t>
      </w:r>
    </w:p>
    <w:p w:rsidR="00646BCA" w:rsidRPr="006C303B" w:rsidRDefault="00646BCA" w:rsidP="00646BCA">
      <w:pPr>
        <w:widowControl w:val="0"/>
        <w:autoSpaceDE w:val="0"/>
        <w:autoSpaceDN w:val="0"/>
        <w:adjustRightInd w:val="0"/>
        <w:jc w:val="both"/>
        <w:rPr>
          <w:rFonts w:ascii="BlairMdITC TT-Medium" w:eastAsia="Cambria" w:hAnsi="BlairMdITC TT-Medium" w:cs="Times New Roman"/>
          <w:sz w:val="12"/>
          <w:szCs w:val="12"/>
        </w:rPr>
      </w:pPr>
    </w:p>
    <w:p w:rsidR="00646BCA" w:rsidRPr="006C303B" w:rsidRDefault="00646BCA" w:rsidP="00646BCA">
      <w:pPr>
        <w:widowControl w:val="0"/>
        <w:autoSpaceDE w:val="0"/>
        <w:autoSpaceDN w:val="0"/>
        <w:adjustRightInd w:val="0"/>
        <w:jc w:val="both"/>
        <w:rPr>
          <w:rFonts w:ascii="Arial" w:eastAsia="Cambria" w:hAnsi="Arial" w:cs="Arial"/>
          <w:sz w:val="16"/>
          <w:szCs w:val="16"/>
        </w:rPr>
      </w:pP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En 2013, les entrées se concentrent à 43 % sur le DAT, de même que les sorties (34 %). Le SG est la 2</w:t>
      </w:r>
      <w:r w:rsidRPr="00540D0A">
        <w:rPr>
          <w:rFonts w:ascii="Arial" w:eastAsia="Cambria" w:hAnsi="Arial" w:cs="Arial"/>
          <w:sz w:val="22"/>
          <w:szCs w:val="22"/>
          <w:vertAlign w:val="superscript"/>
        </w:rPr>
        <w:t>ème</w:t>
      </w:r>
      <w:r w:rsidRPr="00540D0A">
        <w:rPr>
          <w:rFonts w:ascii="Arial" w:eastAsia="Cambria" w:hAnsi="Arial" w:cs="Arial"/>
          <w:sz w:val="22"/>
          <w:szCs w:val="22"/>
        </w:rPr>
        <w:t xml:space="preserve"> autorité d'emplois à avoir eu le plus d'entrées (24 %), suivie de la DGP (15 %).</w:t>
      </w: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Ce classement est le même pour les sorties. Le pourcentage d'entrées est nettement supérieur à celui des sorties pour le SG, d'où un solde positif dans le tableau. Par contre, nous observons le cas inverse pour la DGP et la DGCA, où la proportion des entrées est deux fois moindre que celle des sorties, d'où des soldes négatifs.</w:t>
      </w:r>
    </w:p>
    <w:p w:rsidR="00646BCA" w:rsidRPr="00540D0A" w:rsidRDefault="00646BCA" w:rsidP="00646BCA">
      <w:pPr>
        <w:widowControl w:val="0"/>
        <w:autoSpaceDE w:val="0"/>
        <w:autoSpaceDN w:val="0"/>
        <w:adjustRightInd w:val="0"/>
        <w:jc w:val="both"/>
        <w:rPr>
          <w:rFonts w:ascii="Arial" w:eastAsia="Cambria" w:hAnsi="Arial" w:cs="Arial"/>
          <w:color w:val="000000"/>
          <w:sz w:val="22"/>
          <w:szCs w:val="22"/>
        </w:rPr>
      </w:pP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 xml:space="preserve">En 2013, les entrées se font essentiellement dans les établissements publics pour la DGP et la DGCA, tandis qu’elles concernent majoritairement l'administration centrale de la DGMIC. Cette tendance s'observait déjà en 2011 et 2012. </w:t>
      </w: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 xml:space="preserve">Les sorties, quant à elles, se font surtout dans les établissements publics pour la DGP et la DGMIC, et en administration centrale pour la DGCA. Cette situation observée à la DGCA est nouvelle. En effet, les sorties se faisaient surtout dans ses établissements publics dans les années antérieures. </w:t>
      </w:r>
    </w:p>
    <w:p w:rsidR="00646BCA" w:rsidRDefault="00646BCA" w:rsidP="00646BCA">
      <w:pPr>
        <w:widowControl w:val="0"/>
        <w:autoSpaceDE w:val="0"/>
        <w:autoSpaceDN w:val="0"/>
        <w:adjustRightInd w:val="0"/>
        <w:jc w:val="both"/>
        <w:rPr>
          <w:rFonts w:ascii="BlairMdITC TT-Medium" w:eastAsia="Cambria" w:hAnsi="BlairMdITC TT-Medium" w:cs="Times New Roman"/>
        </w:rPr>
      </w:pPr>
      <w:r w:rsidRPr="00540D0A">
        <w:rPr>
          <w:noProof/>
          <w:sz w:val="22"/>
          <w:szCs w:val="22"/>
          <w:lang w:eastAsia="fr-FR"/>
        </w:rPr>
        <w:drawing>
          <wp:anchor distT="0" distB="0" distL="114300" distR="114300" simplePos="0" relativeHeight="251732992" behindDoc="1" locked="0" layoutInCell="1" allowOverlap="1" wp14:anchorId="48118016" wp14:editId="626B9E6A">
            <wp:simplePos x="0" y="0"/>
            <wp:positionH relativeFrom="column">
              <wp:posOffset>2999105</wp:posOffset>
            </wp:positionH>
            <wp:positionV relativeFrom="page">
              <wp:posOffset>8026400</wp:posOffset>
            </wp:positionV>
            <wp:extent cx="3445510" cy="2209800"/>
            <wp:effectExtent l="0" t="0" r="2540" b="0"/>
            <wp:wrapTight wrapText="bothSides">
              <wp:wrapPolygon edited="0">
                <wp:start x="0" y="0"/>
                <wp:lineTo x="0" y="21414"/>
                <wp:lineTo x="21496" y="21414"/>
                <wp:lineTo x="21496" y="0"/>
                <wp:lineTo x="0" y="0"/>
              </wp:wrapPolygon>
            </wp:wrapTight>
            <wp:docPr id="107" name="Graphique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margin">
              <wp14:pctWidth>0</wp14:pctWidth>
            </wp14:sizeRelH>
            <wp14:sizeRelV relativeFrom="margin">
              <wp14:pctHeight>0</wp14:pctHeight>
            </wp14:sizeRelV>
          </wp:anchor>
        </w:drawing>
      </w:r>
      <w:r w:rsidRPr="00540D0A">
        <w:rPr>
          <w:noProof/>
          <w:sz w:val="22"/>
          <w:szCs w:val="22"/>
          <w:lang w:eastAsia="fr-FR"/>
        </w:rPr>
        <w:drawing>
          <wp:anchor distT="0" distB="0" distL="114300" distR="114300" simplePos="0" relativeHeight="251731968" behindDoc="1" locked="0" layoutInCell="1" allowOverlap="1" wp14:anchorId="55A931DB" wp14:editId="56EA873B">
            <wp:simplePos x="0" y="0"/>
            <wp:positionH relativeFrom="margin">
              <wp:posOffset>-429895</wp:posOffset>
            </wp:positionH>
            <wp:positionV relativeFrom="page">
              <wp:posOffset>8026400</wp:posOffset>
            </wp:positionV>
            <wp:extent cx="3403600" cy="2216150"/>
            <wp:effectExtent l="0" t="0" r="6350" b="12700"/>
            <wp:wrapTight wrapText="bothSides">
              <wp:wrapPolygon edited="0">
                <wp:start x="0" y="0"/>
                <wp:lineTo x="0" y="21538"/>
                <wp:lineTo x="21519" y="21538"/>
                <wp:lineTo x="21519" y="0"/>
                <wp:lineTo x="0" y="0"/>
              </wp:wrapPolygon>
            </wp:wrapTight>
            <wp:docPr id="106" name="Graphique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r w:rsidRPr="00540D0A">
        <w:rPr>
          <w:rFonts w:ascii="Arial" w:eastAsia="Cambria" w:hAnsi="Arial" w:cs="Arial"/>
          <w:sz w:val="22"/>
          <w:szCs w:val="22"/>
        </w:rPr>
        <w:t>La répartition des entrées et sorties semblent assez équilibrées à la DGP, tandis qu'elle est très déficitaire pour l'administration centrale de la DGCA et plus légèrement</w:t>
      </w:r>
      <w:r w:rsidRPr="006C303B">
        <w:rPr>
          <w:rFonts w:ascii="Arial" w:eastAsia="Cambria" w:hAnsi="Arial" w:cs="Arial"/>
        </w:rPr>
        <w:t xml:space="preserve"> </w:t>
      </w:r>
      <w:r w:rsidRPr="00540D0A">
        <w:rPr>
          <w:rFonts w:ascii="Arial" w:eastAsia="Cambria" w:hAnsi="Arial" w:cs="Arial"/>
          <w:sz w:val="22"/>
          <w:szCs w:val="22"/>
        </w:rPr>
        <w:t>pour les établissements publics de la DGMIC.</w:t>
      </w:r>
      <w:r>
        <w:rPr>
          <w:rFonts w:ascii="BlairMdITC TT-Medium" w:eastAsia="Cambria" w:hAnsi="BlairMdITC TT-Medium" w:cs="Times New Roman"/>
        </w:rPr>
        <w:br w:type="page"/>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r w:rsidRPr="00205C29">
        <w:rPr>
          <w:noProof/>
          <w:lang w:eastAsia="fr-FR"/>
        </w:rPr>
        <w:drawing>
          <wp:anchor distT="0" distB="0" distL="114300" distR="114300" simplePos="0" relativeHeight="251734016" behindDoc="1" locked="0" layoutInCell="1" allowOverlap="1" wp14:anchorId="7E52D91E" wp14:editId="4B604950">
            <wp:simplePos x="0" y="0"/>
            <wp:positionH relativeFrom="page">
              <wp:posOffset>309245</wp:posOffset>
            </wp:positionH>
            <wp:positionV relativeFrom="paragraph">
              <wp:posOffset>267335</wp:posOffset>
            </wp:positionV>
            <wp:extent cx="6913880" cy="2019300"/>
            <wp:effectExtent l="0" t="0" r="1270" b="0"/>
            <wp:wrapTight wrapText="bothSides">
              <wp:wrapPolygon edited="0">
                <wp:start x="2500" y="0"/>
                <wp:lineTo x="2500" y="3260"/>
                <wp:lineTo x="0" y="4891"/>
                <wp:lineTo x="0" y="21396"/>
                <wp:lineTo x="21544" y="21396"/>
                <wp:lineTo x="21544" y="0"/>
                <wp:lineTo x="2500" y="0"/>
              </wp:wrapPolygon>
            </wp:wrapTight>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91388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749A">
        <w:rPr>
          <w:rFonts w:ascii="Florencesans Exp" w:eastAsia="Cambria" w:hAnsi="Florencesans Exp" w:cs="Times New Roman"/>
        </w:rPr>
        <w:t xml:space="preserve">1. </w:t>
      </w:r>
      <w:r>
        <w:rPr>
          <w:rFonts w:ascii="Florencesans Exp" w:eastAsia="Cambria" w:hAnsi="Florencesans Exp" w:cs="Times New Roman"/>
        </w:rPr>
        <w:t>G</w:t>
      </w:r>
      <w:r w:rsidRPr="001A749A">
        <w:rPr>
          <w:rFonts w:ascii="Florencesans Exp" w:eastAsia="Cambria" w:hAnsi="Florencesans Exp" w:cs="Times New Roman"/>
        </w:rPr>
        <w:t>. 6. TABLEAU RECAPITULATIF DES FLUX PAR FILIERE</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 xml:space="preserve">Le solde entrées/sorties définitives est nettement négatif pour la filière technique et enseignement et un peu moindre pour celle scientifique. </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Le solde entrées/sorties provisoires est quant à lui négatif pour l'ensemble du ministère, sauf pour la filière surveillance. La filière surveillance est donc doublement bénéficiaire.</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Les recrutements concernent davantage la filière administrative, tandis que les sorties définitives touchent la filière technique et enseignement.</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Le ratio sorties provisoires/retours de situation interruptive est respectivement de 1,6 en 2011, 1,03 en 2012 et 1,08 en 2013. Seule la filière surveillance a un nombre de retours de situations interruptives supérieur aux sorties interruptives.</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r>
        <w:rPr>
          <w:noProof/>
          <w:lang w:eastAsia="fr-FR"/>
        </w:rPr>
        <w:drawing>
          <wp:inline distT="0" distB="0" distL="0" distR="0" wp14:anchorId="47E94DD1" wp14:editId="5C5B16E7">
            <wp:extent cx="5905500" cy="3524250"/>
            <wp:effectExtent l="0" t="0" r="0" b="0"/>
            <wp:docPr id="113" name="Graphique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r>
        <w:rPr>
          <w:noProof/>
          <w:lang w:eastAsia="fr-FR"/>
        </w:rPr>
        <w:lastRenderedPageBreak/>
        <w:drawing>
          <wp:inline distT="0" distB="0" distL="0" distR="0" wp14:anchorId="2D8A7CCD" wp14:editId="34E298FE">
            <wp:extent cx="5760720" cy="4629150"/>
            <wp:effectExtent l="0" t="0" r="0" b="0"/>
            <wp:docPr id="118" name="Graphique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r w:rsidRPr="005E6E1F">
        <w:rPr>
          <w:rFonts w:ascii="Florencesans Exp" w:eastAsia="Cambria" w:hAnsi="Florencesans Exp" w:cs="Times New Roman"/>
        </w:rPr>
        <w:t xml:space="preserve">1. </w:t>
      </w:r>
      <w:r>
        <w:rPr>
          <w:rFonts w:ascii="Florencesans Exp" w:eastAsia="Cambria" w:hAnsi="Florencesans Exp" w:cs="Times New Roman"/>
        </w:rPr>
        <w:t>G</w:t>
      </w:r>
      <w:r w:rsidRPr="005E6E1F">
        <w:rPr>
          <w:rFonts w:ascii="Florencesans Exp" w:eastAsia="Cambria" w:hAnsi="Florencesans Exp" w:cs="Times New Roman"/>
        </w:rPr>
        <w:t>. 7. TABLEAU RECAPITULATIF DES FLUX PAR CATEGORIE</w:t>
      </w:r>
    </w:p>
    <w:p w:rsidR="00646BCA" w:rsidRDefault="00646BCA" w:rsidP="00646BCA">
      <w:pPr>
        <w:widowControl w:val="0"/>
        <w:autoSpaceDE w:val="0"/>
        <w:autoSpaceDN w:val="0"/>
        <w:adjustRightInd w:val="0"/>
        <w:jc w:val="both"/>
        <w:rPr>
          <w:rFonts w:ascii="Arial" w:eastAsia="Cambria" w:hAnsi="Arial" w:cs="Times New Roman"/>
        </w:rPr>
      </w:pPr>
      <w:r w:rsidRPr="00052B07">
        <w:rPr>
          <w:noProof/>
          <w:lang w:eastAsia="fr-FR"/>
        </w:rPr>
        <w:drawing>
          <wp:anchor distT="0" distB="0" distL="114300" distR="114300" simplePos="0" relativeHeight="251735040" behindDoc="1" locked="0" layoutInCell="1" allowOverlap="1" wp14:anchorId="74141DEA" wp14:editId="42CC8B73">
            <wp:simplePos x="0" y="0"/>
            <wp:positionH relativeFrom="margin">
              <wp:align>center</wp:align>
            </wp:positionH>
            <wp:positionV relativeFrom="paragraph">
              <wp:posOffset>212090</wp:posOffset>
            </wp:positionV>
            <wp:extent cx="6995160" cy="2203450"/>
            <wp:effectExtent l="0" t="0" r="0" b="6350"/>
            <wp:wrapTight wrapText="bothSides">
              <wp:wrapPolygon edited="0">
                <wp:start x="2529" y="0"/>
                <wp:lineTo x="2529" y="2988"/>
                <wp:lineTo x="0" y="4855"/>
                <wp:lineTo x="0" y="21476"/>
                <wp:lineTo x="21529" y="21476"/>
                <wp:lineTo x="21529" y="0"/>
                <wp:lineTo x="2529" y="0"/>
              </wp:wrapPolygon>
            </wp:wrapTight>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995160" cy="220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BCA" w:rsidRDefault="00646BCA" w:rsidP="00646BCA">
      <w:pPr>
        <w:widowControl w:val="0"/>
        <w:autoSpaceDE w:val="0"/>
        <w:autoSpaceDN w:val="0"/>
        <w:adjustRightInd w:val="0"/>
        <w:jc w:val="both"/>
        <w:rPr>
          <w:rFonts w:ascii="Arial" w:eastAsia="Cambria" w:hAnsi="Arial" w:cs="Times New Roman"/>
        </w:rPr>
      </w:pP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 xml:space="preserve">Les recrutements concernent essentiellement la catégorie A et les agents contractuels, de même les sorties définitives portent surtout sur la catégorie A. Cependant, la part de la catégorie A dans les recrutements diminue, elle est passée de 43 % à 30 % de 2011 à 2013. La part des autres catégories est stable sur les trois années, sauf pour la catégorie C qui augmente de 14 % à 24 %. </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Ainsi, la catégorie A a supporté 42 % des sorties définitives en 2013. Néanmoins, elle enregistre aussi 30 % des recrutements. La catégorie A connaît le solde recrutements/sorties définitives le plus déficitaire. Les catégories B et C participent aussi au déficit de ce solde global.</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Par contre, les agents contractuels sont la seule catégorie à avoir un solde recrutements/sorties définitives positif.</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p>
    <w:p w:rsidR="00646BCA" w:rsidRPr="00540D0A" w:rsidRDefault="00646BCA" w:rsidP="00646BCA">
      <w:pPr>
        <w:widowControl w:val="0"/>
        <w:autoSpaceDE w:val="0"/>
        <w:autoSpaceDN w:val="0"/>
        <w:adjustRightInd w:val="0"/>
        <w:jc w:val="both"/>
        <w:rPr>
          <w:rFonts w:ascii="BlairMdITC TT-Medium" w:eastAsia="Cambria" w:hAnsi="BlairMdITC TT-Medium" w:cs="Times New Roman"/>
          <w:sz w:val="22"/>
          <w:szCs w:val="22"/>
        </w:rPr>
      </w:pPr>
      <w:r w:rsidRPr="00540D0A">
        <w:rPr>
          <w:rFonts w:ascii="Arial" w:eastAsia="Cambria" w:hAnsi="Arial" w:cs="Times New Roman"/>
          <w:sz w:val="22"/>
          <w:szCs w:val="22"/>
        </w:rPr>
        <w:t>Les situations interruptives et les retours concernent davantage les personnels de catégorie C. Cette dernière est la seule catégorie à obtenir un solde retours/situations interruptives positif.</w:t>
      </w:r>
    </w:p>
    <w:p w:rsidR="00646BCA" w:rsidRPr="00540D0A" w:rsidRDefault="00646BCA" w:rsidP="00646BCA">
      <w:pPr>
        <w:widowControl w:val="0"/>
        <w:autoSpaceDE w:val="0"/>
        <w:autoSpaceDN w:val="0"/>
        <w:adjustRightInd w:val="0"/>
        <w:jc w:val="both"/>
        <w:rPr>
          <w:rFonts w:ascii="BlairMdITC TT-Medium" w:eastAsia="Cambria" w:hAnsi="BlairMdITC TT-Medium" w:cs="Times New Roman"/>
          <w:sz w:val="22"/>
          <w:szCs w:val="22"/>
        </w:rPr>
      </w:pP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Le remplacement des sorties définitives est assuré uniquement pour les contractuels. Ainsi, le solde recrutements / sorties définitives est nettement négatif pour les personnels de catégorie A (solde de -80 ETP), cette catégorie concentre le volume le plus important de sorties définitives. Le solde pour le ministère est de -38 ETP, ce qui montre qu'une grande partie des sorties définitives n'est pas compensée par des recrutements externes.</w:t>
      </w:r>
    </w:p>
    <w:p w:rsidR="00646BCA" w:rsidRPr="00540D0A" w:rsidRDefault="00646BCA" w:rsidP="00646BCA">
      <w:pPr>
        <w:widowControl w:val="0"/>
        <w:autoSpaceDE w:val="0"/>
        <w:autoSpaceDN w:val="0"/>
        <w:adjustRightInd w:val="0"/>
        <w:jc w:val="both"/>
        <w:rPr>
          <w:rFonts w:ascii="Arial" w:eastAsia="Cambria" w:hAnsi="Arial" w:cs="Arial"/>
          <w:sz w:val="22"/>
          <w:szCs w:val="22"/>
        </w:rPr>
      </w:pPr>
    </w:p>
    <w:p w:rsidR="00646BCA" w:rsidRPr="00540D0A" w:rsidRDefault="00646BCA" w:rsidP="00646BCA">
      <w:pPr>
        <w:widowControl w:val="0"/>
        <w:autoSpaceDE w:val="0"/>
        <w:autoSpaceDN w:val="0"/>
        <w:adjustRightInd w:val="0"/>
        <w:jc w:val="both"/>
        <w:rPr>
          <w:rFonts w:ascii="BlairMdITC TT-Medium" w:eastAsia="Cambria" w:hAnsi="BlairMdITC TT-Medium" w:cs="Times New Roman"/>
          <w:sz w:val="22"/>
          <w:szCs w:val="22"/>
        </w:rPr>
      </w:pPr>
      <w:r w:rsidRPr="00540D0A">
        <w:rPr>
          <w:rFonts w:ascii="Arial" w:eastAsia="Cambria" w:hAnsi="Arial" w:cs="Arial"/>
          <w:sz w:val="22"/>
          <w:szCs w:val="22"/>
        </w:rPr>
        <w:t>D'autre part, le solde des entrées et sorties provisoires est légèrement négatif pour l'ensemble des catégories de personnels (-17 ETP pour l'ensemble du ministère). Le schéma d'emplois global à -55 ETP est ainsi réalisé en majeure partie par le solde des entrées/sorties définitives, et non pas par celui entrées/sorties provisoires, comme le montre également l'évolution du ration SI/RSI passé de 1,6 à 1,09 entre 2011 et 2013.</w:t>
      </w:r>
    </w:p>
    <w:p w:rsidR="00646BCA" w:rsidRDefault="00646BCA" w:rsidP="00646BCA">
      <w:pPr>
        <w:widowControl w:val="0"/>
        <w:autoSpaceDE w:val="0"/>
        <w:autoSpaceDN w:val="0"/>
        <w:adjustRightInd w:val="0"/>
        <w:jc w:val="center"/>
        <w:rPr>
          <w:rFonts w:ascii="BlairMdITC TT-Medium" w:eastAsia="Cambria" w:hAnsi="BlairMdITC TT-Medium" w:cs="Times New Roman"/>
        </w:rPr>
      </w:pPr>
      <w:r>
        <w:rPr>
          <w:noProof/>
          <w:lang w:eastAsia="fr-FR"/>
        </w:rPr>
        <w:lastRenderedPageBreak/>
        <w:drawing>
          <wp:inline distT="0" distB="0" distL="0" distR="0" wp14:anchorId="3C0E94EB" wp14:editId="1673C28E">
            <wp:extent cx="5760720" cy="4648200"/>
            <wp:effectExtent l="0" t="0" r="0" b="0"/>
            <wp:docPr id="123" name="Graphique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646BCA" w:rsidRPr="00C363EE" w:rsidRDefault="00646BCA" w:rsidP="00646BCA">
      <w:pPr>
        <w:widowControl w:val="0"/>
        <w:autoSpaceDE w:val="0"/>
        <w:autoSpaceDN w:val="0"/>
        <w:adjustRightInd w:val="0"/>
        <w:jc w:val="center"/>
        <w:rPr>
          <w:rFonts w:ascii="BlairMdITC TT-Medium" w:eastAsia="Cambria" w:hAnsi="BlairMdITC TT-Medium" w:cs="Times New Roman"/>
        </w:rPr>
      </w:pPr>
      <w:r>
        <w:rPr>
          <w:noProof/>
          <w:lang w:eastAsia="fr-FR"/>
        </w:rPr>
        <w:drawing>
          <wp:inline distT="0" distB="0" distL="0" distR="0" wp14:anchorId="71FB8A7D" wp14:editId="59FCD37F">
            <wp:extent cx="5760720" cy="3952240"/>
            <wp:effectExtent l="0" t="0" r="0" b="0"/>
            <wp:docPr id="124" name="Graphique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646BCA" w:rsidRPr="00C363EE" w:rsidRDefault="00646BCA" w:rsidP="00646BCA">
      <w:pPr>
        <w:widowControl w:val="0"/>
        <w:autoSpaceDE w:val="0"/>
        <w:autoSpaceDN w:val="0"/>
        <w:adjustRightInd w:val="0"/>
        <w:jc w:val="center"/>
        <w:rPr>
          <w:rFonts w:ascii="BlairMdITC TT-Medium" w:eastAsia="Cambria" w:hAnsi="BlairMdITC TT-Medium" w:cs="Times New Roman"/>
        </w:rPr>
      </w:pP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ind w:left="1276" w:hanging="1276"/>
        <w:jc w:val="both"/>
        <w:rPr>
          <w:rFonts w:ascii="Florencesans Exp" w:eastAsia="Cambria" w:hAnsi="Florencesans Exp" w:cs="Times New Roman"/>
        </w:rPr>
      </w:pPr>
      <w:r w:rsidRPr="005E6E1F">
        <w:rPr>
          <w:rFonts w:ascii="Florencesans Exp" w:eastAsia="Cambria" w:hAnsi="Florencesans Exp" w:cs="Times New Roman"/>
        </w:rPr>
        <w:t xml:space="preserve">1. </w:t>
      </w:r>
      <w:r>
        <w:rPr>
          <w:rFonts w:ascii="Florencesans Exp" w:eastAsia="Cambria" w:hAnsi="Florencesans Exp" w:cs="Times New Roman"/>
        </w:rPr>
        <w:t>G</w:t>
      </w:r>
      <w:r w:rsidRPr="005E6E1F">
        <w:rPr>
          <w:rFonts w:ascii="Florencesans Exp" w:eastAsia="Cambria" w:hAnsi="Florencesans Exp" w:cs="Times New Roman"/>
        </w:rPr>
        <w:t>. 8. TOTAL DES MOUVEMENTS ENREGISTRES PAR FILIERE ET CATEGORIE</w:t>
      </w:r>
    </w:p>
    <w:p w:rsidR="00490A67" w:rsidRPr="00C363EE" w:rsidRDefault="00490A67" w:rsidP="00646BCA">
      <w:pPr>
        <w:widowControl w:val="0"/>
        <w:autoSpaceDE w:val="0"/>
        <w:autoSpaceDN w:val="0"/>
        <w:adjustRightInd w:val="0"/>
        <w:ind w:left="1276" w:hanging="1276"/>
        <w:jc w:val="both"/>
        <w:rPr>
          <w:rFonts w:ascii="BlairMdITC TT-Medium" w:eastAsia="Cambria" w:hAnsi="BlairMdITC TT-Medium" w:cs="Times New Roman"/>
        </w:rPr>
      </w:pPr>
    </w:p>
    <w:p w:rsidR="00646BCA" w:rsidRDefault="00490A67" w:rsidP="00490A67">
      <w:pPr>
        <w:jc w:val="right"/>
        <w:rPr>
          <w:rFonts w:ascii="Cambria" w:eastAsia="Cambria" w:hAnsi="Cambria" w:cs="Times New Roman"/>
        </w:rPr>
      </w:pPr>
      <w:r w:rsidRPr="00490A67">
        <w:rPr>
          <w:noProof/>
          <w:lang w:eastAsia="fr-FR"/>
        </w:rPr>
        <w:drawing>
          <wp:inline distT="0" distB="0" distL="0" distR="0">
            <wp:extent cx="2962275" cy="2415540"/>
            <wp:effectExtent l="0" t="0" r="9525" b="381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67778" cy="2420027"/>
                    </a:xfrm>
                    <a:prstGeom prst="rect">
                      <a:avLst/>
                    </a:prstGeom>
                    <a:noFill/>
                    <a:ln>
                      <a:noFill/>
                    </a:ln>
                  </pic:spPr>
                </pic:pic>
              </a:graphicData>
            </a:graphic>
          </wp:inline>
        </w:drawing>
      </w:r>
      <w:r w:rsidRPr="00490A67">
        <w:rPr>
          <w:noProof/>
          <w:lang w:eastAsia="fr-FR"/>
        </w:rPr>
        <w:drawing>
          <wp:anchor distT="0" distB="0" distL="114300" distR="114300" simplePos="0" relativeHeight="251917312" behindDoc="0" locked="0" layoutInCell="1" allowOverlap="1">
            <wp:simplePos x="899160" y="1569720"/>
            <wp:positionH relativeFrom="column">
              <wp:align>left</wp:align>
            </wp:positionH>
            <wp:positionV relativeFrom="paragraph">
              <wp:align>top</wp:align>
            </wp:positionV>
            <wp:extent cx="2571073" cy="2407920"/>
            <wp:effectExtent l="0" t="0" r="1270" b="0"/>
            <wp:wrapSquare wrapText="bothSides"/>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71073" cy="2407920"/>
                    </a:xfrm>
                    <a:prstGeom prst="rect">
                      <a:avLst/>
                    </a:prstGeom>
                    <a:noFill/>
                    <a:ln>
                      <a:noFill/>
                    </a:ln>
                  </pic:spPr>
                </pic:pic>
              </a:graphicData>
            </a:graphic>
          </wp:anchor>
        </w:drawing>
      </w:r>
      <w:r>
        <w:rPr>
          <w:rFonts w:ascii="Cambria" w:eastAsia="Cambria" w:hAnsi="Cambria" w:cs="Times New Roman"/>
        </w:rPr>
        <w:br w:type="textWrapping" w:clear="all"/>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La majorité des entrées concerne la filière administrative (32 %), alors que la majorité des sorties concerne la filière technique et enseignement (29 %). Le nombre d'agents dans les filières administrative et surveillance est en augmentation, au vu du solde entrées/sorties positif.</w:t>
      </w:r>
    </w:p>
    <w:p w:rsidR="00646BCA" w:rsidRPr="00540D0A" w:rsidRDefault="00646BCA" w:rsidP="00646BCA">
      <w:pPr>
        <w:widowControl w:val="0"/>
        <w:autoSpaceDE w:val="0"/>
        <w:autoSpaceDN w:val="0"/>
        <w:adjustRightInd w:val="0"/>
        <w:jc w:val="both"/>
        <w:rPr>
          <w:rFonts w:ascii="Arial" w:eastAsia="Cambria" w:hAnsi="Arial" w:cs="Times New Roman"/>
          <w:sz w:val="22"/>
          <w:szCs w:val="22"/>
        </w:rPr>
      </w:pPr>
      <w:r w:rsidRPr="00540D0A">
        <w:rPr>
          <w:rFonts w:ascii="Arial" w:eastAsia="Cambria" w:hAnsi="Arial" w:cs="Times New Roman"/>
          <w:sz w:val="22"/>
          <w:szCs w:val="22"/>
        </w:rPr>
        <w:t>Les entrées et sorties touchent majoritairement les personnels de catégorie A (respectivement 31 % et 41 %). La catégorie B est très peu représentée dans les entrées et les sorties (15 %). La catégorie C regroupe également un nombre important d'entrées (30 %) et de sorties (29%).</w:t>
      </w:r>
    </w:p>
    <w:p w:rsidR="00646BCA" w:rsidRPr="00540D0A" w:rsidRDefault="00646BCA" w:rsidP="00646BCA">
      <w:pPr>
        <w:widowControl w:val="0"/>
        <w:autoSpaceDE w:val="0"/>
        <w:autoSpaceDN w:val="0"/>
        <w:adjustRightInd w:val="0"/>
        <w:jc w:val="both"/>
        <w:rPr>
          <w:rFonts w:ascii="Arial" w:eastAsia="Cambria" w:hAnsi="Arial" w:cs="Times New Roman"/>
          <w:sz w:val="12"/>
          <w:szCs w:val="12"/>
        </w:rPr>
      </w:pPr>
    </w:p>
    <w:p w:rsidR="00646BCA" w:rsidRDefault="00646BCA" w:rsidP="00646BCA">
      <w:pPr>
        <w:widowControl w:val="0"/>
        <w:autoSpaceDE w:val="0"/>
        <w:autoSpaceDN w:val="0"/>
        <w:adjustRightInd w:val="0"/>
        <w:jc w:val="both"/>
        <w:rPr>
          <w:rFonts w:ascii="Arial" w:eastAsia="Cambria" w:hAnsi="Arial" w:cs="Times New Roman"/>
        </w:rPr>
      </w:pPr>
      <w:r w:rsidRPr="00540D0A">
        <w:rPr>
          <w:rFonts w:ascii="Arial" w:eastAsia="Cambria" w:hAnsi="Arial" w:cs="Times New Roman"/>
          <w:sz w:val="22"/>
          <w:szCs w:val="22"/>
        </w:rPr>
        <w:t>Le solde entrées/sorties pour la catégorie A est fortement négatif. Le solde pour les agents contractuels est le seul à être positif, notamment en raison des recrutements importants de maîtres assistants associés en 2013. En effet, aucun concours de professeur et de</w:t>
      </w:r>
      <w:r w:rsidRPr="00F92035">
        <w:rPr>
          <w:rFonts w:ascii="Arial" w:eastAsia="Cambria" w:hAnsi="Arial" w:cs="Times New Roman"/>
        </w:rPr>
        <w:t xml:space="preserve"> maître </w:t>
      </w:r>
      <w:r w:rsidRPr="00540D0A">
        <w:rPr>
          <w:rFonts w:ascii="Arial" w:eastAsia="Cambria" w:hAnsi="Arial" w:cs="Times New Roman"/>
          <w:sz w:val="22"/>
          <w:szCs w:val="22"/>
        </w:rPr>
        <w:t>assistant en école d'architecture n'a été organisé en 2013.</w:t>
      </w:r>
    </w:p>
    <w:p w:rsidR="00646BCA" w:rsidRPr="00683582" w:rsidRDefault="00646BCA" w:rsidP="00646BCA">
      <w:pPr>
        <w:widowControl w:val="0"/>
        <w:autoSpaceDE w:val="0"/>
        <w:autoSpaceDN w:val="0"/>
        <w:adjustRightInd w:val="0"/>
        <w:jc w:val="both"/>
        <w:rPr>
          <w:rFonts w:ascii="Arial" w:eastAsia="Cambria" w:hAnsi="Arial" w:cs="Arial"/>
        </w:rPr>
      </w:pPr>
    </w:p>
    <w:p w:rsidR="00646BCA" w:rsidRDefault="00646BCA" w:rsidP="00490A67">
      <w:pPr>
        <w:rPr>
          <w:rFonts w:ascii="BlairMdITC TT-Medium" w:eastAsia="Cambria" w:hAnsi="BlairMdITC TT-Medium" w:cs="Times New Roman"/>
        </w:rPr>
      </w:pPr>
    </w:p>
    <w:p w:rsidR="00646BCA" w:rsidRDefault="00490A67" w:rsidP="00490A67">
      <w:pPr>
        <w:widowControl w:val="0"/>
        <w:autoSpaceDE w:val="0"/>
        <w:autoSpaceDN w:val="0"/>
        <w:adjustRightInd w:val="0"/>
        <w:jc w:val="center"/>
        <w:rPr>
          <w:rFonts w:ascii="BlairMdITC TT-Medium" w:eastAsia="Cambria" w:hAnsi="BlairMdITC TT-Medium" w:cs="Times New Roman"/>
        </w:rPr>
      </w:pPr>
      <w:r>
        <w:rPr>
          <w:rFonts w:ascii="BlairMdITC TT-Medium" w:eastAsia="Cambria" w:hAnsi="BlairMdITC TT-Medium" w:cs="Times New Roman"/>
          <w:noProof/>
          <w:lang w:eastAsia="fr-FR"/>
        </w:rPr>
        <w:drawing>
          <wp:inline distT="0" distB="0" distL="0" distR="0" wp14:anchorId="286C1458">
            <wp:extent cx="5400788" cy="3116580"/>
            <wp:effectExtent l="0" t="0" r="9525" b="762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21581" cy="3128579"/>
                    </a:xfrm>
                    <a:prstGeom prst="rect">
                      <a:avLst/>
                    </a:prstGeom>
                    <a:noFill/>
                  </pic:spPr>
                </pic:pic>
              </a:graphicData>
            </a:graphic>
          </wp:inline>
        </w:drawing>
      </w:r>
    </w:p>
    <w:p w:rsidR="00490A67" w:rsidRDefault="00490A67">
      <w:pPr>
        <w:spacing w:after="160" w:line="259" w:lineRule="auto"/>
        <w:rPr>
          <w:rFonts w:ascii="Florencesans Exp" w:eastAsia="Cambria" w:hAnsi="Florencesans Exp" w:cs="Times New Roman"/>
        </w:rPr>
      </w:pPr>
      <w:r>
        <w:rPr>
          <w:rFonts w:ascii="Florencesans Exp" w:eastAsia="Cambria" w:hAnsi="Florencesans Exp" w:cs="Times New Roman"/>
        </w:rPr>
        <w:br w:type="page"/>
      </w:r>
    </w:p>
    <w:p w:rsidR="00490A67" w:rsidRDefault="00490A67" w:rsidP="00490A67">
      <w:pPr>
        <w:spacing w:after="160" w:line="259" w:lineRule="auto"/>
        <w:jc w:val="center"/>
        <w:rPr>
          <w:rFonts w:ascii="Florencesans Exp" w:eastAsia="Cambria" w:hAnsi="Florencesans Exp" w:cs="Times New Roman"/>
        </w:rPr>
      </w:pPr>
      <w:r>
        <w:rPr>
          <w:rFonts w:ascii="Florencesans Exp" w:eastAsia="Cambria" w:hAnsi="Florencesans Exp" w:cs="Times New Roman"/>
          <w:noProof/>
          <w:lang w:eastAsia="fr-FR"/>
        </w:rPr>
        <w:lastRenderedPageBreak/>
        <w:drawing>
          <wp:inline distT="0" distB="0" distL="0" distR="0" wp14:anchorId="08A79D74">
            <wp:extent cx="4693822" cy="3672000"/>
            <wp:effectExtent l="0" t="0" r="0" b="508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93822" cy="3672000"/>
                    </a:xfrm>
                    <a:prstGeom prst="rect">
                      <a:avLst/>
                    </a:prstGeom>
                    <a:noFill/>
                  </pic:spPr>
                </pic:pic>
              </a:graphicData>
            </a:graphic>
          </wp:inline>
        </w:drawing>
      </w:r>
    </w:p>
    <w:p w:rsidR="00490A67" w:rsidRDefault="00490A67">
      <w:pPr>
        <w:spacing w:after="160" w:line="259" w:lineRule="auto"/>
        <w:rPr>
          <w:rFonts w:ascii="Florencesans Exp" w:eastAsia="Cambria" w:hAnsi="Florencesans Exp" w:cs="Times New Roman"/>
        </w:rPr>
      </w:pPr>
      <w:r>
        <w:rPr>
          <w:rFonts w:ascii="Florencesans Exp" w:eastAsia="Cambria" w:hAnsi="Florencesans Exp" w:cs="Times New Roman"/>
        </w:rPr>
        <w:br w:type="page"/>
      </w:r>
    </w:p>
    <w:p w:rsidR="00646BCA" w:rsidRPr="00C363EE" w:rsidRDefault="00646BCA" w:rsidP="00646BCA">
      <w:pPr>
        <w:widowControl w:val="0"/>
        <w:autoSpaceDE w:val="0"/>
        <w:autoSpaceDN w:val="0"/>
        <w:adjustRightInd w:val="0"/>
        <w:ind w:left="1276" w:hanging="1276"/>
        <w:jc w:val="both"/>
        <w:rPr>
          <w:rFonts w:ascii="BlairMdITC TT-Medium" w:eastAsia="Cambria" w:hAnsi="BlairMdITC TT-Medium" w:cs="Times New Roman"/>
        </w:rPr>
      </w:pPr>
      <w:r w:rsidRPr="005E6E1F">
        <w:rPr>
          <w:rFonts w:ascii="Florencesans Exp" w:eastAsia="Cambria" w:hAnsi="Florencesans Exp" w:cs="Times New Roman"/>
        </w:rPr>
        <w:lastRenderedPageBreak/>
        <w:t xml:space="preserve">1. </w:t>
      </w:r>
      <w:r>
        <w:rPr>
          <w:rFonts w:ascii="Florencesans Exp" w:eastAsia="Cambria" w:hAnsi="Florencesans Exp" w:cs="Times New Roman"/>
        </w:rPr>
        <w:t>G</w:t>
      </w:r>
      <w:r w:rsidRPr="005E6E1F">
        <w:rPr>
          <w:rFonts w:ascii="Florencesans Exp" w:eastAsia="Cambria" w:hAnsi="Florencesans Exp" w:cs="Times New Roman"/>
        </w:rPr>
        <w:t>. 9. ZOOM SUR LES DEPARTS EN RETRAITE</w:t>
      </w:r>
      <w:r w:rsidR="00FC3CF1">
        <w:rPr>
          <w:rFonts w:ascii="Florencesans Exp" w:eastAsia="Cambria" w:hAnsi="Florencesans Exp" w:cs="Times New Roman"/>
        </w:rPr>
        <w:t xml:space="preserve"> (TITRE 2)</w:t>
      </w: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Pr="00327231" w:rsidRDefault="00646BCA" w:rsidP="00646BCA">
      <w:pPr>
        <w:widowControl w:val="0"/>
        <w:autoSpaceDE w:val="0"/>
        <w:autoSpaceDN w:val="0"/>
        <w:adjustRightInd w:val="0"/>
        <w:jc w:val="center"/>
        <w:rPr>
          <w:rFonts w:ascii="Arial" w:eastAsia="Cambria" w:hAnsi="Arial" w:cs="Arial"/>
          <w:b/>
        </w:rPr>
      </w:pPr>
      <w:r w:rsidRPr="00327231">
        <w:rPr>
          <w:noProof/>
          <w:lang w:eastAsia="fr-FR"/>
        </w:rPr>
        <w:drawing>
          <wp:anchor distT="0" distB="0" distL="114300" distR="114300" simplePos="0" relativeHeight="251714560" behindDoc="1" locked="0" layoutInCell="1" allowOverlap="1" wp14:anchorId="58C9086E" wp14:editId="33554A77">
            <wp:simplePos x="0" y="0"/>
            <wp:positionH relativeFrom="margin">
              <wp:posOffset>-236220</wp:posOffset>
            </wp:positionH>
            <wp:positionV relativeFrom="paragraph">
              <wp:posOffset>234950</wp:posOffset>
            </wp:positionV>
            <wp:extent cx="6232525" cy="3860800"/>
            <wp:effectExtent l="0" t="0" r="0" b="6350"/>
            <wp:wrapTight wrapText="bothSides">
              <wp:wrapPolygon edited="0">
                <wp:start x="0" y="0"/>
                <wp:lineTo x="0" y="21529"/>
                <wp:lineTo x="21523" y="21529"/>
                <wp:lineTo x="21523" y="8526"/>
                <wp:lineTo x="20599" y="8526"/>
                <wp:lineTo x="21523" y="7887"/>
                <wp:lineTo x="21523" y="0"/>
                <wp:lineTo x="0" y="0"/>
              </wp:wrapPolygon>
            </wp:wrapTight>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32525" cy="38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7231">
        <w:rPr>
          <w:rFonts w:ascii="Arial" w:eastAsia="Cambria" w:hAnsi="Arial" w:cs="Arial"/>
          <w:b/>
        </w:rPr>
        <w:t xml:space="preserve">Nombre d’agents partis à la retraite ventilés par </w:t>
      </w:r>
      <w:r w:rsidR="009A1A03">
        <w:rPr>
          <w:rFonts w:ascii="Arial" w:eastAsia="Cambria" w:hAnsi="Arial" w:cs="Arial"/>
          <w:b/>
        </w:rPr>
        <w:t>genre</w:t>
      </w:r>
      <w:r w:rsidRPr="00327231">
        <w:rPr>
          <w:rFonts w:ascii="Arial" w:eastAsia="Cambria" w:hAnsi="Arial" w:cs="Arial"/>
          <w:b/>
        </w:rPr>
        <w:t>, filières et catégories</w:t>
      </w:r>
    </w:p>
    <w:p w:rsidR="00646BCA" w:rsidRPr="009131E8" w:rsidRDefault="00646BCA" w:rsidP="00646BCA">
      <w:pPr>
        <w:widowControl w:val="0"/>
        <w:autoSpaceDE w:val="0"/>
        <w:autoSpaceDN w:val="0"/>
        <w:adjustRightInd w:val="0"/>
        <w:jc w:val="both"/>
        <w:rPr>
          <w:rFonts w:ascii="Arial" w:eastAsia="Cambria" w:hAnsi="Arial" w:cs="Arial"/>
          <w:sz w:val="21"/>
          <w:szCs w:val="21"/>
        </w:rPr>
      </w:pPr>
      <w:r w:rsidRPr="009131E8">
        <w:rPr>
          <w:rFonts w:ascii="Arial" w:eastAsia="Cambria" w:hAnsi="Arial" w:cs="Arial"/>
          <w:sz w:val="21"/>
          <w:szCs w:val="21"/>
        </w:rPr>
        <w:t>En 2013, le nombre de départs en retraite re</w:t>
      </w:r>
      <w:r w:rsidR="00D17A36">
        <w:rPr>
          <w:rFonts w:ascii="Arial" w:eastAsia="Cambria" w:hAnsi="Arial" w:cs="Arial"/>
          <w:sz w:val="21"/>
          <w:szCs w:val="21"/>
        </w:rPr>
        <w:t>ste stable par rapport à 2012. S</w:t>
      </w:r>
      <w:r w:rsidRPr="009131E8">
        <w:rPr>
          <w:rFonts w:ascii="Arial" w:eastAsia="Cambria" w:hAnsi="Arial" w:cs="Arial"/>
          <w:sz w:val="21"/>
          <w:szCs w:val="21"/>
        </w:rPr>
        <w:t xml:space="preserve">a répartition par genre est relativement équilibrée : 45% de femmes et 55% d’hommes. </w:t>
      </w:r>
    </w:p>
    <w:p w:rsidR="00646BCA" w:rsidRPr="009131E8" w:rsidRDefault="00646BCA" w:rsidP="00646BCA">
      <w:pPr>
        <w:widowControl w:val="0"/>
        <w:autoSpaceDE w:val="0"/>
        <w:autoSpaceDN w:val="0"/>
        <w:adjustRightInd w:val="0"/>
        <w:jc w:val="both"/>
        <w:rPr>
          <w:rFonts w:ascii="Arial" w:eastAsia="Cambria" w:hAnsi="Arial" w:cs="Arial"/>
          <w:sz w:val="21"/>
          <w:szCs w:val="21"/>
        </w:rPr>
      </w:pPr>
    </w:p>
    <w:p w:rsidR="00646BCA" w:rsidRPr="009131E8" w:rsidRDefault="00646BCA" w:rsidP="00646BCA">
      <w:pPr>
        <w:widowControl w:val="0"/>
        <w:autoSpaceDE w:val="0"/>
        <w:autoSpaceDN w:val="0"/>
        <w:adjustRightInd w:val="0"/>
        <w:jc w:val="both"/>
        <w:rPr>
          <w:rFonts w:ascii="Arial" w:eastAsia="Cambria" w:hAnsi="Arial" w:cs="Arial"/>
          <w:sz w:val="21"/>
          <w:szCs w:val="21"/>
        </w:rPr>
      </w:pPr>
      <w:r w:rsidRPr="009131E8">
        <w:rPr>
          <w:rFonts w:ascii="Arial" w:eastAsia="Cambria" w:hAnsi="Arial" w:cs="Arial"/>
          <w:sz w:val="21"/>
          <w:szCs w:val="21"/>
        </w:rPr>
        <w:t>Les filières administrative et scientifique comptent davantage de départs féminins, soit respectivement 59 et 61 départs, représentant au total un tiers de l’ensemble des départs en retraite. Pour les hommes, la majorité des départs (83) se situent dans la filière technique et enseignement, soit 23% des départs en retraite au sein du ministère.</w:t>
      </w:r>
    </w:p>
    <w:p w:rsidR="00646BCA" w:rsidRPr="009131E8" w:rsidRDefault="00646BCA" w:rsidP="00646BCA">
      <w:pPr>
        <w:widowControl w:val="0"/>
        <w:autoSpaceDE w:val="0"/>
        <w:autoSpaceDN w:val="0"/>
        <w:adjustRightInd w:val="0"/>
        <w:jc w:val="both"/>
        <w:rPr>
          <w:rFonts w:ascii="Arial" w:eastAsia="Cambria" w:hAnsi="Arial" w:cs="Arial"/>
          <w:sz w:val="21"/>
          <w:szCs w:val="21"/>
        </w:rPr>
      </w:pPr>
    </w:p>
    <w:p w:rsidR="00646BCA" w:rsidRPr="009131E8" w:rsidRDefault="00646BCA" w:rsidP="00646BCA">
      <w:pPr>
        <w:widowControl w:val="0"/>
        <w:autoSpaceDE w:val="0"/>
        <w:autoSpaceDN w:val="0"/>
        <w:adjustRightInd w:val="0"/>
        <w:jc w:val="both"/>
        <w:rPr>
          <w:rFonts w:ascii="Arial" w:eastAsia="Cambria" w:hAnsi="Arial" w:cs="Arial"/>
          <w:sz w:val="21"/>
          <w:szCs w:val="21"/>
        </w:rPr>
      </w:pPr>
      <w:r w:rsidRPr="009131E8">
        <w:rPr>
          <w:noProof/>
          <w:sz w:val="21"/>
          <w:szCs w:val="21"/>
          <w:lang w:eastAsia="fr-FR"/>
        </w:rPr>
        <w:drawing>
          <wp:anchor distT="0" distB="0" distL="114300" distR="114300" simplePos="0" relativeHeight="251741184" behindDoc="1" locked="0" layoutInCell="1" allowOverlap="1" wp14:anchorId="6A167D49" wp14:editId="7BD15359">
            <wp:simplePos x="0" y="0"/>
            <wp:positionH relativeFrom="margin">
              <wp:align>center</wp:align>
            </wp:positionH>
            <wp:positionV relativeFrom="paragraph">
              <wp:posOffset>480695</wp:posOffset>
            </wp:positionV>
            <wp:extent cx="5600700" cy="2432050"/>
            <wp:effectExtent l="0" t="0" r="0" b="6350"/>
            <wp:wrapTight wrapText="bothSides">
              <wp:wrapPolygon edited="0">
                <wp:start x="0" y="0"/>
                <wp:lineTo x="0" y="21487"/>
                <wp:lineTo x="21527" y="21487"/>
                <wp:lineTo x="21527" y="0"/>
                <wp:lineTo x="0" y="0"/>
              </wp:wrapPolygon>
            </wp:wrapTight>
            <wp:docPr id="127" name="Graphique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margin">
              <wp14:pctWidth>0</wp14:pctWidth>
            </wp14:sizeRelH>
            <wp14:sizeRelV relativeFrom="margin">
              <wp14:pctHeight>0</wp14:pctHeight>
            </wp14:sizeRelV>
          </wp:anchor>
        </w:drawing>
      </w:r>
      <w:r w:rsidRPr="009131E8">
        <w:rPr>
          <w:rFonts w:ascii="Arial" w:eastAsia="Cambria" w:hAnsi="Arial" w:cs="Arial"/>
          <w:sz w:val="21"/>
          <w:szCs w:val="21"/>
        </w:rPr>
        <w:t>La majorité de départs en retraite est observée au sein de la catégorie A, soit 37% de l’ensemble des départs, se répartissant par 54% d’hommes et 46% de femmes. La catégorie C représente 28% des départs, dont 55% d’hommes et 45% de femmes.</w:t>
      </w:r>
    </w:p>
    <w:p w:rsidR="00646BCA" w:rsidRDefault="00646BCA" w:rsidP="00646BCA">
      <w:pPr>
        <w:widowControl w:val="0"/>
        <w:tabs>
          <w:tab w:val="left" w:pos="1078"/>
        </w:tabs>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center"/>
        <w:rPr>
          <w:rFonts w:ascii="Arial" w:eastAsia="Cambria" w:hAnsi="Arial" w:cs="Arial"/>
          <w:b/>
        </w:rPr>
      </w:pPr>
    </w:p>
    <w:p w:rsidR="00646BCA" w:rsidRPr="00241CC9" w:rsidRDefault="00646BCA" w:rsidP="00646BCA">
      <w:pPr>
        <w:widowControl w:val="0"/>
        <w:autoSpaceDE w:val="0"/>
        <w:autoSpaceDN w:val="0"/>
        <w:adjustRightInd w:val="0"/>
        <w:jc w:val="center"/>
        <w:rPr>
          <w:rFonts w:ascii="Arial" w:eastAsia="Cambria" w:hAnsi="Arial" w:cs="Arial"/>
          <w:b/>
        </w:rPr>
      </w:pPr>
      <w:r w:rsidRPr="00241CC9">
        <w:rPr>
          <w:rFonts w:ascii="Arial" w:eastAsia="Cambria" w:hAnsi="Arial" w:cs="Arial"/>
          <w:b/>
        </w:rPr>
        <w:t>Moyenne d’âge des agents partis à la retraite</w:t>
      </w:r>
      <w:r>
        <w:rPr>
          <w:rFonts w:ascii="Arial" w:eastAsia="Cambria" w:hAnsi="Arial" w:cs="Arial"/>
          <w:b/>
        </w:rPr>
        <w:t>,</w:t>
      </w:r>
      <w:r w:rsidRPr="00241CC9">
        <w:rPr>
          <w:rFonts w:ascii="Arial" w:eastAsia="Cambria" w:hAnsi="Arial" w:cs="Arial"/>
          <w:b/>
        </w:rPr>
        <w:t xml:space="preserve"> ventilés par </w:t>
      </w:r>
      <w:r w:rsidR="009A1A03">
        <w:rPr>
          <w:rFonts w:ascii="Arial" w:eastAsia="Cambria" w:hAnsi="Arial" w:cs="Arial"/>
          <w:b/>
        </w:rPr>
        <w:t>genre</w:t>
      </w:r>
      <w:r w:rsidRPr="00241CC9">
        <w:rPr>
          <w:rFonts w:ascii="Arial" w:eastAsia="Cambria" w:hAnsi="Arial" w:cs="Arial"/>
          <w:b/>
        </w:rPr>
        <w:t>, filières et catégories</w:t>
      </w:r>
    </w:p>
    <w:p w:rsidR="00646BCA" w:rsidRDefault="00646BCA" w:rsidP="00646BCA">
      <w:pPr>
        <w:widowControl w:val="0"/>
        <w:autoSpaceDE w:val="0"/>
        <w:autoSpaceDN w:val="0"/>
        <w:adjustRightInd w:val="0"/>
        <w:jc w:val="both"/>
        <w:rPr>
          <w:rFonts w:ascii="BlairMdITC TT-Medium" w:eastAsia="Cambria" w:hAnsi="BlairMdITC TT-Medium" w:cs="Times New Roman"/>
        </w:rPr>
      </w:pPr>
      <w:r w:rsidRPr="0034072F">
        <w:rPr>
          <w:rFonts w:ascii="Arial" w:eastAsia="Cambria" w:hAnsi="Arial" w:cs="Arial"/>
          <w:noProof/>
          <w:lang w:eastAsia="fr-FR"/>
        </w:rPr>
        <mc:AlternateContent>
          <mc:Choice Requires="wps">
            <w:drawing>
              <wp:anchor distT="45720" distB="45720" distL="114300" distR="114300" simplePos="0" relativeHeight="251740160" behindDoc="1" locked="0" layoutInCell="1" allowOverlap="1" wp14:anchorId="28778AE0" wp14:editId="0D176B80">
                <wp:simplePos x="0" y="0"/>
                <wp:positionH relativeFrom="column">
                  <wp:posOffset>-799465</wp:posOffset>
                </wp:positionH>
                <wp:positionV relativeFrom="paragraph">
                  <wp:posOffset>307975</wp:posOffset>
                </wp:positionV>
                <wp:extent cx="1195200" cy="540000"/>
                <wp:effectExtent l="0" t="0" r="508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200" cy="540000"/>
                        </a:xfrm>
                        <a:prstGeom prst="rect">
                          <a:avLst/>
                        </a:prstGeom>
                        <a:solidFill>
                          <a:srgbClr val="FFFFFF"/>
                        </a:solidFill>
                        <a:ln w="9525">
                          <a:noFill/>
                          <a:miter lim="800000"/>
                          <a:headEnd/>
                          <a:tailEnd/>
                        </a:ln>
                      </wps:spPr>
                      <wps:txbx>
                        <w:txbxContent>
                          <w:p w:rsidR="007B1397" w:rsidRDefault="007B1397" w:rsidP="00646B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78AE0" id="_x0000_s1068" type="#_x0000_t202" style="position:absolute;left:0;text-align:left;margin-left:-62.95pt;margin-top:24.25pt;width:94.1pt;height:42.5pt;z-index:-25157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" stroked="f">
                <v:textbox>
                  <w:txbxContent>
                    <w:p w:rsidR="007B1397" w:rsidRDefault="007B1397" w:rsidP="00646BCA"/>
                  </w:txbxContent>
                </v:textbox>
              </v:shape>
            </w:pict>
          </mc:Fallback>
        </mc:AlternateContent>
      </w:r>
    </w:p>
    <w:p w:rsidR="00646BCA" w:rsidRDefault="00646BCA" w:rsidP="00646BCA">
      <w:pPr>
        <w:widowControl w:val="0"/>
        <w:autoSpaceDE w:val="0"/>
        <w:autoSpaceDN w:val="0"/>
        <w:adjustRightInd w:val="0"/>
        <w:jc w:val="both"/>
        <w:rPr>
          <w:rFonts w:ascii="BlairMdITC TT-Medium" w:eastAsia="Cambria" w:hAnsi="BlairMdITC TT-Medium" w:cs="Times New Roman"/>
        </w:rPr>
      </w:pPr>
      <w:r w:rsidRPr="00241CC9">
        <w:rPr>
          <w:noProof/>
          <w:lang w:eastAsia="fr-FR"/>
        </w:rPr>
        <w:drawing>
          <wp:anchor distT="0" distB="0" distL="114300" distR="114300" simplePos="0" relativeHeight="251715584" behindDoc="1" locked="0" layoutInCell="1" allowOverlap="1" wp14:anchorId="5683C2D9" wp14:editId="17D6E543">
            <wp:simplePos x="0" y="0"/>
            <wp:positionH relativeFrom="margin">
              <wp:align>center</wp:align>
            </wp:positionH>
            <wp:positionV relativeFrom="paragraph">
              <wp:posOffset>2540</wp:posOffset>
            </wp:positionV>
            <wp:extent cx="4387850" cy="3968750"/>
            <wp:effectExtent l="0" t="0" r="0" b="0"/>
            <wp:wrapTight wrapText="bothSides">
              <wp:wrapPolygon edited="0">
                <wp:start x="0" y="0"/>
                <wp:lineTo x="0" y="21462"/>
                <wp:lineTo x="21475" y="21462"/>
                <wp:lineTo x="21475" y="20529"/>
                <wp:lineTo x="21287" y="20321"/>
                <wp:lineTo x="19881" y="19907"/>
                <wp:lineTo x="21475" y="19699"/>
                <wp:lineTo x="21475" y="18662"/>
                <wp:lineTo x="20068" y="18248"/>
                <wp:lineTo x="21100" y="18248"/>
                <wp:lineTo x="21475" y="17833"/>
                <wp:lineTo x="21475" y="13375"/>
                <wp:lineTo x="21287" y="13271"/>
                <wp:lineTo x="20068" y="13271"/>
                <wp:lineTo x="21475" y="12649"/>
                <wp:lineTo x="21475" y="8916"/>
                <wp:lineTo x="21287" y="8709"/>
                <wp:lineTo x="20068" y="8294"/>
                <wp:lineTo x="21194" y="8294"/>
                <wp:lineTo x="21475" y="7983"/>
                <wp:lineTo x="21475" y="5391"/>
                <wp:lineTo x="21381" y="5288"/>
                <wp:lineTo x="19975" y="4977"/>
                <wp:lineTo x="21475" y="4562"/>
                <wp:lineTo x="21475" y="3421"/>
                <wp:lineTo x="20912" y="3318"/>
                <wp:lineTo x="21475" y="2696"/>
                <wp:lineTo x="21475" y="0"/>
                <wp:lineTo x="0" y="0"/>
              </wp:wrapPolygon>
            </wp:wrapTight>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87850" cy="3968750"/>
                    </a:xfrm>
                    <a:prstGeom prst="rect">
                      <a:avLst/>
                    </a:prstGeom>
                    <a:noFill/>
                    <a:ln>
                      <a:noFill/>
                    </a:ln>
                  </pic:spPr>
                </pic:pic>
              </a:graphicData>
            </a:graphic>
          </wp:anchor>
        </w:drawing>
      </w: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Default="00646BCA" w:rsidP="00646BCA">
      <w:pPr>
        <w:widowControl w:val="0"/>
        <w:autoSpaceDE w:val="0"/>
        <w:autoSpaceDN w:val="0"/>
        <w:adjustRightInd w:val="0"/>
        <w:jc w:val="both"/>
        <w:rPr>
          <w:rFonts w:ascii="BlairMdITC TT-Medium" w:eastAsia="Cambria" w:hAnsi="BlairMdITC TT-Medium" w:cs="Times New Roman"/>
        </w:rPr>
      </w:pP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 xml:space="preserve">La moyenne d’âge de départs en retraite reste identique à celle de 2012, soit 63 ans. </w:t>
      </w: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C’est dans la filière administrative que les femmes partent le plus tôt à la retraite, soit une moyenne d’âge de 62 ans. Le constat est identique pour les hommes de la filière accueil, surveillance et magasinage.</w:t>
      </w:r>
    </w:p>
    <w:p w:rsidR="00646BCA" w:rsidRPr="00540D0A" w:rsidRDefault="00646BCA" w:rsidP="00646BCA">
      <w:pPr>
        <w:widowControl w:val="0"/>
        <w:autoSpaceDE w:val="0"/>
        <w:autoSpaceDN w:val="0"/>
        <w:adjustRightInd w:val="0"/>
        <w:jc w:val="both"/>
        <w:rPr>
          <w:rFonts w:ascii="Arial" w:eastAsia="Cambria" w:hAnsi="Arial" w:cs="Arial"/>
          <w:sz w:val="22"/>
          <w:szCs w:val="22"/>
        </w:rPr>
      </w:pP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 xml:space="preserve">Une observation plus détaillée fait apparaître l’âge moyen de départ en retraite le plus tôt, 60 ans pour les agents non titulaires masculins de catégorie B et 61 ans pour les femmes des filières administrative et technique et enseignement, respectivement en catégorie B et C. </w:t>
      </w:r>
    </w:p>
    <w:p w:rsidR="00646BCA" w:rsidRPr="00540D0A" w:rsidRDefault="00646BCA" w:rsidP="00646BCA">
      <w:pPr>
        <w:widowControl w:val="0"/>
        <w:autoSpaceDE w:val="0"/>
        <w:autoSpaceDN w:val="0"/>
        <w:adjustRightInd w:val="0"/>
        <w:jc w:val="both"/>
        <w:rPr>
          <w:rFonts w:ascii="Arial" w:eastAsia="Cambria" w:hAnsi="Arial" w:cs="Arial"/>
          <w:sz w:val="22"/>
          <w:szCs w:val="22"/>
        </w:rPr>
      </w:pPr>
      <w:r w:rsidRPr="00540D0A">
        <w:rPr>
          <w:rFonts w:ascii="Arial" w:eastAsia="Cambria" w:hAnsi="Arial" w:cs="Arial"/>
          <w:sz w:val="22"/>
          <w:szCs w:val="22"/>
        </w:rPr>
        <w:t>Tandis que l’âge moyen de départ le plus tardif est à 67 ans pour les hommes de catégorie A+ dans la filière technique et enseignement, et à 66 ans pour les femmes dans les mêmes filière et catégorie.</w:t>
      </w:r>
    </w:p>
    <w:p w:rsidR="00646BCA" w:rsidRDefault="00646BCA" w:rsidP="00646BCA">
      <w:pPr>
        <w:rPr>
          <w:rFonts w:ascii="BlairMdITC TT-Medium" w:eastAsia="Cambria" w:hAnsi="BlairMdITC TT-Medium" w:cs="Times New Roman"/>
        </w:rPr>
      </w:pPr>
      <w:r>
        <w:rPr>
          <w:rFonts w:ascii="BlairMdITC TT-Medium" w:eastAsia="Cambria" w:hAnsi="BlairMdITC TT-Medium" w:cs="Times New Roman"/>
        </w:rPr>
        <w:br w:type="page"/>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7C6CBC" w:rsidRDefault="00646BCA" w:rsidP="00646BCA">
      <w:pPr>
        <w:widowControl w:val="0"/>
        <w:autoSpaceDE w:val="0"/>
        <w:autoSpaceDN w:val="0"/>
        <w:adjustRightInd w:val="0"/>
        <w:jc w:val="both"/>
        <w:rPr>
          <w:rFonts w:ascii="Florencesans Exp" w:eastAsia="Cambria" w:hAnsi="Florencesans Exp" w:cs="Times New Roman"/>
        </w:rPr>
      </w:pPr>
      <w:r w:rsidRPr="007C6CBC">
        <w:rPr>
          <w:rFonts w:ascii="Florencesans Exp" w:eastAsia="Cambria" w:hAnsi="Florencesans Exp" w:cs="Times New Roman"/>
        </w:rPr>
        <w:t xml:space="preserve">1. </w:t>
      </w:r>
      <w:r>
        <w:rPr>
          <w:rFonts w:ascii="Florencesans Exp" w:eastAsia="Cambria" w:hAnsi="Florencesans Exp" w:cs="Times New Roman"/>
        </w:rPr>
        <w:t>G</w:t>
      </w:r>
      <w:r w:rsidRPr="007C6CBC">
        <w:rPr>
          <w:rFonts w:ascii="Florencesans Exp" w:eastAsia="Cambria" w:hAnsi="Florencesans Exp" w:cs="Times New Roman"/>
        </w:rPr>
        <w:t>. 10. FOCUS SUR LES CONCOURS (DONNEES T2 ET T3)</w:t>
      </w:r>
    </w:p>
    <w:p w:rsidR="00646BCA" w:rsidRPr="00C363EE" w:rsidRDefault="00646BCA" w:rsidP="00646BCA">
      <w:pPr>
        <w:widowControl w:val="0"/>
        <w:autoSpaceDE w:val="0"/>
        <w:autoSpaceDN w:val="0"/>
        <w:adjustRightInd w:val="0"/>
        <w:jc w:val="both"/>
        <w:rPr>
          <w:rFonts w:ascii="BlairMdITC TT-Medium" w:eastAsia="Cambria" w:hAnsi="BlairMdITC TT-Medium" w:cs="Times New Roman"/>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rPr>
      </w:pPr>
      <w:r w:rsidRPr="00540D0A">
        <w:rPr>
          <w:rFonts w:ascii="Arial" w:eastAsia="Cambria" w:hAnsi="Arial" w:cs="Times New Roman"/>
          <w:color w:val="000000"/>
          <w:sz w:val="22"/>
          <w:szCs w:val="22"/>
        </w:rPr>
        <w:t xml:space="preserve">Les concours externes sont ouverts aux candidats justifiant de certains diplômes ou de l'accomplissement de certaines études. Cependant, des concours de catégorie C sont ouverts sans conditions de diplômes. Les concours internes sont ouverts aux fonctionnaires et aux agents publics en activité ayant accompli une certaine durée de services dans les conditions prévues par les statuts particuliers. </w:t>
      </w: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rPr>
      </w:pPr>
    </w:p>
    <w:p w:rsidR="00646BCA" w:rsidRPr="00540D0A" w:rsidRDefault="00646BCA" w:rsidP="00646BCA">
      <w:pPr>
        <w:widowControl w:val="0"/>
        <w:autoSpaceDE w:val="0"/>
        <w:autoSpaceDN w:val="0"/>
        <w:adjustRightInd w:val="0"/>
        <w:jc w:val="both"/>
        <w:rPr>
          <w:rFonts w:ascii="Arial" w:eastAsia="Cambria" w:hAnsi="Arial" w:cs="Times New Roman"/>
          <w:color w:val="000000"/>
          <w:sz w:val="22"/>
          <w:szCs w:val="22"/>
        </w:rPr>
      </w:pPr>
      <w:r w:rsidRPr="00540D0A">
        <w:rPr>
          <w:rFonts w:ascii="Arial" w:eastAsia="Cambria" w:hAnsi="Arial" w:cs="Times New Roman"/>
          <w:color w:val="000000"/>
          <w:sz w:val="22"/>
          <w:szCs w:val="22"/>
        </w:rPr>
        <w:t>En 2013, le ministère de la culture et de la communication a mis en application la loi Sauvadet au titre du corps des adjoints techniques d'accueil de surveillance et de magasinage conformément à la loi n° 2012-347 du 12 mars 2012 relative à l’accès à l’emploi titulaire et à l’amélioration des conditions d’emploi des agents contractuels dans la fonction publique, à la lutte contre les discriminations et portant diverses dispositions relatives à la fonction publique et au décret n° 2012-631 du 3 mai 2012 modifié relatif aux conditions d’éligibilité des candidats aux recrutements réservés pour l’accès aux corps de fonctionnaires de l’État des catégories A, B et C et fixant les conditions générales d’organisation de ces recrutements.</w:t>
      </w:r>
    </w:p>
    <w:p w:rsidR="00646BCA" w:rsidRPr="00C363EE" w:rsidRDefault="00646BCA" w:rsidP="00646BCA">
      <w:pPr>
        <w:widowControl w:val="0"/>
        <w:autoSpaceDE w:val="0"/>
        <w:autoSpaceDN w:val="0"/>
        <w:adjustRightInd w:val="0"/>
        <w:jc w:val="both"/>
        <w:rPr>
          <w:rFonts w:ascii="Cambria" w:eastAsia="Cambria" w:hAnsi="Cambria" w:cs="Times New Roman"/>
          <w:sz w:val="16"/>
        </w:rPr>
      </w:pPr>
    </w:p>
    <w:p w:rsidR="00646BCA" w:rsidRDefault="00646BCA" w:rsidP="00646BCA">
      <w:pPr>
        <w:widowControl w:val="0"/>
        <w:autoSpaceDE w:val="0"/>
        <w:autoSpaceDN w:val="0"/>
        <w:adjustRightInd w:val="0"/>
        <w:jc w:val="center"/>
        <w:rPr>
          <w:rFonts w:ascii="Arial" w:eastAsia="Cambria" w:hAnsi="Arial" w:cs="Times New Roman"/>
          <w:b/>
        </w:rPr>
      </w:pPr>
    </w:p>
    <w:p w:rsidR="00646BCA" w:rsidRDefault="00646BCA" w:rsidP="00646BCA">
      <w:pPr>
        <w:widowControl w:val="0"/>
        <w:autoSpaceDE w:val="0"/>
        <w:autoSpaceDN w:val="0"/>
        <w:adjustRightInd w:val="0"/>
        <w:jc w:val="center"/>
        <w:rPr>
          <w:rFonts w:ascii="Arial" w:eastAsia="Cambria" w:hAnsi="Arial" w:cs="Times New Roman"/>
          <w:b/>
        </w:rPr>
      </w:pPr>
      <w:r w:rsidRPr="00C363EE">
        <w:rPr>
          <w:rFonts w:ascii="Arial" w:eastAsia="Cambria" w:hAnsi="Arial" w:cs="Times New Roman"/>
          <w:b/>
        </w:rPr>
        <w:t xml:space="preserve">Concours </w:t>
      </w:r>
      <w:r>
        <w:rPr>
          <w:rFonts w:ascii="Arial" w:eastAsia="Cambria" w:hAnsi="Arial" w:cs="Times New Roman"/>
          <w:b/>
        </w:rPr>
        <w:t>ouverts au titre de l’année 2013</w:t>
      </w:r>
    </w:p>
    <w:p w:rsidR="00646BCA" w:rsidRDefault="00646BCA" w:rsidP="00646BCA">
      <w:pPr>
        <w:widowControl w:val="0"/>
        <w:autoSpaceDE w:val="0"/>
        <w:autoSpaceDN w:val="0"/>
        <w:adjustRightInd w:val="0"/>
        <w:jc w:val="center"/>
        <w:rPr>
          <w:rFonts w:ascii="Arial" w:eastAsia="Cambria" w:hAnsi="Arial" w:cs="Times New Roman"/>
          <w:b/>
        </w:rPr>
      </w:pPr>
      <w:r w:rsidRPr="007D6456">
        <w:rPr>
          <w:noProof/>
          <w:lang w:eastAsia="fr-FR"/>
        </w:rPr>
        <w:drawing>
          <wp:anchor distT="0" distB="0" distL="114300" distR="114300" simplePos="0" relativeHeight="251716608" behindDoc="1" locked="0" layoutInCell="1" allowOverlap="1" wp14:anchorId="2A25FA6E" wp14:editId="0E05258E">
            <wp:simplePos x="0" y="0"/>
            <wp:positionH relativeFrom="margin">
              <wp:align>right</wp:align>
            </wp:positionH>
            <wp:positionV relativeFrom="paragraph">
              <wp:posOffset>240665</wp:posOffset>
            </wp:positionV>
            <wp:extent cx="5760720" cy="3125282"/>
            <wp:effectExtent l="0" t="0" r="0" b="0"/>
            <wp:wrapTight wrapText="bothSides">
              <wp:wrapPolygon edited="0">
                <wp:start x="0" y="0"/>
                <wp:lineTo x="0" y="21464"/>
                <wp:lineTo x="21500" y="21464"/>
                <wp:lineTo x="21500" y="0"/>
                <wp:lineTo x="0" y="0"/>
              </wp:wrapPolygon>
            </wp:wrapTight>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60720" cy="3125282"/>
                    </a:xfrm>
                    <a:prstGeom prst="rect">
                      <a:avLst/>
                    </a:prstGeom>
                    <a:noFill/>
                    <a:ln>
                      <a:noFill/>
                    </a:ln>
                  </pic:spPr>
                </pic:pic>
              </a:graphicData>
            </a:graphic>
          </wp:anchor>
        </w:drawing>
      </w:r>
    </w:p>
    <w:p w:rsidR="003D54CF" w:rsidRDefault="003D54CF" w:rsidP="00646BCA">
      <w:pPr>
        <w:widowControl w:val="0"/>
        <w:autoSpaceDE w:val="0"/>
        <w:autoSpaceDN w:val="0"/>
        <w:adjustRightInd w:val="0"/>
        <w:jc w:val="center"/>
        <w:rPr>
          <w:rFonts w:ascii="Arial" w:eastAsia="Cambria" w:hAnsi="Arial" w:cs="Times New Roman"/>
          <w:b/>
        </w:rPr>
      </w:pPr>
    </w:p>
    <w:p w:rsidR="00646BCA" w:rsidRDefault="003D54CF" w:rsidP="00646BCA">
      <w:pPr>
        <w:widowControl w:val="0"/>
        <w:autoSpaceDE w:val="0"/>
        <w:autoSpaceDN w:val="0"/>
        <w:adjustRightInd w:val="0"/>
        <w:jc w:val="center"/>
        <w:rPr>
          <w:rFonts w:ascii="Arial" w:eastAsia="Cambria" w:hAnsi="Arial" w:cs="Times New Roman"/>
          <w:b/>
        </w:rPr>
      </w:pPr>
      <w:r w:rsidRPr="00CB1DA4">
        <w:rPr>
          <w:noProof/>
          <w:lang w:eastAsia="fr-FR"/>
        </w:rPr>
        <w:drawing>
          <wp:anchor distT="0" distB="0" distL="114300" distR="114300" simplePos="0" relativeHeight="251717632" behindDoc="1" locked="0" layoutInCell="1" allowOverlap="1" wp14:anchorId="398A24F9" wp14:editId="03B9377B">
            <wp:simplePos x="0" y="0"/>
            <wp:positionH relativeFrom="margin">
              <wp:align>center</wp:align>
            </wp:positionH>
            <wp:positionV relativeFrom="paragraph">
              <wp:posOffset>295275</wp:posOffset>
            </wp:positionV>
            <wp:extent cx="6620510" cy="1371600"/>
            <wp:effectExtent l="0" t="0" r="8890" b="0"/>
            <wp:wrapTight wrapText="bothSides">
              <wp:wrapPolygon edited="0">
                <wp:start x="0" y="0"/>
                <wp:lineTo x="0" y="21300"/>
                <wp:lineTo x="21567" y="21300"/>
                <wp:lineTo x="21567"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2051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6BCA" w:rsidRPr="003D54CF">
        <w:rPr>
          <w:rFonts w:ascii="Arial" w:eastAsia="Cambria" w:hAnsi="Arial" w:cs="Times New Roman"/>
          <w:b/>
        </w:rPr>
        <w:t>Nombre de titularisation après concours ou examens professionnels</w:t>
      </w:r>
    </w:p>
    <w:p w:rsidR="00646BCA" w:rsidRPr="00C363EE" w:rsidRDefault="00646BCA" w:rsidP="00646BCA">
      <w:pPr>
        <w:widowControl w:val="0"/>
        <w:autoSpaceDE w:val="0"/>
        <w:autoSpaceDN w:val="0"/>
        <w:adjustRightInd w:val="0"/>
        <w:jc w:val="center"/>
        <w:rPr>
          <w:rFonts w:ascii="Arial" w:eastAsia="Cambria" w:hAnsi="Arial" w:cs="Times New Roman"/>
          <w:b/>
        </w:rPr>
      </w:pPr>
    </w:p>
    <w:p w:rsidR="00646BCA" w:rsidRDefault="00646BCA" w:rsidP="00646BCA">
      <w:pPr>
        <w:sectPr w:rsidR="00646BCA" w:rsidSect="00D1704E">
          <w:headerReference w:type="default" r:id="rId154"/>
          <w:pgSz w:w="11906" w:h="16838"/>
          <w:pgMar w:top="1417" w:right="1417" w:bottom="1417" w:left="1417" w:header="709" w:footer="708" w:gutter="0"/>
          <w:cols w:space="708"/>
          <w:titlePg/>
          <w:docGrid w:linePitch="360"/>
        </w:sectPr>
      </w:pPr>
    </w:p>
    <w:p w:rsidR="00646BCA" w:rsidRPr="00540D0A" w:rsidRDefault="00646BCA" w:rsidP="00646BCA">
      <w:pPr>
        <w:rPr>
          <w:rFonts w:ascii="Arial" w:hAnsi="Arial" w:cs="Arial"/>
          <w:sz w:val="22"/>
          <w:szCs w:val="22"/>
        </w:rPr>
      </w:pPr>
    </w:p>
    <w:p w:rsidR="003A6B6B" w:rsidRPr="004442B4" w:rsidRDefault="003A6B6B" w:rsidP="003A6B6B">
      <w:pPr>
        <w:rPr>
          <w:rFonts w:ascii="Arial Unicode MS" w:eastAsia="Cambria" w:hAnsi="Arial Unicode MS" w:cs="Times New Roman"/>
          <w:sz w:val="28"/>
        </w:rPr>
      </w:pPr>
      <w:r w:rsidRPr="004442B4">
        <w:rPr>
          <w:rFonts w:ascii="Arial Unicode MS" w:eastAsia="Cambria" w:hAnsi="Arial Unicode MS" w:cs="Times New Roman"/>
          <w:noProof/>
          <w:sz w:val="28"/>
          <w:lang w:eastAsia="fr-FR"/>
        </w:rPr>
        <mc:AlternateContent>
          <mc:Choice Requires="wps">
            <w:drawing>
              <wp:anchor distT="0" distB="0" distL="114300" distR="114300" simplePos="0" relativeHeight="251772928" behindDoc="0" locked="0" layoutInCell="1" allowOverlap="1" wp14:anchorId="7A5EBAFE" wp14:editId="1F38A33A">
                <wp:simplePos x="0" y="0"/>
                <wp:positionH relativeFrom="column">
                  <wp:posOffset>228600</wp:posOffset>
                </wp:positionH>
                <wp:positionV relativeFrom="paragraph">
                  <wp:posOffset>0</wp:posOffset>
                </wp:positionV>
                <wp:extent cx="457200" cy="457200"/>
                <wp:effectExtent l="0" t="0" r="3810" b="1905"/>
                <wp:wrapTight wrapText="bothSides">
                  <wp:wrapPolygon edited="0">
                    <wp:start x="0" y="0"/>
                    <wp:lineTo x="21600" y="0"/>
                    <wp:lineTo x="21600" y="21600"/>
                    <wp:lineTo x="0" y="21600"/>
                    <wp:lineTo x="0" y="0"/>
                  </wp:wrapPolygon>
                </wp:wrapTight>
                <wp:docPr id="55"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4442B4" w:rsidRDefault="007B1397" w:rsidP="003A6B6B">
                            <w:pPr>
                              <w:jc w:val="center"/>
                              <w:rPr>
                                <w:rFonts w:ascii="Apple Casual" w:eastAsia="GB18030 Bitmap" w:hAnsi="Apple Casual"/>
                                <w:b/>
                                <w:color w:val="FFFFFF"/>
                                <w:sz w:val="48"/>
                              </w:rPr>
                            </w:pPr>
                            <w:r w:rsidRPr="004442B4">
                              <w:rPr>
                                <w:rFonts w:ascii="Apple Casual" w:eastAsia="GB18030 Bitmap" w:hAnsi="Apple Casual"/>
                                <w:b/>
                                <w:color w:val="FFFFFF"/>
                                <w:sz w:val="48"/>
                              </w:rPr>
                              <w:t>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EBAFE" id="Zone de texte 55" o:spid="_x0000_s1069" type="#_x0000_t202" style="position:absolute;margin-left:18pt;margin-top:0;width:36pt;height:3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" filled="f" stroked="f">
                <v:textbox inset=",7.2pt,,7.2pt">
                  <w:txbxContent>
                    <w:p w:rsidR="007B1397" w:rsidRPr="004442B4" w:rsidRDefault="007B1397" w:rsidP="003A6B6B">
                      <w:pPr>
                        <w:jc w:val="center"/>
                        <w:rPr>
                          <w:rFonts w:ascii="Apple Casual" w:eastAsia="GB18030 Bitmap" w:hAnsi="Apple Casual"/>
                          <w:b/>
                          <w:color w:val="FFFFFF"/>
                          <w:sz w:val="48"/>
                        </w:rPr>
                      </w:pPr>
                      <w:r w:rsidRPr="004442B4">
                        <w:rPr>
                          <w:rFonts w:ascii="Apple Casual" w:eastAsia="GB18030 Bitmap" w:hAnsi="Apple Casual"/>
                          <w:b/>
                          <w:color w:val="FFFFFF"/>
                          <w:sz w:val="48"/>
                        </w:rPr>
                        <w:t>2</w:t>
                      </w:r>
                    </w:p>
                  </w:txbxContent>
                </v:textbox>
                <w10:wrap type="tight"/>
              </v:shape>
            </w:pict>
          </mc:Fallback>
        </mc:AlternateContent>
      </w:r>
      <w:r w:rsidRPr="004442B4">
        <w:rPr>
          <w:rFonts w:ascii="Arial Unicode MS" w:eastAsia="Cambria" w:hAnsi="Arial Unicode MS" w:cs="Times New Roman"/>
          <w:noProof/>
          <w:sz w:val="28"/>
          <w:lang w:eastAsia="fr-FR"/>
        </w:rPr>
        <mc:AlternateContent>
          <mc:Choice Requires="wps">
            <w:drawing>
              <wp:anchor distT="0" distB="0" distL="114300" distR="114300" simplePos="0" relativeHeight="251771904" behindDoc="0" locked="0" layoutInCell="1" allowOverlap="1" wp14:anchorId="5ADAB2C6" wp14:editId="13093371">
                <wp:simplePos x="0" y="0"/>
                <wp:positionH relativeFrom="column">
                  <wp:posOffset>0</wp:posOffset>
                </wp:positionH>
                <wp:positionV relativeFrom="paragraph">
                  <wp:posOffset>-228600</wp:posOffset>
                </wp:positionV>
                <wp:extent cx="914400" cy="914400"/>
                <wp:effectExtent l="15240" t="17145" r="13335" b="11430"/>
                <wp:wrapNone/>
                <wp:docPr id="56" name="Ellips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0080FF"/>
                        </a:solidFill>
                        <a:ln w="19050">
                          <a:solidFill>
                            <a:srgbClr val="0080FF"/>
                          </a:solidFill>
                          <a:round/>
                          <a:headEnd/>
                          <a:tailEnd/>
                        </a:ln>
                        <a:effectLst/>
                        <a:extLs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52B6C7" id="Ellipse 56" o:spid="_x0000_s1026" style="position:absolute;margin-left:0;margin-top:-18pt;width:1in;height:1in;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" fillcolor="#0080ff" strokecolor="#0080ff" strokeweight="1.5pt">
                <v:shadow opacity="22938f" offset="0"/>
                <v:textbox inset=",7.2pt,,7.2pt"/>
              </v:oval>
            </w:pict>
          </mc:Fallback>
        </mc:AlternateContent>
      </w:r>
    </w:p>
    <w:p w:rsidR="003A6B6B" w:rsidRPr="004442B4" w:rsidRDefault="003A6B6B" w:rsidP="003A6B6B">
      <w:pPr>
        <w:rPr>
          <w:rFonts w:ascii="Arial Unicode MS" w:eastAsia="Cambria" w:hAnsi="Arial Unicode MS" w:cs="Times New Roman"/>
          <w:sz w:val="28"/>
        </w:rPr>
      </w:pPr>
    </w:p>
    <w:p w:rsidR="003A6B6B" w:rsidRPr="004442B4" w:rsidRDefault="003A6B6B" w:rsidP="003A6B6B">
      <w:pPr>
        <w:rPr>
          <w:rFonts w:ascii="Arial Unicode MS" w:eastAsia="Cambria" w:hAnsi="Arial Unicode MS" w:cs="Times New Roman"/>
          <w:sz w:val="28"/>
        </w:rPr>
      </w:pPr>
    </w:p>
    <w:p w:rsidR="003A6B6B" w:rsidRPr="00703528" w:rsidRDefault="003A6B6B" w:rsidP="003A6B6B">
      <w:pPr>
        <w:tabs>
          <w:tab w:val="left" w:pos="1220"/>
        </w:tabs>
        <w:rPr>
          <w:rFonts w:ascii="Florencesans Exp" w:eastAsia="Cambria" w:hAnsi="Florencesans Exp" w:cs="Times New Roman"/>
          <w:b/>
          <w:color w:val="0080FF"/>
          <w:sz w:val="60"/>
          <w:szCs w:val="60"/>
        </w:rPr>
      </w:pPr>
      <w:r w:rsidRPr="00693699">
        <w:rPr>
          <w:rFonts w:ascii="Florencesans Exp" w:eastAsia="Cambria" w:hAnsi="Florencesans Exp" w:cs="Times New Roman"/>
          <w:b/>
          <w:color w:val="0080FF"/>
          <w:sz w:val="60"/>
          <w:szCs w:val="60"/>
        </w:rPr>
        <w:t>REMUNERATIONS ET CHARGES SALARIALES</w:t>
      </w:r>
    </w:p>
    <w:p w:rsidR="003A6B6B" w:rsidRPr="004442B4" w:rsidRDefault="003A6B6B" w:rsidP="003A6B6B">
      <w:pPr>
        <w:tabs>
          <w:tab w:val="left" w:pos="1220"/>
        </w:tabs>
        <w:rPr>
          <w:rFonts w:ascii="BlairMdITC TT-Medium" w:eastAsia="Cambria" w:hAnsi="BlairMdITC TT-Medium" w:cs="Times New Roman"/>
          <w:b/>
          <w:color w:val="0080FF"/>
          <w:sz w:val="48"/>
        </w:rPr>
      </w:pPr>
    </w:p>
    <w:p w:rsidR="003A6B6B" w:rsidRPr="004442B4" w:rsidRDefault="00B95022" w:rsidP="003A6B6B">
      <w:pPr>
        <w:tabs>
          <w:tab w:val="left" w:pos="1220"/>
        </w:tabs>
        <w:rPr>
          <w:rFonts w:ascii="BlairMdITC TT-Medium" w:eastAsia="Cambria" w:hAnsi="BlairMdITC TT-Medium" w:cs="Times New Roman"/>
          <w:b/>
          <w:color w:val="0080FF"/>
          <w:sz w:val="48"/>
        </w:rPr>
      </w:pPr>
      <w:r w:rsidRPr="004442B4">
        <w:rPr>
          <w:rFonts w:ascii="BlairMdITC TT-Medium" w:eastAsia="Cambria" w:hAnsi="BlairMdITC TT-Medium" w:cs="Times New Roman"/>
          <w:b/>
          <w:noProof/>
          <w:color w:val="0080FF"/>
          <w:sz w:val="48"/>
          <w:lang w:eastAsia="fr-FR"/>
        </w:rPr>
        <mc:AlternateContent>
          <mc:Choice Requires="wps">
            <w:drawing>
              <wp:anchor distT="0" distB="0" distL="114300" distR="114300" simplePos="0" relativeHeight="251773952" behindDoc="0" locked="0" layoutInCell="1" allowOverlap="1" wp14:anchorId="22A1D325" wp14:editId="352E041D">
                <wp:simplePos x="0" y="0"/>
                <wp:positionH relativeFrom="column">
                  <wp:posOffset>3429635</wp:posOffset>
                </wp:positionH>
                <wp:positionV relativeFrom="paragraph">
                  <wp:posOffset>508635</wp:posOffset>
                </wp:positionV>
                <wp:extent cx="2943225" cy="2320925"/>
                <wp:effectExtent l="0" t="0" r="28575" b="22225"/>
                <wp:wrapTight wrapText="bothSides">
                  <wp:wrapPolygon edited="0">
                    <wp:start x="0" y="0"/>
                    <wp:lineTo x="0" y="21630"/>
                    <wp:lineTo x="21670" y="21630"/>
                    <wp:lineTo x="21670" y="0"/>
                    <wp:lineTo x="0" y="0"/>
                  </wp:wrapPolygon>
                </wp:wrapTight>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2320925"/>
                        </a:xfrm>
                        <a:prstGeom prst="rect">
                          <a:avLst/>
                        </a:prstGeom>
                        <a:noFill/>
                        <a:ln w="19050">
                          <a:solidFill>
                            <a:srgbClr val="808080"/>
                          </a:solidFill>
                          <a:miter lim="800000"/>
                          <a:headEnd/>
                          <a:tailEnd/>
                        </a:ln>
                        <a:effectLst/>
                        <a:extLst>
                          <a:ext uri="{909E8E84-426E-40DD-AFC4-6F175D3DCCD1}">
                            <a14:hiddenFill xmlns:a14="http://schemas.microsoft.com/office/drawing/2010/main">
                              <a:solidFill>
                                <a:srgbClr val="008080">
                                  <a:alpha val="39999"/>
                                </a:srgbClr>
                              </a:soli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7B1397" w:rsidRDefault="007B1397" w:rsidP="003A6B6B">
                            <w:pPr>
                              <w:jc w:val="center"/>
                              <w:rPr>
                                <w:b/>
                              </w:rPr>
                            </w:pPr>
                          </w:p>
                          <w:p w:rsidR="007B1397" w:rsidRPr="0030592A" w:rsidRDefault="007B1397" w:rsidP="003A6B6B">
                            <w:pPr>
                              <w:jc w:val="center"/>
                              <w:rPr>
                                <w:rFonts w:ascii="Arial" w:hAnsi="Arial"/>
                                <w:b/>
                                <w:color w:val="0080FF"/>
                                <w:sz w:val="32"/>
                              </w:rPr>
                            </w:pPr>
                            <w:r w:rsidRPr="00693699">
                              <w:rPr>
                                <w:rFonts w:ascii="Arial" w:hAnsi="Arial"/>
                                <w:b/>
                                <w:color w:val="0080FF"/>
                                <w:sz w:val="32"/>
                              </w:rPr>
                              <w:t>Chiffres clés</w:t>
                            </w:r>
                          </w:p>
                          <w:p w:rsidR="007B1397" w:rsidRDefault="007B1397" w:rsidP="003A6B6B">
                            <w:pPr>
                              <w:rPr>
                                <w:rFonts w:ascii="Arial" w:hAnsi="Arial"/>
                              </w:rPr>
                            </w:pPr>
                          </w:p>
                          <w:p w:rsidR="007B1397" w:rsidRDefault="007B1397" w:rsidP="003A6B6B">
                            <w:pPr>
                              <w:jc w:val="center"/>
                              <w:rPr>
                                <w:rFonts w:ascii="Arial" w:hAnsi="Arial"/>
                                <w:b/>
                              </w:rPr>
                            </w:pPr>
                            <w:r w:rsidRPr="0030592A">
                              <w:rPr>
                                <w:rFonts w:ascii="Arial" w:hAnsi="Arial"/>
                                <w:b/>
                              </w:rPr>
                              <w:t xml:space="preserve">La masse salariale est de </w:t>
                            </w:r>
                          </w:p>
                          <w:p w:rsidR="007B1397" w:rsidRDefault="007B1397" w:rsidP="003A6B6B">
                            <w:pPr>
                              <w:jc w:val="center"/>
                              <w:rPr>
                                <w:rFonts w:ascii="Arial" w:hAnsi="Arial"/>
                                <w:b/>
                                <w:color w:val="0080FF"/>
                                <w:sz w:val="32"/>
                              </w:rPr>
                            </w:pPr>
                            <w:r>
                              <w:rPr>
                                <w:rFonts w:ascii="Arial" w:hAnsi="Arial"/>
                                <w:b/>
                                <w:color w:val="0080FF"/>
                                <w:sz w:val="32"/>
                              </w:rPr>
                              <w:t>642 346 757</w:t>
                            </w:r>
                            <w:r w:rsidRPr="0030592A">
                              <w:rPr>
                                <w:rFonts w:ascii="Arial" w:hAnsi="Arial"/>
                                <w:b/>
                                <w:color w:val="0080FF"/>
                                <w:sz w:val="32"/>
                              </w:rPr>
                              <w:t xml:space="preserve"> €</w:t>
                            </w:r>
                          </w:p>
                          <w:p w:rsidR="007B1397" w:rsidRDefault="007B1397" w:rsidP="003A6B6B">
                            <w:pPr>
                              <w:jc w:val="center"/>
                              <w:rPr>
                                <w:rFonts w:ascii="Arial" w:hAnsi="Arial"/>
                                <w:b/>
                              </w:rPr>
                            </w:pPr>
                          </w:p>
                          <w:p w:rsidR="007B1397" w:rsidRPr="0030592A" w:rsidRDefault="007B1397" w:rsidP="003A6B6B">
                            <w:pPr>
                              <w:jc w:val="center"/>
                              <w:rPr>
                                <w:rFonts w:ascii="Arial" w:hAnsi="Arial"/>
                                <w:b/>
                              </w:rPr>
                            </w:pPr>
                            <w:r>
                              <w:rPr>
                                <w:rFonts w:ascii="Arial" w:hAnsi="Arial"/>
                                <w:b/>
                              </w:rPr>
                              <w:t>S</w:t>
                            </w:r>
                            <w:r w:rsidRPr="0030592A">
                              <w:rPr>
                                <w:rFonts w:ascii="Arial" w:hAnsi="Arial"/>
                                <w:b/>
                              </w:rPr>
                              <w:t>oit une augmentation de</w:t>
                            </w:r>
                          </w:p>
                          <w:p w:rsidR="007B1397" w:rsidRDefault="007B1397" w:rsidP="003A6B6B">
                            <w:pPr>
                              <w:jc w:val="center"/>
                              <w:rPr>
                                <w:rFonts w:ascii="Arial" w:hAnsi="Arial"/>
                                <w:b/>
                              </w:rPr>
                            </w:pPr>
                            <w:r>
                              <w:rPr>
                                <w:rFonts w:ascii="Arial" w:hAnsi="Arial"/>
                                <w:b/>
                                <w:color w:val="0080FF"/>
                                <w:sz w:val="32"/>
                              </w:rPr>
                              <w:t>1,8</w:t>
                            </w:r>
                            <w:r w:rsidRPr="0030592A">
                              <w:rPr>
                                <w:rFonts w:ascii="Arial" w:hAnsi="Arial"/>
                                <w:b/>
                                <w:color w:val="0080FF"/>
                                <w:sz w:val="32"/>
                              </w:rPr>
                              <w:t>%</w:t>
                            </w:r>
                            <w:r>
                              <w:rPr>
                                <w:rFonts w:ascii="Arial" w:hAnsi="Arial"/>
                                <w:b/>
                              </w:rPr>
                              <w:t xml:space="preserve"> par rapport à 2012</w:t>
                            </w:r>
                          </w:p>
                          <w:p w:rsidR="007B1397" w:rsidRDefault="007B1397" w:rsidP="003A6B6B">
                            <w:pPr>
                              <w:jc w:val="center"/>
                              <w:rPr>
                                <w:rFonts w:ascii="Arial" w:hAnsi="Arial"/>
                                <w:b/>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1D325" id="Rectangle 58" o:spid="_x0000_s1070" style="position:absolute;margin-left:270.05pt;margin-top:40.05pt;width:231.75pt;height:182.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" filled="f" fillcolor="teal" strokecolor="gray" strokeweight="1.5pt">
                <v:fill opacity="26214f"/>
                <v:shadow opacity="22938f" offset="0"/>
                <v:textbox inset=",7.2pt,,7.2pt">
                  <w:txbxContent>
                    <w:p w:rsidR="007B1397" w:rsidRDefault="007B1397" w:rsidP="003A6B6B">
                      <w:pPr>
                        <w:jc w:val="center"/>
                        <w:rPr>
                          <w:b/>
                        </w:rPr>
                      </w:pPr>
                    </w:p>
                    <w:p w:rsidR="007B1397" w:rsidRPr="0030592A" w:rsidRDefault="007B1397" w:rsidP="003A6B6B">
                      <w:pPr>
                        <w:jc w:val="center"/>
                        <w:rPr>
                          <w:rFonts w:ascii="Arial" w:hAnsi="Arial"/>
                          <w:b/>
                          <w:color w:val="0080FF"/>
                          <w:sz w:val="32"/>
                        </w:rPr>
                      </w:pPr>
                      <w:r w:rsidRPr="00693699">
                        <w:rPr>
                          <w:rFonts w:ascii="Arial" w:hAnsi="Arial"/>
                          <w:b/>
                          <w:color w:val="0080FF"/>
                          <w:sz w:val="32"/>
                        </w:rPr>
                        <w:t>Chiffres clés</w:t>
                      </w:r>
                    </w:p>
                    <w:p w:rsidR="007B1397" w:rsidRDefault="007B1397" w:rsidP="003A6B6B">
                      <w:pPr>
                        <w:rPr>
                          <w:rFonts w:ascii="Arial" w:hAnsi="Arial"/>
                        </w:rPr>
                      </w:pPr>
                    </w:p>
                    <w:p w:rsidR="007B1397" w:rsidRDefault="007B1397" w:rsidP="003A6B6B">
                      <w:pPr>
                        <w:jc w:val="center"/>
                        <w:rPr>
                          <w:rFonts w:ascii="Arial" w:hAnsi="Arial"/>
                          <w:b/>
                        </w:rPr>
                      </w:pPr>
                      <w:r w:rsidRPr="0030592A">
                        <w:rPr>
                          <w:rFonts w:ascii="Arial" w:hAnsi="Arial"/>
                          <w:b/>
                        </w:rPr>
                        <w:t xml:space="preserve">La masse salariale est de </w:t>
                      </w:r>
                    </w:p>
                    <w:p w:rsidR="007B1397" w:rsidRDefault="007B1397" w:rsidP="003A6B6B">
                      <w:pPr>
                        <w:jc w:val="center"/>
                        <w:rPr>
                          <w:rFonts w:ascii="Arial" w:hAnsi="Arial"/>
                          <w:b/>
                          <w:color w:val="0080FF"/>
                          <w:sz w:val="32"/>
                        </w:rPr>
                      </w:pPr>
                      <w:r>
                        <w:rPr>
                          <w:rFonts w:ascii="Arial" w:hAnsi="Arial"/>
                          <w:b/>
                          <w:color w:val="0080FF"/>
                          <w:sz w:val="32"/>
                        </w:rPr>
                        <w:t>642 346 757</w:t>
                      </w:r>
                      <w:r w:rsidRPr="0030592A">
                        <w:rPr>
                          <w:rFonts w:ascii="Arial" w:hAnsi="Arial"/>
                          <w:b/>
                          <w:color w:val="0080FF"/>
                          <w:sz w:val="32"/>
                        </w:rPr>
                        <w:t xml:space="preserve"> €</w:t>
                      </w:r>
                    </w:p>
                    <w:p w:rsidR="007B1397" w:rsidRDefault="007B1397" w:rsidP="003A6B6B">
                      <w:pPr>
                        <w:jc w:val="center"/>
                        <w:rPr>
                          <w:rFonts w:ascii="Arial" w:hAnsi="Arial"/>
                          <w:b/>
                        </w:rPr>
                      </w:pPr>
                    </w:p>
                    <w:p w:rsidR="007B1397" w:rsidRPr="0030592A" w:rsidRDefault="007B1397" w:rsidP="003A6B6B">
                      <w:pPr>
                        <w:jc w:val="center"/>
                        <w:rPr>
                          <w:rFonts w:ascii="Arial" w:hAnsi="Arial"/>
                          <w:b/>
                        </w:rPr>
                      </w:pPr>
                      <w:r>
                        <w:rPr>
                          <w:rFonts w:ascii="Arial" w:hAnsi="Arial"/>
                          <w:b/>
                        </w:rPr>
                        <w:t>S</w:t>
                      </w:r>
                      <w:r w:rsidRPr="0030592A">
                        <w:rPr>
                          <w:rFonts w:ascii="Arial" w:hAnsi="Arial"/>
                          <w:b/>
                        </w:rPr>
                        <w:t>oit une augmentation de</w:t>
                      </w:r>
                    </w:p>
                    <w:p w:rsidR="007B1397" w:rsidRDefault="007B1397" w:rsidP="003A6B6B">
                      <w:pPr>
                        <w:jc w:val="center"/>
                        <w:rPr>
                          <w:rFonts w:ascii="Arial" w:hAnsi="Arial"/>
                          <w:b/>
                        </w:rPr>
                      </w:pPr>
                      <w:r>
                        <w:rPr>
                          <w:rFonts w:ascii="Arial" w:hAnsi="Arial"/>
                          <w:b/>
                          <w:color w:val="0080FF"/>
                          <w:sz w:val="32"/>
                        </w:rPr>
                        <w:t>1,8</w:t>
                      </w:r>
                      <w:r w:rsidRPr="0030592A">
                        <w:rPr>
                          <w:rFonts w:ascii="Arial" w:hAnsi="Arial"/>
                          <w:b/>
                          <w:color w:val="0080FF"/>
                          <w:sz w:val="32"/>
                        </w:rPr>
                        <w:t>%</w:t>
                      </w:r>
                      <w:r>
                        <w:rPr>
                          <w:rFonts w:ascii="Arial" w:hAnsi="Arial"/>
                          <w:b/>
                        </w:rPr>
                        <w:t xml:space="preserve"> par rapport à 2012</w:t>
                      </w:r>
                    </w:p>
                    <w:p w:rsidR="007B1397" w:rsidRDefault="007B1397" w:rsidP="003A6B6B">
                      <w:pPr>
                        <w:jc w:val="center"/>
                        <w:rPr>
                          <w:rFonts w:ascii="Arial" w:hAnsi="Arial"/>
                          <w:b/>
                        </w:rPr>
                      </w:pPr>
                    </w:p>
                  </w:txbxContent>
                </v:textbox>
                <w10:wrap type="tight"/>
              </v:rect>
            </w:pict>
          </mc:Fallback>
        </mc:AlternateContent>
      </w:r>
      <w:r w:rsidR="003A6B6B" w:rsidRPr="004442B4">
        <w:rPr>
          <w:rFonts w:ascii="BlairMdITC TT-Medium" w:eastAsia="Cambria" w:hAnsi="BlairMdITC TT-Medium" w:cs="Times New Roman"/>
          <w:b/>
          <w:noProof/>
          <w:color w:val="0080FF"/>
          <w:sz w:val="48"/>
          <w:lang w:eastAsia="fr-FR"/>
        </w:rPr>
        <mc:AlternateContent>
          <mc:Choice Requires="wps">
            <w:drawing>
              <wp:anchor distT="0" distB="0" distL="114300" distR="114300" simplePos="0" relativeHeight="251774976" behindDoc="0" locked="0" layoutInCell="1" allowOverlap="1" wp14:anchorId="0A11421A" wp14:editId="53219C10">
                <wp:simplePos x="0" y="0"/>
                <wp:positionH relativeFrom="margin">
                  <wp:align>left</wp:align>
                </wp:positionH>
                <wp:positionV relativeFrom="paragraph">
                  <wp:posOffset>370205</wp:posOffset>
                </wp:positionV>
                <wp:extent cx="3200400" cy="5829300"/>
                <wp:effectExtent l="0" t="0" r="0" b="0"/>
                <wp:wrapTight wrapText="bothSides">
                  <wp:wrapPolygon edited="0">
                    <wp:start x="257" y="212"/>
                    <wp:lineTo x="257" y="21388"/>
                    <wp:lineTo x="21214" y="21388"/>
                    <wp:lineTo x="21214" y="212"/>
                    <wp:lineTo x="257" y="212"/>
                  </wp:wrapPolygon>
                </wp:wrapTight>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82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Default="007B1397" w:rsidP="003A6B6B">
                            <w:pPr>
                              <w:pStyle w:val="Corpsdetexte"/>
                              <w:spacing w:before="2" w:after="2"/>
                              <w:rPr>
                                <w:rFonts w:ascii="Arial" w:hAnsi="Arial" w:cs="Arial"/>
                              </w:rPr>
                            </w:pPr>
                          </w:p>
                          <w:p w:rsidR="007B1397" w:rsidRPr="003A6B6B" w:rsidRDefault="007B1397" w:rsidP="003A6B6B">
                            <w:pPr>
                              <w:pStyle w:val="Corpsdetexte"/>
                              <w:spacing w:before="2" w:after="2"/>
                              <w:rPr>
                                <w:rFonts w:ascii="Arial" w:hAnsi="Arial" w:cs="Arial"/>
                                <w:sz w:val="22"/>
                                <w:szCs w:val="22"/>
                              </w:rPr>
                            </w:pPr>
                            <w:r w:rsidRPr="003A6B6B">
                              <w:rPr>
                                <w:rFonts w:ascii="Arial" w:hAnsi="Arial" w:cs="Arial"/>
                                <w:sz w:val="22"/>
                                <w:szCs w:val="22"/>
                              </w:rPr>
                              <w:t>Cette partie consacrée aux rémunérations s’articule autour de trois tableaux.</w:t>
                            </w:r>
                          </w:p>
                          <w:p w:rsidR="007B1397" w:rsidRPr="003A6B6B" w:rsidRDefault="007B1397" w:rsidP="003A6B6B">
                            <w:pPr>
                              <w:pStyle w:val="Corpsdetexte"/>
                              <w:rPr>
                                <w:rFonts w:ascii="Arial" w:hAnsi="Arial" w:cs="Arial"/>
                                <w:sz w:val="22"/>
                                <w:szCs w:val="22"/>
                              </w:rPr>
                            </w:pPr>
                          </w:p>
                          <w:p w:rsidR="007B1397" w:rsidRPr="003A6B6B" w:rsidRDefault="007B1397" w:rsidP="003A6B6B">
                            <w:pPr>
                              <w:pStyle w:val="Corpsdetexte"/>
                              <w:rPr>
                                <w:rFonts w:ascii="Arial" w:hAnsi="Arial" w:cs="Arial"/>
                                <w:sz w:val="22"/>
                                <w:szCs w:val="22"/>
                              </w:rPr>
                            </w:pPr>
                            <w:r w:rsidRPr="003A6B6B">
                              <w:rPr>
                                <w:rFonts w:ascii="Arial" w:hAnsi="Arial" w:cs="Arial"/>
                                <w:sz w:val="22"/>
                                <w:szCs w:val="22"/>
                              </w:rPr>
                              <w:t>Le premier tableau donne une présentation synthétique de la masse salariale consommée en 2011, 2012 et 2013 par type de dépenses :</w:t>
                            </w:r>
                          </w:p>
                          <w:p w:rsidR="007B1397" w:rsidRPr="003A6B6B" w:rsidRDefault="007B1397" w:rsidP="003A6B6B">
                            <w:pPr>
                              <w:jc w:val="both"/>
                              <w:rPr>
                                <w:sz w:val="22"/>
                                <w:szCs w:val="22"/>
                              </w:rPr>
                            </w:pPr>
                          </w:p>
                          <w:p w:rsidR="007B1397" w:rsidRPr="003A6B6B" w:rsidRDefault="007B1397" w:rsidP="003A6B6B">
                            <w:pPr>
                              <w:pStyle w:val="Corpsdetexte"/>
                              <w:spacing w:before="2" w:after="2"/>
                              <w:rPr>
                                <w:rFonts w:ascii="Arial" w:hAnsi="Arial" w:cs="Arial"/>
                                <w:sz w:val="22"/>
                                <w:szCs w:val="22"/>
                              </w:rPr>
                            </w:pPr>
                            <w:r w:rsidRPr="003A6B6B">
                              <w:rPr>
                                <w:rFonts w:ascii="Arial" w:hAnsi="Arial" w:cs="Arial"/>
                                <w:sz w:val="22"/>
                                <w:szCs w:val="22"/>
                              </w:rPr>
                              <w:t xml:space="preserve">Le second tableau fait état des rémunérations d’activité moyennes par catégorie d’emploi et par corps versées en 2013 en regard desquelles figurent les rémunérations d’activité moyennes des années 2011 et 2012. </w:t>
                            </w:r>
                          </w:p>
                          <w:p w:rsidR="007B1397" w:rsidRPr="003A6B6B" w:rsidRDefault="007B1397" w:rsidP="003A6B6B">
                            <w:pPr>
                              <w:jc w:val="both"/>
                              <w:rPr>
                                <w:sz w:val="22"/>
                                <w:szCs w:val="22"/>
                              </w:rPr>
                            </w:pPr>
                          </w:p>
                          <w:p w:rsidR="007B1397" w:rsidRDefault="007B1397" w:rsidP="003A6B6B">
                            <w:pPr>
                              <w:pStyle w:val="Corpsdetexte"/>
                              <w:spacing w:before="2" w:after="2"/>
                              <w:rPr>
                                <w:rFonts w:ascii="Arial" w:hAnsi="Arial" w:cs="Arial"/>
                              </w:rPr>
                            </w:pPr>
                            <w:r w:rsidRPr="003A6B6B">
                              <w:rPr>
                                <w:rFonts w:ascii="Arial" w:hAnsi="Arial" w:cs="Arial"/>
                                <w:sz w:val="22"/>
                                <w:szCs w:val="22"/>
                              </w:rPr>
                              <w:t>Le troisième tableau détaille l’utilisation faite en 2013, 2012 et 2011 de l’enveloppe de crédits allouée au financement des mesures catégorielles statutaires et indemnitaires</w:t>
                            </w:r>
                            <w:r w:rsidRPr="00D873C9">
                              <w:rPr>
                                <w:rFonts w:ascii="Arial" w:hAnsi="Arial" w:cs="Arial"/>
                              </w:rPr>
                              <w:t>.</w:t>
                            </w: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Pr="00D873C9" w:rsidRDefault="007B1397" w:rsidP="003A6B6B">
                            <w:pPr>
                              <w:pStyle w:val="Corpsdetexte"/>
                              <w:spacing w:before="2" w:after="2"/>
                              <w:rPr>
                                <w:rFonts w:ascii="Arial" w:hAnsi="Arial" w:cs="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1421A" id="Zone de texte 57" o:spid="_x0000_s1071" type="#_x0000_t202" style="position:absolute;margin-left:0;margin-top:29.15pt;width:252pt;height:459pt;z-index:25177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" filled="f" stroked="f">
                <v:textbox inset=",7.2pt,,7.2pt">
                  <w:txbxContent>
                    <w:p w:rsidR="007B1397" w:rsidRDefault="007B1397" w:rsidP="003A6B6B">
                      <w:pPr>
                        <w:pStyle w:val="Corpsdetexte"/>
                        <w:spacing w:before="2" w:after="2"/>
                        <w:rPr>
                          <w:rFonts w:ascii="Arial" w:hAnsi="Arial" w:cs="Arial"/>
                        </w:rPr>
                      </w:pPr>
                    </w:p>
                    <w:p w:rsidR="007B1397" w:rsidRPr="003A6B6B" w:rsidRDefault="007B1397" w:rsidP="003A6B6B">
                      <w:pPr>
                        <w:pStyle w:val="Corpsdetexte"/>
                        <w:spacing w:before="2" w:after="2"/>
                        <w:rPr>
                          <w:rFonts w:ascii="Arial" w:hAnsi="Arial" w:cs="Arial"/>
                          <w:sz w:val="22"/>
                          <w:szCs w:val="22"/>
                        </w:rPr>
                      </w:pPr>
                      <w:r w:rsidRPr="003A6B6B">
                        <w:rPr>
                          <w:rFonts w:ascii="Arial" w:hAnsi="Arial" w:cs="Arial"/>
                          <w:sz w:val="22"/>
                          <w:szCs w:val="22"/>
                        </w:rPr>
                        <w:t>Cette partie consacrée aux rémunérations s’articule autour de trois tableaux.</w:t>
                      </w:r>
                    </w:p>
                    <w:p w:rsidR="007B1397" w:rsidRPr="003A6B6B" w:rsidRDefault="007B1397" w:rsidP="003A6B6B">
                      <w:pPr>
                        <w:pStyle w:val="Corpsdetexte"/>
                        <w:rPr>
                          <w:rFonts w:ascii="Arial" w:hAnsi="Arial" w:cs="Arial"/>
                          <w:sz w:val="22"/>
                          <w:szCs w:val="22"/>
                        </w:rPr>
                      </w:pPr>
                    </w:p>
                    <w:p w:rsidR="007B1397" w:rsidRPr="003A6B6B" w:rsidRDefault="007B1397" w:rsidP="003A6B6B">
                      <w:pPr>
                        <w:pStyle w:val="Corpsdetexte"/>
                        <w:rPr>
                          <w:rFonts w:ascii="Arial" w:hAnsi="Arial" w:cs="Arial"/>
                          <w:sz w:val="22"/>
                          <w:szCs w:val="22"/>
                        </w:rPr>
                      </w:pPr>
                      <w:r w:rsidRPr="003A6B6B">
                        <w:rPr>
                          <w:rFonts w:ascii="Arial" w:hAnsi="Arial" w:cs="Arial"/>
                          <w:sz w:val="22"/>
                          <w:szCs w:val="22"/>
                        </w:rPr>
                        <w:t>Le premier tableau donne une présentation synthétique de la masse salariale consommée en 2011, 2012 et 2013 par type de dépenses :</w:t>
                      </w:r>
                    </w:p>
                    <w:p w:rsidR="007B1397" w:rsidRPr="003A6B6B" w:rsidRDefault="007B1397" w:rsidP="003A6B6B">
                      <w:pPr>
                        <w:jc w:val="both"/>
                        <w:rPr>
                          <w:sz w:val="22"/>
                          <w:szCs w:val="22"/>
                        </w:rPr>
                      </w:pPr>
                    </w:p>
                    <w:p w:rsidR="007B1397" w:rsidRPr="003A6B6B" w:rsidRDefault="007B1397" w:rsidP="003A6B6B">
                      <w:pPr>
                        <w:pStyle w:val="Corpsdetexte"/>
                        <w:spacing w:before="2" w:after="2"/>
                        <w:rPr>
                          <w:rFonts w:ascii="Arial" w:hAnsi="Arial" w:cs="Arial"/>
                          <w:sz w:val="22"/>
                          <w:szCs w:val="22"/>
                        </w:rPr>
                      </w:pPr>
                      <w:r w:rsidRPr="003A6B6B">
                        <w:rPr>
                          <w:rFonts w:ascii="Arial" w:hAnsi="Arial" w:cs="Arial"/>
                          <w:sz w:val="22"/>
                          <w:szCs w:val="22"/>
                        </w:rPr>
                        <w:t xml:space="preserve">Le second tableau fait état des rémunérations d’activité moyennes par catégorie d’emploi et par corps versées en 2013 en regard desquelles figurent les rémunérations d’activité moyennes des années 2011 et 2012. </w:t>
                      </w:r>
                    </w:p>
                    <w:p w:rsidR="007B1397" w:rsidRPr="003A6B6B" w:rsidRDefault="007B1397" w:rsidP="003A6B6B">
                      <w:pPr>
                        <w:jc w:val="both"/>
                        <w:rPr>
                          <w:sz w:val="22"/>
                          <w:szCs w:val="22"/>
                        </w:rPr>
                      </w:pPr>
                    </w:p>
                    <w:p w:rsidR="007B1397" w:rsidRDefault="007B1397" w:rsidP="003A6B6B">
                      <w:pPr>
                        <w:pStyle w:val="Corpsdetexte"/>
                        <w:spacing w:before="2" w:after="2"/>
                        <w:rPr>
                          <w:rFonts w:ascii="Arial" w:hAnsi="Arial" w:cs="Arial"/>
                        </w:rPr>
                      </w:pPr>
                      <w:r w:rsidRPr="003A6B6B">
                        <w:rPr>
                          <w:rFonts w:ascii="Arial" w:hAnsi="Arial" w:cs="Arial"/>
                          <w:sz w:val="22"/>
                          <w:szCs w:val="22"/>
                        </w:rPr>
                        <w:t>Le troisième tableau détaille l’utilisation faite en 2013, 2012 et 2011 de l’enveloppe de crédits allouée au financement des mesures catégorielles statutaires et indemnitaires</w:t>
                      </w:r>
                      <w:r w:rsidRPr="00D873C9">
                        <w:rPr>
                          <w:rFonts w:ascii="Arial" w:hAnsi="Arial" w:cs="Arial"/>
                        </w:rPr>
                        <w:t>.</w:t>
                      </w: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Default="007B1397" w:rsidP="003A6B6B">
                      <w:pPr>
                        <w:pStyle w:val="Corpsdetexte"/>
                        <w:spacing w:before="2" w:after="2"/>
                        <w:rPr>
                          <w:rFonts w:ascii="Arial" w:hAnsi="Arial" w:cs="Arial"/>
                        </w:rPr>
                      </w:pPr>
                    </w:p>
                    <w:p w:rsidR="007B1397" w:rsidRPr="00D873C9" w:rsidRDefault="007B1397" w:rsidP="003A6B6B">
                      <w:pPr>
                        <w:pStyle w:val="Corpsdetexte"/>
                        <w:spacing w:before="2" w:after="2"/>
                        <w:rPr>
                          <w:rFonts w:ascii="Arial" w:hAnsi="Arial" w:cs="Arial"/>
                        </w:rPr>
                      </w:pPr>
                    </w:p>
                  </w:txbxContent>
                </v:textbox>
                <w10:wrap type="tight" anchorx="margin"/>
              </v:shape>
            </w:pict>
          </mc:Fallback>
        </mc:AlternateContent>
      </w:r>
    </w:p>
    <w:p w:rsidR="003A6B6B" w:rsidRDefault="003A6B6B" w:rsidP="003A6B6B">
      <w:pPr>
        <w:rPr>
          <w:rFonts w:ascii="BlairMdITC TT-Medium" w:eastAsia="Cambria" w:hAnsi="BlairMdITC TT-Medium" w:cs="Times New Roman"/>
          <w:b/>
          <w:color w:val="0080FF"/>
          <w:sz w:val="28"/>
        </w:rPr>
      </w:pPr>
      <w:r>
        <w:rPr>
          <w:rFonts w:ascii="BlairMdITC TT-Medium" w:eastAsia="Cambria" w:hAnsi="BlairMdITC TT-Medium" w:cs="Times New Roman"/>
          <w:b/>
          <w:color w:val="0080FF"/>
          <w:sz w:val="28"/>
        </w:rPr>
        <w:br w:type="page"/>
      </w:r>
    </w:p>
    <w:p w:rsidR="003A6B6B" w:rsidRDefault="003A6B6B" w:rsidP="003A6B6B">
      <w:pPr>
        <w:rPr>
          <w:rFonts w:ascii="BlairMdITC TT-Medium" w:eastAsia="Cambria" w:hAnsi="BlairMdITC TT-Medium" w:cs="Times New Roman"/>
          <w:b/>
          <w:color w:val="0080FF"/>
          <w:sz w:val="28"/>
        </w:rPr>
      </w:pPr>
    </w:p>
    <w:p w:rsidR="003A6B6B" w:rsidRPr="008829C6" w:rsidRDefault="003A6B6B" w:rsidP="008829C6">
      <w:pPr>
        <w:pStyle w:val="Paragraphedeliste"/>
        <w:numPr>
          <w:ilvl w:val="0"/>
          <w:numId w:val="4"/>
        </w:numPr>
        <w:tabs>
          <w:tab w:val="left" w:pos="1220"/>
        </w:tabs>
        <w:rPr>
          <w:rFonts w:ascii="Florencesans Exp" w:eastAsia="Cambria" w:hAnsi="Florencesans Exp" w:cs="Times New Roman"/>
          <w:b/>
          <w:color w:val="0080FF"/>
          <w:sz w:val="28"/>
        </w:rPr>
      </w:pPr>
      <w:r w:rsidRPr="008829C6">
        <w:rPr>
          <w:rFonts w:ascii="Florencesans Exp" w:eastAsia="Cambria" w:hAnsi="Florencesans Exp" w:cs="Times New Roman"/>
          <w:b/>
          <w:color w:val="0080FF"/>
          <w:sz w:val="28"/>
        </w:rPr>
        <w:t>A. LA MASSE SALARIALE (DONNEES T2)</w:t>
      </w:r>
    </w:p>
    <w:p w:rsidR="008829C6" w:rsidRPr="008829C6" w:rsidRDefault="008829C6" w:rsidP="008829C6">
      <w:pPr>
        <w:pStyle w:val="Paragraphedeliste"/>
        <w:tabs>
          <w:tab w:val="left" w:pos="1220"/>
        </w:tabs>
        <w:ind w:left="750"/>
        <w:rPr>
          <w:rFonts w:ascii="Florencesans Exp" w:eastAsia="Cambria" w:hAnsi="Florencesans Exp" w:cs="Times New Roman"/>
          <w:b/>
          <w:color w:val="0080FF"/>
          <w:sz w:val="28"/>
        </w:rPr>
      </w:pPr>
    </w:p>
    <w:p w:rsidR="003A6B6B" w:rsidRPr="004442B4" w:rsidRDefault="008829C6" w:rsidP="003A6B6B">
      <w:pPr>
        <w:tabs>
          <w:tab w:val="left" w:pos="1220"/>
        </w:tabs>
        <w:rPr>
          <w:rFonts w:ascii="BlairMdITC TT-Medium" w:eastAsia="Cambria" w:hAnsi="BlairMdITC TT-Medium" w:cs="Times New Roman"/>
          <w:b/>
          <w:color w:val="0080FF"/>
        </w:rPr>
      </w:pPr>
      <w:r w:rsidRPr="008829C6">
        <w:rPr>
          <w:noProof/>
          <w:lang w:eastAsia="fr-FR"/>
        </w:rPr>
        <w:drawing>
          <wp:inline distT="0" distB="0" distL="0" distR="0">
            <wp:extent cx="5798820" cy="347472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98820" cy="3474720"/>
                    </a:xfrm>
                    <a:prstGeom prst="rect">
                      <a:avLst/>
                    </a:prstGeom>
                    <a:noFill/>
                    <a:ln>
                      <a:noFill/>
                    </a:ln>
                  </pic:spPr>
                </pic:pic>
              </a:graphicData>
            </a:graphic>
          </wp:inline>
        </w:drawing>
      </w:r>
    </w:p>
    <w:p w:rsidR="003A6B6B" w:rsidRPr="004442B4" w:rsidRDefault="003A6B6B" w:rsidP="003A6B6B">
      <w:pPr>
        <w:tabs>
          <w:tab w:val="left" w:pos="1220"/>
        </w:tabs>
        <w:rPr>
          <w:rFonts w:ascii="BlairMdITC TT-Medium" w:eastAsia="Cambria" w:hAnsi="BlairMdITC TT-Medium" w:cs="Times New Roman"/>
          <w:b/>
          <w:color w:val="FFFFFF"/>
        </w:rPr>
      </w:pPr>
    </w:p>
    <w:p w:rsidR="003A6B6B" w:rsidRPr="003A6B6B" w:rsidRDefault="003A6B6B" w:rsidP="003A6B6B">
      <w:pPr>
        <w:suppressAutoHyphens/>
        <w:jc w:val="both"/>
        <w:rPr>
          <w:rFonts w:ascii="Arial" w:eastAsia="Lucida Sans Unicode" w:hAnsi="Arial" w:cs="Arial"/>
          <w:kern w:val="1"/>
          <w:sz w:val="22"/>
          <w:szCs w:val="22"/>
          <w:lang w:eastAsia="hi-IN" w:bidi="hi-IN"/>
        </w:rPr>
      </w:pPr>
      <w:r w:rsidRPr="004442B4">
        <w:rPr>
          <w:rFonts w:ascii="Arial" w:eastAsia="Lucida Sans Unicode" w:hAnsi="Arial" w:cs="Arial"/>
          <w:b/>
          <w:kern w:val="1"/>
          <w:lang w:eastAsia="hi-IN" w:bidi="hi-IN"/>
        </w:rPr>
        <w:t>Les rémunérations principales</w:t>
      </w:r>
      <w:r w:rsidRPr="004442B4">
        <w:rPr>
          <w:rFonts w:ascii="Arial" w:eastAsia="Lucida Sans Unicode" w:hAnsi="Arial" w:cs="Arial"/>
          <w:kern w:val="1"/>
          <w:lang w:eastAsia="hi-IN" w:bidi="hi-IN"/>
        </w:rPr>
        <w:t xml:space="preserve"> sont essentiellement constituées par le traitement </w:t>
      </w:r>
      <w:r w:rsidRPr="003A6B6B">
        <w:rPr>
          <w:rFonts w:ascii="Arial" w:eastAsia="Lucida Sans Unicode" w:hAnsi="Arial" w:cs="Arial"/>
          <w:kern w:val="1"/>
          <w:sz w:val="22"/>
          <w:szCs w:val="22"/>
          <w:lang w:eastAsia="hi-IN" w:bidi="hi-IN"/>
        </w:rPr>
        <w:t xml:space="preserve">indiciaire brut pour les agents indicés ; elles comprennent également les rémunérations versées aux vacataires, aux contractuels occasionnels et saisonniers, aux collaborateurs ponctuels, aux agents en congé formation, etc. </w:t>
      </w:r>
    </w:p>
    <w:p w:rsidR="003A6B6B" w:rsidRPr="003A6B6B" w:rsidRDefault="003A6B6B" w:rsidP="003A6B6B">
      <w:pPr>
        <w:suppressAutoHyphens/>
        <w:jc w:val="both"/>
        <w:rPr>
          <w:rFonts w:ascii="Arial" w:eastAsia="Lucida Sans Unicode" w:hAnsi="Arial" w:cs="Arial"/>
          <w:kern w:val="1"/>
          <w:sz w:val="22"/>
          <w:szCs w:val="22"/>
          <w:lang w:eastAsia="hi-IN" w:bidi="hi-IN"/>
        </w:rPr>
      </w:pPr>
    </w:p>
    <w:p w:rsidR="003A6B6B" w:rsidRP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r w:rsidRPr="003A6B6B">
        <w:rPr>
          <w:rFonts w:ascii="Arial" w:eastAsia="Lucida Sans Unicode" w:hAnsi="Arial" w:cs="Arial"/>
          <w:kern w:val="1"/>
          <w:sz w:val="22"/>
          <w:szCs w:val="22"/>
          <w:lang w:eastAsia="hi-IN" w:bidi="hi-IN"/>
        </w:rPr>
        <w:t>Les fortes variations constatées d’une année à l’autre sur la ligne des rémunérations principales des agents titulaires et des agents contractuels résultent de la prise en compte du remboursement des mises à disposition d'agents du ministère auprès d'autres entités appartenant ou non à l'Etat, celui-ci se traduisant par une minoration de la dépense exécutée sur le compte de rémunération principale.</w:t>
      </w:r>
    </w:p>
    <w:p w:rsidR="003A6B6B" w:rsidRP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p>
    <w:p w:rsidR="003A6B6B" w:rsidRP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r w:rsidRPr="003A6B6B">
        <w:rPr>
          <w:rFonts w:ascii="Arial" w:eastAsia="Lucida Sans Unicode" w:hAnsi="Arial" w:cs="Arial"/>
          <w:kern w:val="1"/>
          <w:sz w:val="22"/>
          <w:szCs w:val="22"/>
          <w:lang w:eastAsia="hi-IN" w:bidi="hi-IN"/>
        </w:rPr>
        <w:t>Les remboursements de mises à disposition se sont élevés à :</w:t>
      </w:r>
    </w:p>
    <w:p w:rsidR="003A6B6B" w:rsidRPr="003A6B6B" w:rsidRDefault="003A6B6B" w:rsidP="008D4F0F">
      <w:pPr>
        <w:pStyle w:val="Paragraphedeliste"/>
        <w:numPr>
          <w:ilvl w:val="0"/>
          <w:numId w:val="6"/>
        </w:numPr>
        <w:tabs>
          <w:tab w:val="left" w:pos="1260"/>
        </w:tabs>
        <w:suppressAutoHyphens/>
        <w:spacing w:before="2" w:after="2"/>
        <w:jc w:val="both"/>
        <w:rPr>
          <w:rFonts w:ascii="Arial" w:eastAsia="Lucida Sans Unicode" w:hAnsi="Arial" w:cs="Arial"/>
          <w:kern w:val="1"/>
          <w:sz w:val="22"/>
          <w:szCs w:val="22"/>
          <w:lang w:eastAsia="hi-IN" w:bidi="hi-IN"/>
        </w:rPr>
      </w:pPr>
      <w:r w:rsidRPr="003A6B6B">
        <w:rPr>
          <w:rFonts w:ascii="Arial" w:eastAsia="Lucida Sans Unicode" w:hAnsi="Arial" w:cs="Arial"/>
          <w:kern w:val="1"/>
          <w:sz w:val="22"/>
          <w:szCs w:val="22"/>
          <w:lang w:eastAsia="hi-IN" w:bidi="hi-IN"/>
        </w:rPr>
        <w:t>3.661.695 euros en 2013 venus en diminution des rémunérations principales des titulaires,</w:t>
      </w:r>
    </w:p>
    <w:p w:rsidR="003A6B6B" w:rsidRPr="003A6B6B" w:rsidRDefault="003A6B6B" w:rsidP="008D4F0F">
      <w:pPr>
        <w:pStyle w:val="Paragraphedeliste"/>
        <w:numPr>
          <w:ilvl w:val="0"/>
          <w:numId w:val="6"/>
        </w:numPr>
        <w:tabs>
          <w:tab w:val="left" w:pos="1260"/>
        </w:tabs>
        <w:suppressAutoHyphens/>
        <w:spacing w:before="2" w:after="2"/>
        <w:jc w:val="both"/>
        <w:rPr>
          <w:rFonts w:ascii="Arial" w:eastAsia="Lucida Sans Unicode" w:hAnsi="Arial" w:cs="Arial"/>
          <w:kern w:val="1"/>
          <w:sz w:val="22"/>
          <w:szCs w:val="22"/>
          <w:lang w:eastAsia="hi-IN" w:bidi="hi-IN"/>
        </w:rPr>
      </w:pPr>
      <w:r w:rsidRPr="003A6B6B">
        <w:rPr>
          <w:rFonts w:ascii="Arial" w:eastAsia="Lucida Sans Unicode" w:hAnsi="Arial" w:cs="Arial"/>
          <w:kern w:val="1"/>
          <w:sz w:val="22"/>
          <w:szCs w:val="22"/>
          <w:lang w:eastAsia="hi-IN" w:bidi="hi-IN"/>
        </w:rPr>
        <w:t>3.825.509 euros en 2012 venus en diminution des rémunérations principales des titulaires,</w:t>
      </w:r>
    </w:p>
    <w:p w:rsidR="003A6B6B" w:rsidRPr="003A6B6B" w:rsidRDefault="003A6B6B" w:rsidP="008D4F0F">
      <w:pPr>
        <w:pStyle w:val="Paragraphedeliste"/>
        <w:numPr>
          <w:ilvl w:val="0"/>
          <w:numId w:val="6"/>
        </w:numPr>
        <w:tabs>
          <w:tab w:val="left" w:pos="1260"/>
        </w:tabs>
        <w:suppressAutoHyphens/>
        <w:spacing w:before="2" w:after="2"/>
        <w:jc w:val="both"/>
        <w:rPr>
          <w:rFonts w:ascii="Arial" w:eastAsia="Lucida Sans Unicode" w:hAnsi="Arial" w:cs="Arial"/>
          <w:kern w:val="1"/>
          <w:sz w:val="22"/>
          <w:szCs w:val="22"/>
          <w:lang w:eastAsia="hi-IN" w:bidi="hi-IN"/>
        </w:rPr>
      </w:pPr>
      <w:r w:rsidRPr="003A6B6B">
        <w:rPr>
          <w:rFonts w:ascii="Arial" w:eastAsia="Lucida Sans Unicode" w:hAnsi="Arial" w:cs="Arial"/>
          <w:kern w:val="1"/>
          <w:sz w:val="22"/>
          <w:szCs w:val="22"/>
          <w:lang w:eastAsia="hi-IN" w:bidi="hi-IN"/>
        </w:rPr>
        <w:t>5.645.238 euros en 2011 venus en diminution des rémunérations principales des contractuels.</w:t>
      </w:r>
    </w:p>
    <w:p w:rsidR="003A6B6B" w:rsidRP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p>
    <w:p w:rsidR="003A6B6B" w:rsidRPr="003A6B6B" w:rsidRDefault="003A6B6B" w:rsidP="003A6B6B">
      <w:pPr>
        <w:tabs>
          <w:tab w:val="left" w:pos="1260"/>
        </w:tabs>
        <w:suppressAutoHyphens/>
        <w:jc w:val="both"/>
        <w:rPr>
          <w:rFonts w:ascii="Arial" w:eastAsia="Lucida Sans Unicode" w:hAnsi="Arial" w:cs="Arial"/>
          <w:kern w:val="1"/>
          <w:sz w:val="22"/>
          <w:szCs w:val="22"/>
          <w:lang w:eastAsia="hi-IN" w:bidi="hi-IN"/>
        </w:rPr>
      </w:pPr>
    </w:p>
    <w:p w:rsidR="003A6B6B" w:rsidRPr="003A6B6B" w:rsidRDefault="003A6B6B" w:rsidP="003A6B6B">
      <w:pPr>
        <w:tabs>
          <w:tab w:val="left" w:pos="1260"/>
        </w:tabs>
        <w:suppressAutoHyphens/>
        <w:jc w:val="both"/>
        <w:rPr>
          <w:rFonts w:ascii="Arial" w:eastAsia="Lucida Sans Unicode" w:hAnsi="Arial" w:cs="Arial"/>
          <w:kern w:val="1"/>
          <w:sz w:val="22"/>
          <w:szCs w:val="22"/>
          <w:lang w:eastAsia="hi-IN" w:bidi="hi-IN"/>
        </w:rPr>
      </w:pPr>
      <w:r w:rsidRPr="003A6B6B">
        <w:rPr>
          <w:rFonts w:ascii="Arial" w:eastAsia="Lucida Sans Unicode" w:hAnsi="Arial" w:cs="Arial"/>
          <w:b/>
          <w:kern w:val="1"/>
          <w:sz w:val="22"/>
          <w:szCs w:val="22"/>
          <w:lang w:eastAsia="hi-IN" w:bidi="hi-IN"/>
        </w:rPr>
        <w:t>Les rémunérations accessoires</w:t>
      </w:r>
      <w:r w:rsidRPr="003A6B6B">
        <w:rPr>
          <w:rFonts w:ascii="Arial" w:eastAsia="Lucida Sans Unicode" w:hAnsi="Arial" w:cs="Arial"/>
          <w:kern w:val="1"/>
          <w:sz w:val="22"/>
          <w:szCs w:val="22"/>
          <w:lang w:eastAsia="hi-IN" w:bidi="hi-IN"/>
        </w:rPr>
        <w:t xml:space="preserve"> comprennent la nouvelle bonification indiciaire, les majorations de traitement, l’indemnité de résidence, le supplément familial de traitement.</w:t>
      </w:r>
    </w:p>
    <w:p w:rsidR="003A6B6B" w:rsidRPr="003A6B6B" w:rsidRDefault="003A6B6B" w:rsidP="003A6B6B">
      <w:pPr>
        <w:tabs>
          <w:tab w:val="left" w:pos="1260"/>
        </w:tabs>
        <w:suppressAutoHyphens/>
        <w:jc w:val="both"/>
        <w:rPr>
          <w:rFonts w:ascii="Arial" w:eastAsia="Lucida Sans Unicode" w:hAnsi="Arial" w:cs="Arial"/>
          <w:kern w:val="1"/>
          <w:sz w:val="22"/>
          <w:szCs w:val="22"/>
          <w:lang w:eastAsia="hi-IN" w:bidi="hi-IN"/>
        </w:rPr>
      </w:pPr>
    </w:p>
    <w:p w:rsidR="003A6B6B" w:rsidRPr="003A6B6B" w:rsidRDefault="003A6B6B" w:rsidP="003A6B6B">
      <w:pPr>
        <w:suppressAutoHyphens/>
        <w:jc w:val="both"/>
        <w:rPr>
          <w:rFonts w:ascii="Arial" w:eastAsia="Lucida Sans Unicode" w:hAnsi="Arial" w:cs="Arial"/>
          <w:kern w:val="1"/>
          <w:sz w:val="22"/>
          <w:szCs w:val="22"/>
          <w:lang w:eastAsia="hi-IN" w:bidi="hi-IN"/>
        </w:rPr>
      </w:pPr>
      <w:r w:rsidRPr="003A6B6B">
        <w:rPr>
          <w:rFonts w:ascii="Arial" w:eastAsia="Lucida Sans Unicode" w:hAnsi="Arial" w:cs="Arial"/>
          <w:b/>
          <w:kern w:val="1"/>
          <w:sz w:val="22"/>
          <w:szCs w:val="22"/>
          <w:lang w:eastAsia="hi-IN" w:bidi="hi-IN"/>
        </w:rPr>
        <w:t>Les indemnités</w:t>
      </w:r>
      <w:r w:rsidRPr="003A6B6B">
        <w:rPr>
          <w:rFonts w:ascii="Arial" w:eastAsia="Lucida Sans Unicode" w:hAnsi="Arial" w:cs="Arial"/>
          <w:kern w:val="1"/>
          <w:sz w:val="22"/>
          <w:szCs w:val="22"/>
          <w:lang w:eastAsia="hi-IN" w:bidi="hi-IN"/>
        </w:rPr>
        <w:t xml:space="preserve"> sont entendues au sens large : primes mensuelles, indemnités de service fait, etc. </w:t>
      </w:r>
    </w:p>
    <w:p w:rsidR="003A6B6B" w:rsidRPr="003A6B6B" w:rsidRDefault="003A6B6B" w:rsidP="003A6B6B">
      <w:pPr>
        <w:tabs>
          <w:tab w:val="left" w:pos="1260"/>
        </w:tabs>
        <w:suppressAutoHyphens/>
        <w:jc w:val="both"/>
        <w:rPr>
          <w:rFonts w:ascii="Arial" w:eastAsia="Lucida Sans Unicode" w:hAnsi="Arial" w:cs="Arial"/>
          <w:kern w:val="1"/>
          <w:sz w:val="22"/>
          <w:szCs w:val="22"/>
          <w:lang w:eastAsia="hi-IN" w:bidi="hi-IN"/>
        </w:rPr>
      </w:pPr>
    </w:p>
    <w:p w:rsidR="003A6B6B" w:rsidRPr="003A6B6B" w:rsidRDefault="003A6B6B" w:rsidP="003A6B6B">
      <w:pPr>
        <w:tabs>
          <w:tab w:val="left" w:pos="1260"/>
        </w:tabs>
        <w:suppressAutoHyphens/>
        <w:jc w:val="both"/>
        <w:rPr>
          <w:rFonts w:ascii="Arial" w:eastAsia="Lucida Sans Unicode" w:hAnsi="Arial" w:cs="Arial"/>
          <w:kern w:val="1"/>
          <w:sz w:val="22"/>
          <w:szCs w:val="22"/>
          <w:lang w:eastAsia="hi-IN" w:bidi="hi-IN"/>
        </w:rPr>
      </w:pPr>
      <w:r w:rsidRPr="003A6B6B">
        <w:rPr>
          <w:rFonts w:ascii="Arial" w:eastAsia="Lucida Sans Unicode" w:hAnsi="Arial" w:cs="Arial"/>
          <w:kern w:val="1"/>
          <w:sz w:val="22"/>
          <w:szCs w:val="22"/>
          <w:lang w:eastAsia="hi-IN" w:bidi="hi-IN"/>
        </w:rPr>
        <w:t>Les indemnités évoluent en raison de plusieurs facteurs : effet des mesures catégorielles indemnitaires, des rachats de jours des compte-épargne temps, de la garantie individuelle du pouvoir d’achat. Ce poste de dépense suit en outre l’évolution des dépenses de rémunérations principales, elles-mêmes liées aux flux d’entrées et de sorties. Entre 2011 et 2012, l’évolution des dépenses indemnitaires traduit principaleme</w:t>
      </w:r>
      <w:r w:rsidR="004406FF">
        <w:rPr>
          <w:rFonts w:ascii="Arial" w:eastAsia="Lucida Sans Unicode" w:hAnsi="Arial" w:cs="Arial"/>
          <w:kern w:val="1"/>
          <w:sz w:val="22"/>
          <w:szCs w:val="22"/>
          <w:lang w:eastAsia="hi-IN" w:bidi="hi-IN"/>
        </w:rPr>
        <w:t>nt l’impact du schéma d’emplois, m</w:t>
      </w:r>
      <w:r w:rsidRPr="003A6B6B">
        <w:rPr>
          <w:rFonts w:ascii="Arial" w:eastAsia="Lucida Sans Unicode" w:hAnsi="Arial" w:cs="Arial"/>
          <w:kern w:val="1"/>
          <w:sz w:val="22"/>
          <w:szCs w:val="22"/>
          <w:lang w:eastAsia="hi-IN" w:bidi="hi-IN"/>
        </w:rPr>
        <w:t xml:space="preserve">ais également l'augmentation de la dépense liée aux rachats de jours CET et de la garantie individuelle du pouvoir d’achat. </w:t>
      </w:r>
    </w:p>
    <w:p w:rsidR="003A6B6B" w:rsidRPr="003A6B6B" w:rsidRDefault="003A6B6B" w:rsidP="003A6B6B">
      <w:pPr>
        <w:tabs>
          <w:tab w:val="left" w:pos="1260"/>
        </w:tabs>
        <w:suppressAutoHyphens/>
        <w:jc w:val="both"/>
        <w:rPr>
          <w:rFonts w:ascii="Arial" w:eastAsia="Lucida Sans Unicode" w:hAnsi="Arial" w:cs="Arial"/>
          <w:kern w:val="1"/>
          <w:sz w:val="22"/>
          <w:szCs w:val="22"/>
          <w:lang w:eastAsia="hi-IN" w:bidi="hi-IN"/>
        </w:rPr>
      </w:pPr>
    </w:p>
    <w:p w:rsidR="003A6B6B" w:rsidRP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r w:rsidRPr="003A6B6B">
        <w:rPr>
          <w:rFonts w:ascii="Arial" w:eastAsia="Lucida Sans Unicode" w:hAnsi="Arial" w:cs="Arial"/>
          <w:b/>
          <w:kern w:val="1"/>
          <w:sz w:val="22"/>
          <w:szCs w:val="22"/>
          <w:lang w:eastAsia="hi-IN" w:bidi="hi-IN"/>
        </w:rPr>
        <w:lastRenderedPageBreak/>
        <w:t>Les charges patronales</w:t>
      </w:r>
      <w:r w:rsidRPr="003A6B6B">
        <w:rPr>
          <w:rFonts w:ascii="Arial" w:eastAsia="Lucida Sans Unicode" w:hAnsi="Arial" w:cs="Arial"/>
          <w:kern w:val="1"/>
          <w:sz w:val="22"/>
          <w:szCs w:val="22"/>
          <w:lang w:eastAsia="hi-IN" w:bidi="hi-IN"/>
        </w:rPr>
        <w:t xml:space="preserve"> distinguent les contributions versées au titre du CAS Pensions pour les titulaires civils et les autres charges patronales. </w:t>
      </w:r>
    </w:p>
    <w:p w:rsidR="003A6B6B" w:rsidRP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p>
    <w:p w:rsidR="003A6B6B" w:rsidRP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r w:rsidRPr="003A6B6B">
        <w:rPr>
          <w:rFonts w:ascii="Arial" w:eastAsia="Lucida Sans Unicode" w:hAnsi="Arial" w:cs="Arial"/>
          <w:b/>
          <w:kern w:val="1"/>
          <w:sz w:val="22"/>
          <w:szCs w:val="22"/>
          <w:lang w:eastAsia="hi-IN" w:bidi="hi-IN"/>
        </w:rPr>
        <w:t>Les prestations sociales et allocations diverses</w:t>
      </w:r>
      <w:r w:rsidRPr="003A6B6B">
        <w:rPr>
          <w:rFonts w:ascii="Arial" w:eastAsia="Lucida Sans Unicode" w:hAnsi="Arial" w:cs="Arial"/>
          <w:kern w:val="1"/>
          <w:sz w:val="22"/>
          <w:szCs w:val="22"/>
          <w:lang w:eastAsia="hi-IN" w:bidi="hi-IN"/>
        </w:rPr>
        <w:t xml:space="preserve"> comprennent le remboursement des frais de transport, les allocations de retour à l’emploi, ainsi que l’ensemble des prestations sociales facultatives.</w:t>
      </w:r>
    </w:p>
    <w:p w:rsidR="003A6B6B" w:rsidRP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p>
    <w:p w:rsidR="003A6B6B" w:rsidRDefault="003A6B6B" w:rsidP="003A6B6B">
      <w:pPr>
        <w:tabs>
          <w:tab w:val="left" w:pos="1260"/>
        </w:tabs>
        <w:suppressAutoHyphens/>
        <w:spacing w:before="2" w:after="2"/>
        <w:jc w:val="both"/>
        <w:rPr>
          <w:rFonts w:ascii="Arial" w:eastAsia="Lucida Sans Unicode" w:hAnsi="Arial" w:cs="Arial"/>
          <w:kern w:val="1"/>
          <w:sz w:val="22"/>
          <w:szCs w:val="22"/>
          <w:lang w:eastAsia="hi-IN" w:bidi="hi-IN"/>
        </w:rPr>
      </w:pPr>
      <w:r w:rsidRPr="003A6B6B">
        <w:rPr>
          <w:rFonts w:ascii="Arial" w:eastAsia="Lucida Sans Unicode" w:hAnsi="Arial" w:cs="Arial"/>
          <w:kern w:val="1"/>
          <w:sz w:val="22"/>
          <w:szCs w:val="22"/>
          <w:lang w:eastAsia="hi-IN" w:bidi="hi-IN"/>
        </w:rPr>
        <w:t xml:space="preserve">Les prestations sociales et allocations diverses augmentent globalement entre 2012 et 2013 : la moindre dépense réalisée au titre des capitaux-décès est plus que compensée par des augmentations de dépenses sur les lignes suivantes : remboursements transport, allocations de retour à l'emploi, accidents professionnels et autres risques maladie, prestations sociales facultatives. La diminution de la ligne "prestations sociales et allocations diverses" entre 2011 et 2012 résultait d’un changement de nomenclature, les congés de longue durée (1.567.130 euros en 2012 et 1.339.167 euros en 2011) étant désormais comptabilisés dans les autres rémunérations </w:t>
      </w:r>
      <w:r w:rsidRPr="00364E82">
        <w:rPr>
          <w:rFonts w:ascii="Arial" w:eastAsia="Lucida Sans Unicode" w:hAnsi="Arial" w:cs="Arial"/>
          <w:kern w:val="1"/>
          <w:sz w:val="22"/>
          <w:szCs w:val="22"/>
          <w:lang w:eastAsia="hi-IN" w:bidi="hi-IN"/>
        </w:rPr>
        <w:t>principales.</w:t>
      </w:r>
    </w:p>
    <w:p w:rsidR="00364E82" w:rsidRDefault="00364E82" w:rsidP="003A6B6B">
      <w:pPr>
        <w:tabs>
          <w:tab w:val="left" w:pos="1260"/>
        </w:tabs>
        <w:suppressAutoHyphens/>
        <w:spacing w:before="2" w:after="2"/>
        <w:jc w:val="both"/>
        <w:rPr>
          <w:rFonts w:ascii="Arial" w:eastAsia="Lucida Sans Unicode" w:hAnsi="Arial" w:cs="Arial"/>
          <w:kern w:val="1"/>
          <w:sz w:val="22"/>
          <w:szCs w:val="22"/>
          <w:lang w:eastAsia="hi-IN" w:bidi="hi-IN"/>
        </w:rPr>
      </w:pPr>
    </w:p>
    <w:p w:rsidR="00364E82" w:rsidRDefault="00364E82" w:rsidP="003A6B6B">
      <w:pPr>
        <w:tabs>
          <w:tab w:val="left" w:pos="1260"/>
        </w:tabs>
        <w:suppressAutoHyphens/>
        <w:spacing w:before="2" w:after="2"/>
        <w:jc w:val="both"/>
        <w:rPr>
          <w:rFonts w:ascii="Arial" w:eastAsia="Lucida Sans Unicode" w:hAnsi="Arial" w:cs="Arial"/>
          <w:kern w:val="1"/>
          <w:sz w:val="22"/>
          <w:szCs w:val="22"/>
          <w:lang w:eastAsia="hi-IN" w:bidi="hi-IN"/>
        </w:rPr>
      </w:pPr>
    </w:p>
    <w:p w:rsidR="00364E82" w:rsidRDefault="00364E82" w:rsidP="003A6B6B">
      <w:pPr>
        <w:tabs>
          <w:tab w:val="left" w:pos="1260"/>
        </w:tabs>
        <w:suppressAutoHyphens/>
        <w:spacing w:before="2" w:after="2"/>
        <w:jc w:val="both"/>
        <w:rPr>
          <w:rFonts w:ascii="Arial" w:eastAsia="Lucida Sans Unicode" w:hAnsi="Arial" w:cs="Arial"/>
          <w:kern w:val="1"/>
          <w:sz w:val="22"/>
          <w:szCs w:val="22"/>
          <w:lang w:eastAsia="hi-IN" w:bidi="hi-IN"/>
        </w:rPr>
      </w:pPr>
      <w:r>
        <w:rPr>
          <w:rFonts w:ascii="Florencesans Exp" w:eastAsia="Cambria" w:hAnsi="Florencesans Exp" w:cs="Times New Roman"/>
          <w:b/>
          <w:color w:val="0080FF"/>
          <w:sz w:val="28"/>
        </w:rPr>
        <w:t>2</w:t>
      </w:r>
      <w:r w:rsidRPr="00565A61">
        <w:rPr>
          <w:rFonts w:ascii="Florencesans Exp" w:eastAsia="Cambria" w:hAnsi="Florencesans Exp" w:cs="Times New Roman"/>
          <w:b/>
          <w:color w:val="0080FF"/>
          <w:sz w:val="28"/>
        </w:rPr>
        <w:t xml:space="preserve">. B. LES </w:t>
      </w:r>
      <w:r w:rsidR="002E5B58">
        <w:rPr>
          <w:rFonts w:ascii="Florencesans Exp" w:eastAsia="Cambria" w:hAnsi="Florencesans Exp" w:cs="Times New Roman"/>
          <w:b/>
          <w:color w:val="0080FF"/>
          <w:sz w:val="28"/>
        </w:rPr>
        <w:t xml:space="preserve">REMUNERATIONS BRUTES </w:t>
      </w:r>
      <w:r w:rsidRPr="00565A61">
        <w:rPr>
          <w:rFonts w:ascii="Florencesans Exp" w:eastAsia="Cambria" w:hAnsi="Florencesans Exp" w:cs="Times New Roman"/>
          <w:b/>
          <w:color w:val="0080FF"/>
          <w:sz w:val="28"/>
        </w:rPr>
        <w:t>(DONNEES T2)</w:t>
      </w:r>
    </w:p>
    <w:p w:rsidR="00364E82" w:rsidRPr="00364E82" w:rsidRDefault="00364E82" w:rsidP="003A6B6B">
      <w:pPr>
        <w:tabs>
          <w:tab w:val="left" w:pos="1260"/>
        </w:tabs>
        <w:suppressAutoHyphens/>
        <w:spacing w:before="2" w:after="2"/>
        <w:jc w:val="both"/>
        <w:rPr>
          <w:rFonts w:ascii="Arial" w:eastAsia="Lucida Sans Unicode" w:hAnsi="Arial" w:cs="Arial"/>
          <w:kern w:val="1"/>
          <w:sz w:val="22"/>
          <w:szCs w:val="22"/>
          <w:lang w:eastAsia="hi-IN" w:bidi="hi-IN"/>
        </w:rPr>
      </w:pPr>
    </w:p>
    <w:p w:rsidR="00B37922" w:rsidRDefault="002E5B58" w:rsidP="00200A81">
      <w:pPr>
        <w:jc w:val="both"/>
        <w:rPr>
          <w:rFonts w:ascii="Arial" w:eastAsia="Cambria" w:hAnsi="Arial" w:cs="Arial"/>
          <w:sz w:val="22"/>
          <w:szCs w:val="22"/>
        </w:rPr>
      </w:pPr>
      <w:r>
        <w:rPr>
          <w:rFonts w:ascii="Arial" w:eastAsia="Cambria" w:hAnsi="Arial" w:cs="Arial"/>
          <w:sz w:val="22"/>
          <w:szCs w:val="22"/>
        </w:rPr>
        <w:t>Le</w:t>
      </w:r>
      <w:r w:rsidR="00B37922">
        <w:rPr>
          <w:rFonts w:ascii="Arial" w:eastAsia="Cambria" w:hAnsi="Arial" w:cs="Arial"/>
          <w:sz w:val="22"/>
          <w:szCs w:val="22"/>
        </w:rPr>
        <w:t xml:space="preserve"> tableau de la page suivante donne les rémunérations annuelles brutes moyennes par filière d’emplois et corps.</w:t>
      </w:r>
    </w:p>
    <w:p w:rsidR="00B37922" w:rsidRDefault="00B37922" w:rsidP="00200A81">
      <w:pPr>
        <w:jc w:val="both"/>
        <w:rPr>
          <w:rFonts w:ascii="Arial" w:eastAsia="Cambria" w:hAnsi="Arial" w:cs="Arial"/>
          <w:sz w:val="22"/>
          <w:szCs w:val="22"/>
        </w:rPr>
      </w:pPr>
    </w:p>
    <w:p w:rsidR="005F10D0" w:rsidRPr="003A6B6B" w:rsidRDefault="005F10D0" w:rsidP="005F10D0">
      <w:pPr>
        <w:jc w:val="both"/>
        <w:rPr>
          <w:rFonts w:ascii="Arial" w:eastAsia="Cambria" w:hAnsi="Arial" w:cs="Arial"/>
          <w:sz w:val="22"/>
          <w:szCs w:val="22"/>
        </w:rPr>
      </w:pPr>
      <w:r>
        <w:rPr>
          <w:rFonts w:ascii="Arial" w:eastAsia="Cambria" w:hAnsi="Arial" w:cs="Arial"/>
          <w:sz w:val="22"/>
          <w:szCs w:val="22"/>
        </w:rPr>
        <w:t xml:space="preserve">Ces moyennes ont été déterminées à partir des rémunérations brutes versées, </w:t>
      </w:r>
      <w:r w:rsidRPr="003A6B6B">
        <w:rPr>
          <w:rFonts w:ascii="Arial" w:eastAsia="Cambria" w:hAnsi="Arial" w:cs="Arial"/>
          <w:sz w:val="22"/>
          <w:szCs w:val="22"/>
        </w:rPr>
        <w:t>ramenées à une quotit</w:t>
      </w:r>
      <w:r>
        <w:rPr>
          <w:rFonts w:ascii="Arial" w:eastAsia="Cambria" w:hAnsi="Arial" w:cs="Arial"/>
          <w:sz w:val="22"/>
          <w:szCs w:val="22"/>
        </w:rPr>
        <w:t xml:space="preserve">é de temps de travail de 100%, aux agents présents sur 12 mois : les </w:t>
      </w:r>
      <w:r w:rsidRPr="003A6B6B">
        <w:rPr>
          <w:rFonts w:ascii="Arial" w:eastAsia="Cambria" w:hAnsi="Arial" w:cs="Arial"/>
          <w:sz w:val="22"/>
          <w:szCs w:val="22"/>
        </w:rPr>
        <w:t>agents entrés ou sortis en cours d'exe</w:t>
      </w:r>
      <w:r>
        <w:rPr>
          <w:rFonts w:ascii="Arial" w:eastAsia="Cambria" w:hAnsi="Arial" w:cs="Arial"/>
          <w:sz w:val="22"/>
          <w:szCs w:val="22"/>
        </w:rPr>
        <w:t xml:space="preserve">rcice n’entrent pas dans le périmètre du calcul. Elles </w:t>
      </w:r>
      <w:r w:rsidRPr="003A6B6B">
        <w:rPr>
          <w:rFonts w:ascii="Arial" w:eastAsia="Cambria" w:hAnsi="Arial" w:cs="Arial"/>
          <w:sz w:val="22"/>
          <w:szCs w:val="22"/>
        </w:rPr>
        <w:t xml:space="preserve">ne comprennent </w:t>
      </w:r>
      <w:r>
        <w:rPr>
          <w:rFonts w:ascii="Arial" w:eastAsia="Cambria" w:hAnsi="Arial" w:cs="Arial"/>
          <w:sz w:val="22"/>
          <w:szCs w:val="22"/>
        </w:rPr>
        <w:t xml:space="preserve">ni </w:t>
      </w:r>
      <w:r w:rsidRPr="003A6B6B">
        <w:rPr>
          <w:rFonts w:ascii="Arial" w:eastAsia="Cambria" w:hAnsi="Arial" w:cs="Arial"/>
          <w:sz w:val="22"/>
          <w:szCs w:val="22"/>
        </w:rPr>
        <w:t>les charges patronales, ni les prestations sociales.</w:t>
      </w:r>
    </w:p>
    <w:p w:rsidR="00200A81" w:rsidRPr="003A6B6B" w:rsidRDefault="00200A81" w:rsidP="00200A81">
      <w:pPr>
        <w:jc w:val="both"/>
        <w:rPr>
          <w:rFonts w:ascii="Arial" w:eastAsia="Cambria" w:hAnsi="Arial" w:cs="Arial"/>
          <w:sz w:val="22"/>
          <w:szCs w:val="22"/>
        </w:rPr>
      </w:pPr>
    </w:p>
    <w:p w:rsidR="00200A81" w:rsidRPr="003A6B6B" w:rsidRDefault="00200A81" w:rsidP="00200A81">
      <w:pPr>
        <w:jc w:val="both"/>
        <w:rPr>
          <w:rFonts w:ascii="Arial" w:eastAsia="Cambria" w:hAnsi="Arial" w:cs="Arial"/>
          <w:sz w:val="22"/>
          <w:szCs w:val="22"/>
        </w:rPr>
      </w:pPr>
      <w:r w:rsidRPr="003A6B6B">
        <w:rPr>
          <w:rFonts w:ascii="Arial" w:eastAsia="Cambria" w:hAnsi="Arial" w:cs="Arial"/>
          <w:sz w:val="22"/>
          <w:szCs w:val="22"/>
        </w:rPr>
        <w:t xml:space="preserve">L’analyse </w:t>
      </w:r>
      <w:r w:rsidR="0012036D">
        <w:rPr>
          <w:rFonts w:ascii="Arial" w:eastAsia="Cambria" w:hAnsi="Arial" w:cs="Arial"/>
          <w:sz w:val="22"/>
          <w:szCs w:val="22"/>
        </w:rPr>
        <w:t xml:space="preserve">de leur évolution </w:t>
      </w:r>
      <w:r w:rsidRPr="003A6B6B">
        <w:rPr>
          <w:rFonts w:ascii="Arial" w:eastAsia="Cambria" w:hAnsi="Arial" w:cs="Arial"/>
          <w:sz w:val="22"/>
          <w:szCs w:val="22"/>
        </w:rPr>
        <w:t xml:space="preserve">sur plusieurs exercices est complexe car </w:t>
      </w:r>
      <w:r w:rsidR="0012036D">
        <w:rPr>
          <w:rFonts w:ascii="Arial" w:eastAsia="Cambria" w:hAnsi="Arial" w:cs="Arial"/>
          <w:sz w:val="22"/>
          <w:szCs w:val="22"/>
        </w:rPr>
        <w:t xml:space="preserve">cette évolution reflète </w:t>
      </w:r>
      <w:r w:rsidRPr="003A6B6B">
        <w:rPr>
          <w:rFonts w:ascii="Arial" w:eastAsia="Cambria" w:hAnsi="Arial" w:cs="Arial"/>
          <w:sz w:val="22"/>
          <w:szCs w:val="22"/>
        </w:rPr>
        <w:t xml:space="preserve">les effets conjugués de nombreux facteurs : glissement-vieillesse-technicité, mesures générales, mesures catégorielles statutaires et indemnitaires, évolution démographique des corps, effet des flux d'entrées et de sorties, etc. </w:t>
      </w:r>
    </w:p>
    <w:p w:rsidR="00200A81" w:rsidRPr="003A6B6B" w:rsidRDefault="00200A81" w:rsidP="00200A81">
      <w:pPr>
        <w:jc w:val="both"/>
        <w:rPr>
          <w:rFonts w:ascii="Arial" w:eastAsia="Cambria" w:hAnsi="Arial" w:cs="Arial"/>
          <w:sz w:val="22"/>
          <w:szCs w:val="22"/>
        </w:rPr>
      </w:pPr>
    </w:p>
    <w:p w:rsidR="00200A81" w:rsidRPr="003A6B6B" w:rsidRDefault="00200A81" w:rsidP="00200A81">
      <w:pPr>
        <w:jc w:val="both"/>
        <w:rPr>
          <w:rFonts w:ascii="Arial" w:eastAsia="Cambria" w:hAnsi="Arial" w:cs="Arial"/>
          <w:sz w:val="22"/>
          <w:szCs w:val="22"/>
        </w:rPr>
      </w:pPr>
      <w:r w:rsidRPr="003A6B6B">
        <w:rPr>
          <w:rFonts w:ascii="Arial" w:eastAsia="Cambria" w:hAnsi="Arial" w:cs="Arial"/>
          <w:sz w:val="22"/>
          <w:szCs w:val="22"/>
        </w:rPr>
        <w:t>Sur l’ensemble du périmètre, les rémunérations ont augmenté de 2% entre 2012 et 2013. Cette augmentation reflète l’augmentation de l’indice majoré moyen (+398 euros pour une augmentation de 4 points d’indice). Elle traduit également une augmentation de la part indemnitaire des rémunérations (+241 euros).</w:t>
      </w:r>
    </w:p>
    <w:p w:rsidR="00364E82" w:rsidRDefault="00364E82" w:rsidP="003A6B6B">
      <w:pPr>
        <w:tabs>
          <w:tab w:val="left" w:pos="1260"/>
        </w:tabs>
        <w:suppressAutoHyphens/>
        <w:spacing w:before="2" w:after="2"/>
        <w:jc w:val="both"/>
        <w:rPr>
          <w:rFonts w:ascii="Arial" w:eastAsia="Lucida Sans Unicode" w:hAnsi="Arial" w:cs="Arial"/>
          <w:i/>
          <w:kern w:val="1"/>
          <w:sz w:val="22"/>
          <w:szCs w:val="22"/>
          <w:lang w:eastAsia="hi-IN" w:bidi="hi-IN"/>
        </w:rPr>
      </w:pPr>
    </w:p>
    <w:p w:rsidR="00723750" w:rsidRDefault="00723750" w:rsidP="003A6B6B">
      <w:pPr>
        <w:tabs>
          <w:tab w:val="left" w:pos="1260"/>
        </w:tabs>
        <w:suppressAutoHyphens/>
        <w:spacing w:before="2" w:after="2"/>
        <w:jc w:val="both"/>
        <w:rPr>
          <w:rFonts w:ascii="Arial" w:eastAsia="Lucida Sans Unicode" w:hAnsi="Arial" w:cs="Arial"/>
          <w:i/>
          <w:kern w:val="1"/>
          <w:sz w:val="22"/>
          <w:szCs w:val="22"/>
          <w:lang w:eastAsia="hi-IN" w:bidi="hi-IN"/>
        </w:rPr>
      </w:pPr>
    </w:p>
    <w:p w:rsidR="00364E82" w:rsidRPr="00364E82" w:rsidRDefault="00A126FE" w:rsidP="003A6B6B">
      <w:pPr>
        <w:tabs>
          <w:tab w:val="left" w:pos="1260"/>
        </w:tabs>
        <w:suppressAutoHyphens/>
        <w:spacing w:before="2" w:after="2"/>
        <w:jc w:val="both"/>
        <w:rPr>
          <w:rFonts w:ascii="Arial" w:eastAsia="Lucida Sans Unicode" w:hAnsi="Arial" w:cs="Arial"/>
          <w:i/>
          <w:kern w:val="1"/>
          <w:sz w:val="22"/>
          <w:szCs w:val="22"/>
          <w:lang w:eastAsia="hi-IN" w:bidi="hi-IN"/>
        </w:rPr>
      </w:pPr>
      <w:r w:rsidRPr="00A126FE">
        <w:rPr>
          <w:noProof/>
          <w:lang w:eastAsia="fr-FR"/>
        </w:rPr>
        <w:lastRenderedPageBreak/>
        <w:drawing>
          <wp:inline distT="0" distB="0" distL="0" distR="0">
            <wp:extent cx="6578600" cy="6832600"/>
            <wp:effectExtent l="0" t="0" r="0" b="635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579070" cy="6833088"/>
                    </a:xfrm>
                    <a:prstGeom prst="rect">
                      <a:avLst/>
                    </a:prstGeom>
                    <a:noFill/>
                    <a:ln>
                      <a:noFill/>
                    </a:ln>
                  </pic:spPr>
                </pic:pic>
              </a:graphicData>
            </a:graphic>
          </wp:inline>
        </w:drawing>
      </w:r>
    </w:p>
    <w:p w:rsidR="00480DBE" w:rsidRDefault="00480DBE" w:rsidP="00364E82">
      <w:pPr>
        <w:tabs>
          <w:tab w:val="left" w:pos="1220"/>
        </w:tabs>
        <w:rPr>
          <w:rFonts w:ascii="Arial" w:eastAsia="Cambria" w:hAnsi="Arial" w:cs="Times New Roman"/>
          <w:color w:val="000000"/>
          <w:sz w:val="16"/>
          <w:szCs w:val="16"/>
        </w:rPr>
      </w:pPr>
    </w:p>
    <w:p w:rsidR="00480DBE" w:rsidRDefault="00480DBE" w:rsidP="00364E82">
      <w:pPr>
        <w:tabs>
          <w:tab w:val="left" w:pos="1220"/>
        </w:tabs>
        <w:rPr>
          <w:rFonts w:ascii="Arial" w:eastAsia="Cambria" w:hAnsi="Arial" w:cs="Times New Roman"/>
          <w:color w:val="000000"/>
          <w:sz w:val="16"/>
          <w:szCs w:val="16"/>
        </w:rPr>
      </w:pPr>
    </w:p>
    <w:p w:rsidR="003A6B6B" w:rsidRPr="009402D6" w:rsidRDefault="00480DBE" w:rsidP="00600076">
      <w:pPr>
        <w:numPr>
          <w:ilvl w:val="0"/>
          <w:numId w:val="5"/>
        </w:numPr>
        <w:tabs>
          <w:tab w:val="left" w:pos="284"/>
        </w:tabs>
        <w:ind w:left="0" w:firstLine="0"/>
        <w:contextualSpacing/>
        <w:rPr>
          <w:rFonts w:ascii="Arial" w:eastAsia="Cambria" w:hAnsi="Arial" w:cs="Times New Roman"/>
          <w:color w:val="000000"/>
          <w:sz w:val="16"/>
          <w:szCs w:val="16"/>
        </w:rPr>
      </w:pPr>
      <w:r>
        <w:rPr>
          <w:rFonts w:ascii="Arial" w:eastAsia="Cambria" w:hAnsi="Arial" w:cs="Times New Roman"/>
          <w:color w:val="000000"/>
          <w:sz w:val="16"/>
          <w:szCs w:val="16"/>
        </w:rPr>
        <w:t>Traitem</w:t>
      </w:r>
      <w:r w:rsidR="003A6B6B" w:rsidRPr="009402D6">
        <w:rPr>
          <w:rFonts w:ascii="Arial" w:eastAsia="Cambria" w:hAnsi="Arial" w:cs="Times New Roman"/>
          <w:color w:val="000000"/>
          <w:sz w:val="16"/>
          <w:szCs w:val="16"/>
        </w:rPr>
        <w:t>ent indiciaire brut, indemnité de résidence, supplément familial de traitement</w:t>
      </w:r>
    </w:p>
    <w:p w:rsidR="003A6B6B" w:rsidRPr="009402D6" w:rsidRDefault="003A6B6B" w:rsidP="00600076">
      <w:pPr>
        <w:numPr>
          <w:ilvl w:val="0"/>
          <w:numId w:val="5"/>
        </w:numPr>
        <w:tabs>
          <w:tab w:val="left" w:pos="284"/>
        </w:tabs>
        <w:ind w:left="0" w:firstLine="0"/>
        <w:contextualSpacing/>
        <w:rPr>
          <w:rFonts w:ascii="Arial" w:eastAsia="Cambria" w:hAnsi="Arial" w:cs="Times New Roman"/>
          <w:color w:val="000000"/>
          <w:sz w:val="16"/>
          <w:szCs w:val="16"/>
        </w:rPr>
      </w:pPr>
      <w:r w:rsidRPr="009402D6">
        <w:rPr>
          <w:rFonts w:ascii="Arial" w:eastAsia="Cambria" w:hAnsi="Arial" w:cs="Times New Roman"/>
          <w:color w:val="000000"/>
          <w:sz w:val="16"/>
          <w:szCs w:val="16"/>
        </w:rPr>
        <w:t>Majorations de traitement, nouvelle bonification indiciaire, primes et indemnités</w:t>
      </w:r>
    </w:p>
    <w:p w:rsidR="003A6B6B" w:rsidRPr="009402D6" w:rsidRDefault="003A6B6B" w:rsidP="00600076">
      <w:pPr>
        <w:numPr>
          <w:ilvl w:val="0"/>
          <w:numId w:val="5"/>
        </w:numPr>
        <w:tabs>
          <w:tab w:val="left" w:pos="284"/>
        </w:tabs>
        <w:ind w:left="0" w:firstLine="0"/>
        <w:contextualSpacing/>
        <w:rPr>
          <w:rFonts w:ascii="Arial" w:eastAsia="Cambria" w:hAnsi="Arial" w:cs="Times New Roman"/>
          <w:color w:val="000000"/>
          <w:sz w:val="16"/>
          <w:szCs w:val="16"/>
        </w:rPr>
      </w:pPr>
      <w:r w:rsidRPr="009402D6">
        <w:rPr>
          <w:rFonts w:ascii="Arial" w:eastAsia="Cambria" w:hAnsi="Arial" w:cs="Times New Roman"/>
          <w:color w:val="000000"/>
          <w:sz w:val="16"/>
          <w:szCs w:val="16"/>
        </w:rPr>
        <w:t>Total des rémunérations brutes</w:t>
      </w:r>
      <w:r w:rsidR="0029348C">
        <w:rPr>
          <w:rFonts w:ascii="Arial" w:eastAsia="Cambria" w:hAnsi="Arial" w:cs="Times New Roman"/>
          <w:color w:val="000000"/>
          <w:sz w:val="16"/>
          <w:szCs w:val="16"/>
        </w:rPr>
        <w:t xml:space="preserve"> annuelles</w:t>
      </w:r>
    </w:p>
    <w:p w:rsidR="003A6B6B" w:rsidRPr="009402D6" w:rsidRDefault="003A6B6B" w:rsidP="00600076">
      <w:pPr>
        <w:tabs>
          <w:tab w:val="left" w:pos="1220"/>
        </w:tabs>
        <w:rPr>
          <w:rFonts w:ascii="Arial" w:eastAsia="Cambria" w:hAnsi="Arial" w:cs="Times New Roman"/>
          <w:color w:val="000000"/>
          <w:sz w:val="16"/>
          <w:szCs w:val="16"/>
        </w:rPr>
      </w:pPr>
      <w:r w:rsidRPr="009402D6">
        <w:rPr>
          <w:rFonts w:ascii="Arial" w:eastAsia="Cambria" w:hAnsi="Arial" w:cs="Times New Roman"/>
          <w:color w:val="000000"/>
          <w:sz w:val="16"/>
          <w:szCs w:val="16"/>
        </w:rPr>
        <w:t>Ces montants ne comprennent pas les charges patronales, ni les prestations sociales.</w:t>
      </w:r>
    </w:p>
    <w:p w:rsidR="003A6B6B" w:rsidRDefault="003A6B6B" w:rsidP="003A6B6B">
      <w:pPr>
        <w:tabs>
          <w:tab w:val="left" w:pos="1220"/>
        </w:tabs>
        <w:rPr>
          <w:rFonts w:ascii="BlairMdITC TT-Medium" w:eastAsia="Cambria" w:hAnsi="BlairMdITC TT-Medium" w:cs="Times New Roman"/>
          <w:b/>
          <w:color w:val="0080FF"/>
          <w:sz w:val="28"/>
        </w:rPr>
      </w:pPr>
    </w:p>
    <w:p w:rsidR="003A6B6B" w:rsidRDefault="003A6B6B" w:rsidP="003A6B6B">
      <w:pPr>
        <w:tabs>
          <w:tab w:val="left" w:pos="1220"/>
        </w:tabs>
        <w:rPr>
          <w:rFonts w:ascii="BlairMdITC TT-Medium" w:eastAsia="Cambria" w:hAnsi="BlairMdITC TT-Medium" w:cs="Times New Roman"/>
          <w:b/>
          <w:color w:val="0080FF"/>
          <w:sz w:val="28"/>
        </w:rPr>
      </w:pPr>
    </w:p>
    <w:p w:rsidR="003A6B6B" w:rsidRDefault="003A6B6B" w:rsidP="003A6B6B">
      <w:pPr>
        <w:tabs>
          <w:tab w:val="left" w:pos="1220"/>
        </w:tabs>
        <w:rPr>
          <w:rFonts w:ascii="BlairMdITC TT-Medium" w:eastAsia="Cambria" w:hAnsi="BlairMdITC TT-Medium" w:cs="Times New Roman"/>
          <w:b/>
          <w:color w:val="0080FF"/>
          <w:sz w:val="28"/>
        </w:rPr>
      </w:pPr>
    </w:p>
    <w:p w:rsidR="003A6B6B" w:rsidRDefault="003A6B6B" w:rsidP="003A6B6B">
      <w:pPr>
        <w:rPr>
          <w:rFonts w:ascii="BlairMdITC TT-Medium" w:eastAsia="Cambria" w:hAnsi="BlairMdITC TT-Medium" w:cs="Times New Roman"/>
          <w:b/>
          <w:color w:val="0080FF"/>
          <w:sz w:val="28"/>
        </w:rPr>
      </w:pPr>
    </w:p>
    <w:p w:rsidR="00200A81" w:rsidRDefault="00723750" w:rsidP="003A6B6B">
      <w:pPr>
        <w:rPr>
          <w:rFonts w:ascii="BlairMdITC TT-Medium" w:eastAsia="Cambria" w:hAnsi="BlairMdITC TT-Medium" w:cs="Times New Roman"/>
          <w:b/>
          <w:color w:val="0080FF"/>
          <w:sz w:val="28"/>
        </w:rPr>
      </w:pPr>
      <w:r w:rsidRPr="00723750">
        <w:rPr>
          <w:noProof/>
          <w:lang w:eastAsia="fr-FR"/>
        </w:rPr>
        <w:lastRenderedPageBreak/>
        <w:drawing>
          <wp:inline distT="0" distB="0" distL="0" distR="0">
            <wp:extent cx="6116320" cy="9079437"/>
            <wp:effectExtent l="0" t="0" r="0" b="762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16320" cy="9079437"/>
                    </a:xfrm>
                    <a:prstGeom prst="rect">
                      <a:avLst/>
                    </a:prstGeom>
                    <a:noFill/>
                    <a:ln>
                      <a:noFill/>
                    </a:ln>
                  </pic:spPr>
                </pic:pic>
              </a:graphicData>
            </a:graphic>
          </wp:inline>
        </w:drawing>
      </w:r>
    </w:p>
    <w:p w:rsidR="00200A81" w:rsidRDefault="00200A81" w:rsidP="003A6B6B">
      <w:pPr>
        <w:rPr>
          <w:rFonts w:ascii="BlairMdITC TT-Medium" w:eastAsia="Cambria" w:hAnsi="BlairMdITC TT-Medium" w:cs="Times New Roman"/>
          <w:b/>
          <w:color w:val="0080FF"/>
          <w:sz w:val="28"/>
        </w:rPr>
      </w:pPr>
    </w:p>
    <w:p w:rsidR="00200A81" w:rsidRDefault="00E56EA3" w:rsidP="003A6B6B">
      <w:pPr>
        <w:rPr>
          <w:rFonts w:ascii="BlairMdITC TT-Medium" w:eastAsia="Cambria" w:hAnsi="BlairMdITC TT-Medium" w:cs="Times New Roman"/>
          <w:b/>
          <w:color w:val="0080FF"/>
          <w:sz w:val="28"/>
        </w:rPr>
      </w:pPr>
      <w:r w:rsidRPr="00D37D9B">
        <w:rPr>
          <w:rFonts w:ascii="Arial" w:eastAsia="Cambria" w:hAnsi="Arial" w:cs="Arial"/>
          <w:noProof/>
          <w:lang w:eastAsia="fr-FR"/>
        </w:rPr>
        <w:lastRenderedPageBreak/>
        <mc:AlternateContent>
          <mc:Choice Requires="wps">
            <w:drawing>
              <wp:anchor distT="0" distB="0" distL="114300" distR="114300" simplePos="0" relativeHeight="251780096" behindDoc="0" locked="0" layoutInCell="1" allowOverlap="1" wp14:anchorId="2E563D82" wp14:editId="3D826318">
                <wp:simplePos x="0" y="0"/>
                <wp:positionH relativeFrom="column">
                  <wp:posOffset>-707216</wp:posOffset>
                </wp:positionH>
                <wp:positionV relativeFrom="paragraph">
                  <wp:posOffset>-105237</wp:posOffset>
                </wp:positionV>
                <wp:extent cx="1828800" cy="1828800"/>
                <wp:effectExtent l="0" t="457200" r="0" b="445770"/>
                <wp:wrapNone/>
                <wp:docPr id="59" name="Zone de texte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scene3d>
                          <a:camera prst="isometricRightUp"/>
                          <a:lightRig rig="threePt" dir="t"/>
                        </a:scene3d>
                      </wps:spPr>
                      <wps:txbx>
                        <w:txbxContent>
                          <w:p w:rsidR="007B1397" w:rsidRPr="00D26AC1" w:rsidRDefault="007B1397" w:rsidP="003A6B6B">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26AC1">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2E563D82" id="Zone de texte 59" o:spid="_x0000_s1072" type="#_x0000_t202" style="position:absolute;margin-left:-55.7pt;margin-top:-8.3pt;width:2in;height:2in;z-index:251780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" filled="f" stroked="f">
                <v:textbox style="mso-fit-shape-to-text:t">
                  <w:txbxContent>
                    <w:p w:rsidR="007B1397" w:rsidRPr="00D26AC1" w:rsidRDefault="007B1397" w:rsidP="003A6B6B">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26AC1">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v:shape>
            </w:pict>
          </mc:Fallback>
        </mc:AlternateContent>
      </w:r>
    </w:p>
    <w:p w:rsidR="003A6B6B" w:rsidRDefault="003A6B6B" w:rsidP="003A6B6B">
      <w:pPr>
        <w:rPr>
          <w:rFonts w:ascii="BlairMdITC TT-Medium" w:eastAsia="Cambria" w:hAnsi="BlairMdITC TT-Medium" w:cs="Times New Roman"/>
          <w:b/>
          <w:color w:val="0080FF"/>
          <w:sz w:val="28"/>
        </w:rPr>
      </w:pPr>
    </w:p>
    <w:p w:rsidR="003A6B6B" w:rsidRDefault="00194585" w:rsidP="003A6B6B">
      <w:pPr>
        <w:jc w:val="center"/>
        <w:rPr>
          <w:rFonts w:ascii="Arial" w:eastAsia="Cambria" w:hAnsi="Arial" w:cs="Arial"/>
          <w:b/>
        </w:rPr>
      </w:pPr>
      <w:r w:rsidRPr="00AF1828">
        <w:rPr>
          <w:rFonts w:ascii="Arial" w:eastAsia="Cambria" w:hAnsi="Arial" w:cs="Arial"/>
          <w:b/>
        </w:rPr>
        <w:t>Coûts moyens présents des titulaires par catégorie</w:t>
      </w:r>
    </w:p>
    <w:p w:rsidR="00C20644" w:rsidRPr="00AF1828" w:rsidRDefault="00C20644" w:rsidP="003A6B6B">
      <w:pPr>
        <w:jc w:val="center"/>
        <w:rPr>
          <w:rFonts w:ascii="Arial" w:eastAsia="Cambria" w:hAnsi="Arial" w:cs="Arial"/>
        </w:rPr>
      </w:pPr>
    </w:p>
    <w:p w:rsidR="003A6B6B" w:rsidRPr="00AA5B8A" w:rsidRDefault="003A6B6B" w:rsidP="003A6B6B">
      <w:pPr>
        <w:rPr>
          <w:rFonts w:ascii="Arial" w:eastAsia="Cambria" w:hAnsi="Arial" w:cs="Arial"/>
        </w:rPr>
      </w:pPr>
    </w:p>
    <w:p w:rsidR="003A6B6B" w:rsidRPr="00AA5B8A" w:rsidRDefault="00C20644" w:rsidP="003A6B6B">
      <w:pPr>
        <w:rPr>
          <w:rFonts w:ascii="Arial" w:eastAsia="Cambria" w:hAnsi="Arial" w:cs="Arial"/>
        </w:rPr>
      </w:pPr>
      <w:r w:rsidRPr="00C20644">
        <w:rPr>
          <w:noProof/>
          <w:lang w:eastAsia="fr-FR"/>
        </w:rPr>
        <w:drawing>
          <wp:inline distT="0" distB="0" distL="0" distR="0">
            <wp:extent cx="6116320" cy="925221"/>
            <wp:effectExtent l="0" t="0" r="0" b="8255"/>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16320" cy="925221"/>
                    </a:xfrm>
                    <a:prstGeom prst="rect">
                      <a:avLst/>
                    </a:prstGeom>
                    <a:noFill/>
                    <a:ln>
                      <a:noFill/>
                    </a:ln>
                  </pic:spPr>
                </pic:pic>
              </a:graphicData>
            </a:graphic>
          </wp:inline>
        </w:drawing>
      </w:r>
    </w:p>
    <w:p w:rsidR="003A6B6B" w:rsidRPr="00AA5B8A" w:rsidRDefault="003A6B6B" w:rsidP="003A6B6B">
      <w:pPr>
        <w:rPr>
          <w:rFonts w:ascii="Arial" w:eastAsia="Cambria" w:hAnsi="Arial" w:cs="Arial"/>
        </w:rPr>
      </w:pPr>
    </w:p>
    <w:p w:rsidR="003A6B6B" w:rsidRPr="00AA5B8A" w:rsidRDefault="003A6B6B" w:rsidP="003A6B6B">
      <w:pPr>
        <w:rPr>
          <w:rFonts w:ascii="Arial" w:eastAsia="Cambria" w:hAnsi="Arial" w:cs="Arial"/>
        </w:rPr>
      </w:pPr>
    </w:p>
    <w:p w:rsidR="003A6B6B" w:rsidRPr="00AA5B8A" w:rsidRDefault="005F75C5" w:rsidP="003A6B6B">
      <w:pPr>
        <w:rPr>
          <w:rFonts w:ascii="Arial" w:eastAsia="Cambria" w:hAnsi="Arial" w:cs="Arial"/>
        </w:rPr>
      </w:pPr>
      <w:r w:rsidRPr="005F75C5">
        <w:rPr>
          <w:noProof/>
          <w:lang w:eastAsia="fr-FR"/>
        </w:rPr>
        <w:drawing>
          <wp:inline distT="0" distB="0" distL="0" distR="0">
            <wp:extent cx="6116320" cy="1364152"/>
            <wp:effectExtent l="0" t="0" r="0" b="762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16320" cy="1364152"/>
                    </a:xfrm>
                    <a:prstGeom prst="rect">
                      <a:avLst/>
                    </a:prstGeom>
                    <a:noFill/>
                    <a:ln>
                      <a:noFill/>
                    </a:ln>
                  </pic:spPr>
                </pic:pic>
              </a:graphicData>
            </a:graphic>
          </wp:inline>
        </w:drawing>
      </w:r>
    </w:p>
    <w:p w:rsidR="003A6B6B" w:rsidRPr="00AA5B8A" w:rsidRDefault="003A6B6B" w:rsidP="003A6B6B">
      <w:pPr>
        <w:rPr>
          <w:rFonts w:ascii="Arial" w:eastAsia="Cambria" w:hAnsi="Arial" w:cs="Arial"/>
        </w:rPr>
      </w:pPr>
    </w:p>
    <w:p w:rsidR="003A6B6B" w:rsidRPr="00155724" w:rsidRDefault="004A39F8" w:rsidP="00CF62C6">
      <w:pPr>
        <w:jc w:val="both"/>
        <w:rPr>
          <w:rFonts w:ascii="Arial" w:eastAsia="Cambria" w:hAnsi="Arial" w:cs="Arial"/>
          <w:sz w:val="22"/>
        </w:rPr>
      </w:pPr>
      <w:r w:rsidRPr="00155724">
        <w:rPr>
          <w:rFonts w:ascii="Arial" w:eastAsia="Cambria" w:hAnsi="Arial" w:cs="Arial"/>
          <w:sz w:val="22"/>
        </w:rPr>
        <w:t xml:space="preserve">L’indice moyen des contractuels A/B/C représente la moyenne </w:t>
      </w:r>
      <w:r w:rsidR="00CF62C6" w:rsidRPr="00155724">
        <w:rPr>
          <w:rFonts w:ascii="Arial" w:eastAsia="Cambria" w:hAnsi="Arial" w:cs="Arial"/>
          <w:sz w:val="22"/>
        </w:rPr>
        <w:t xml:space="preserve">des indices des contractuels de l’ensemble des quatre filières (administrative, scientifique, surveillance, technique et enseignement). </w:t>
      </w:r>
    </w:p>
    <w:p w:rsidR="003A6B6B" w:rsidRPr="00AA5B8A" w:rsidRDefault="003A6B6B" w:rsidP="003A6B6B">
      <w:pPr>
        <w:rPr>
          <w:rFonts w:ascii="Arial" w:eastAsia="Cambria" w:hAnsi="Arial" w:cs="Arial"/>
        </w:rPr>
      </w:pPr>
    </w:p>
    <w:p w:rsidR="003A6B6B" w:rsidRPr="00AA5B8A" w:rsidRDefault="003A6B6B" w:rsidP="003A6B6B">
      <w:pPr>
        <w:rPr>
          <w:rFonts w:ascii="Arial" w:eastAsia="Cambria" w:hAnsi="Arial" w:cs="Arial"/>
        </w:rPr>
      </w:pPr>
    </w:p>
    <w:p w:rsidR="003A6B6B" w:rsidRDefault="00194585" w:rsidP="003A6B6B">
      <w:pPr>
        <w:jc w:val="center"/>
        <w:rPr>
          <w:rFonts w:ascii="Arial" w:eastAsia="Cambria" w:hAnsi="Arial" w:cs="Arial"/>
          <w:b/>
        </w:rPr>
      </w:pPr>
      <w:r w:rsidRPr="00AF1828">
        <w:rPr>
          <w:rFonts w:ascii="Arial" w:eastAsia="Cambria" w:hAnsi="Arial" w:cs="Arial"/>
          <w:b/>
        </w:rPr>
        <w:t>Coûts moyens présents des non-titulaires par cadre de gestion</w:t>
      </w:r>
      <w:r w:rsidR="00A157BD">
        <w:rPr>
          <w:rFonts w:ascii="Arial" w:eastAsia="Cambria" w:hAnsi="Arial" w:cs="Arial"/>
          <w:b/>
        </w:rPr>
        <w:t xml:space="preserve"> « Albanel »</w:t>
      </w:r>
    </w:p>
    <w:p w:rsidR="00BC21D3" w:rsidRPr="00AF1828" w:rsidRDefault="00BC21D3" w:rsidP="0013132E">
      <w:pPr>
        <w:rPr>
          <w:rFonts w:ascii="Arial" w:eastAsia="Cambria" w:hAnsi="Arial" w:cs="Arial"/>
        </w:rPr>
      </w:pPr>
    </w:p>
    <w:p w:rsidR="000F7F93" w:rsidRDefault="000F7F93" w:rsidP="000F7F93"/>
    <w:p w:rsidR="0013132E" w:rsidRPr="000F7F93" w:rsidRDefault="0013132E" w:rsidP="000F7F93">
      <w:r w:rsidRPr="0013132E">
        <w:rPr>
          <w:noProof/>
          <w:lang w:eastAsia="fr-FR"/>
        </w:rPr>
        <w:drawing>
          <wp:inline distT="0" distB="0" distL="0" distR="0">
            <wp:extent cx="6116320" cy="1180937"/>
            <wp:effectExtent l="0" t="0" r="0" b="63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16320" cy="1180937"/>
                    </a:xfrm>
                    <a:prstGeom prst="rect">
                      <a:avLst/>
                    </a:prstGeom>
                    <a:noFill/>
                    <a:ln>
                      <a:noFill/>
                    </a:ln>
                  </pic:spPr>
                </pic:pic>
              </a:graphicData>
            </a:graphic>
          </wp:inline>
        </w:drawing>
      </w:r>
    </w:p>
    <w:p w:rsidR="0013132E" w:rsidRDefault="0013132E" w:rsidP="003A6B6B">
      <w:pPr>
        <w:jc w:val="both"/>
        <w:rPr>
          <w:rFonts w:ascii="Arial" w:eastAsia="Cambria" w:hAnsi="Arial" w:cs="Arial"/>
          <w:sz w:val="22"/>
          <w:szCs w:val="22"/>
        </w:rPr>
      </w:pPr>
    </w:p>
    <w:p w:rsidR="003A6B6B" w:rsidRDefault="003A6B6B" w:rsidP="003A6B6B">
      <w:pPr>
        <w:jc w:val="both"/>
        <w:rPr>
          <w:rFonts w:ascii="Arial" w:eastAsia="Cambria" w:hAnsi="Arial" w:cs="Arial"/>
          <w:sz w:val="22"/>
          <w:szCs w:val="22"/>
        </w:rPr>
      </w:pPr>
      <w:r w:rsidRPr="003A6B6B">
        <w:rPr>
          <w:rFonts w:ascii="Arial" w:eastAsia="Cambria" w:hAnsi="Arial" w:cs="Arial"/>
          <w:sz w:val="22"/>
          <w:szCs w:val="22"/>
        </w:rPr>
        <w:t>Le périmètre retenu est celui des agents non titulaires relevant du cadre de gestion dit "Albanel", à l'exception des "hors groupes". N'entrent pas dans ce périmètre les agents détachés sur contrat, les enseignants sans carrière, les architectes urbanistes contractuels, les contractuels Berkani, les contractuels non reclassés lors de la mise en place du nouveau cadre de gestion des ANT.</w:t>
      </w:r>
    </w:p>
    <w:p w:rsidR="002A04A8" w:rsidRPr="003A6B6B" w:rsidRDefault="002A04A8" w:rsidP="003A6B6B">
      <w:pPr>
        <w:jc w:val="both"/>
        <w:rPr>
          <w:rFonts w:ascii="Arial" w:eastAsia="Cambria" w:hAnsi="Arial" w:cs="Arial"/>
          <w:sz w:val="22"/>
          <w:szCs w:val="22"/>
        </w:rPr>
      </w:pPr>
    </w:p>
    <w:p w:rsidR="003A6B6B" w:rsidRPr="003A6B6B" w:rsidRDefault="003A6B6B" w:rsidP="003A6B6B">
      <w:pPr>
        <w:jc w:val="both"/>
        <w:rPr>
          <w:rFonts w:ascii="BlairMdITC TT-Medium" w:eastAsia="Cambria" w:hAnsi="BlairMdITC TT-Medium" w:cs="Times New Roman"/>
          <w:b/>
          <w:color w:val="0080FF"/>
          <w:sz w:val="22"/>
          <w:szCs w:val="22"/>
        </w:rPr>
      </w:pPr>
      <w:r w:rsidRPr="003A6B6B">
        <w:rPr>
          <w:rFonts w:ascii="Arial" w:eastAsia="Cambria" w:hAnsi="Arial" w:cs="Arial"/>
          <w:sz w:val="22"/>
          <w:szCs w:val="22"/>
        </w:rPr>
        <w:t>Les montants correspondent à la moyenne des rémunérations brutes versées, ramenées à une quotité de temps de travail de 100%, à l'exception des parts variables. Ils ne comprennent pas les charges patronales, ni les prestations sociales.</w:t>
      </w:r>
      <w:r w:rsidRPr="003A6B6B">
        <w:rPr>
          <w:rFonts w:ascii="BlairMdITC TT-Medium" w:eastAsia="Cambria" w:hAnsi="BlairMdITC TT-Medium" w:cs="Times New Roman"/>
          <w:b/>
          <w:color w:val="0080FF"/>
          <w:sz w:val="22"/>
          <w:szCs w:val="22"/>
        </w:rPr>
        <w:br w:type="page"/>
      </w:r>
    </w:p>
    <w:p w:rsidR="003A6B6B" w:rsidRDefault="003A6B6B" w:rsidP="003A6B6B">
      <w:pPr>
        <w:tabs>
          <w:tab w:val="left" w:pos="1220"/>
        </w:tabs>
        <w:rPr>
          <w:rFonts w:ascii="BlairMdITC TT-Medium" w:eastAsia="Cambria" w:hAnsi="BlairMdITC TT-Medium" w:cs="Times New Roman"/>
          <w:b/>
          <w:color w:val="0080FF"/>
          <w:sz w:val="28"/>
        </w:rPr>
      </w:pPr>
    </w:p>
    <w:p w:rsidR="003A6B6B" w:rsidRPr="00A27D05" w:rsidRDefault="003A6B6B" w:rsidP="003A6B6B">
      <w:pPr>
        <w:tabs>
          <w:tab w:val="left" w:pos="1220"/>
        </w:tabs>
        <w:ind w:left="851" w:hanging="851"/>
        <w:rPr>
          <w:rFonts w:ascii="Florencesans Exp" w:eastAsia="Cambria" w:hAnsi="Florencesans Exp" w:cs="Times New Roman"/>
          <w:b/>
          <w:color w:val="0080FF"/>
          <w:sz w:val="28"/>
        </w:rPr>
      </w:pPr>
      <w:r>
        <w:rPr>
          <w:rFonts w:ascii="Florencesans Exp" w:eastAsia="Cambria" w:hAnsi="Florencesans Exp" w:cs="Times New Roman"/>
          <w:b/>
          <w:color w:val="0080FF"/>
          <w:sz w:val="28"/>
        </w:rPr>
        <w:t>2</w:t>
      </w:r>
      <w:r w:rsidRPr="001A5E86">
        <w:rPr>
          <w:rFonts w:ascii="Florencesans Exp" w:eastAsia="Cambria" w:hAnsi="Florencesans Exp" w:cs="Times New Roman"/>
          <w:b/>
          <w:color w:val="0080FF"/>
          <w:sz w:val="28"/>
        </w:rPr>
        <w:t xml:space="preserve">. C. L’EXECUTION </w:t>
      </w:r>
      <w:r w:rsidR="00A157BD">
        <w:rPr>
          <w:rFonts w:ascii="Florencesans Exp" w:eastAsia="Cambria" w:hAnsi="Florencesans Exp" w:cs="Times New Roman"/>
          <w:b/>
          <w:color w:val="0080FF"/>
          <w:sz w:val="28"/>
        </w:rPr>
        <w:t>DES MESURES CATEGORIELLES</w:t>
      </w:r>
      <w:r w:rsidRPr="001A5E86">
        <w:rPr>
          <w:rFonts w:ascii="Florencesans Exp" w:eastAsia="Cambria" w:hAnsi="Florencesans Exp" w:cs="Times New Roman"/>
          <w:b/>
          <w:color w:val="0080FF"/>
          <w:sz w:val="28"/>
        </w:rPr>
        <w:t xml:space="preserve"> </w:t>
      </w:r>
      <w:r w:rsidRPr="001A5E86">
        <w:rPr>
          <w:rFonts w:ascii="Florencesans Exp" w:eastAsia="Cambria" w:hAnsi="Florencesans Exp" w:cs="Times New Roman"/>
          <w:b/>
          <w:color w:val="0080FF"/>
          <w:sz w:val="28"/>
        </w:rPr>
        <w:br/>
        <w:t>(DONNEES T2)</w:t>
      </w:r>
    </w:p>
    <w:p w:rsidR="003A6B6B" w:rsidRPr="00EC6FFC" w:rsidRDefault="003A6B6B" w:rsidP="003A6B6B">
      <w:pPr>
        <w:tabs>
          <w:tab w:val="left" w:pos="1220"/>
        </w:tabs>
        <w:rPr>
          <w:rFonts w:ascii="Arial" w:eastAsia="Cambria" w:hAnsi="Arial" w:cs="Arial"/>
        </w:rPr>
      </w:pPr>
    </w:p>
    <w:p w:rsidR="003A6B6B" w:rsidRPr="003A6B6B" w:rsidRDefault="003A6B6B" w:rsidP="003A6B6B">
      <w:pPr>
        <w:tabs>
          <w:tab w:val="left" w:pos="1220"/>
        </w:tabs>
        <w:jc w:val="both"/>
        <w:rPr>
          <w:rFonts w:ascii="Arial" w:eastAsia="Cambria" w:hAnsi="Arial" w:cs="Arial"/>
          <w:sz w:val="22"/>
          <w:szCs w:val="22"/>
        </w:rPr>
      </w:pPr>
      <w:r w:rsidRPr="003A6B6B">
        <w:rPr>
          <w:rFonts w:ascii="Arial" w:eastAsia="Cambria" w:hAnsi="Arial" w:cs="Arial"/>
          <w:sz w:val="22"/>
          <w:szCs w:val="22"/>
        </w:rPr>
        <w:t xml:space="preserve">Une enveloppe limitative de crédits est identifiée pour le financement des mesures catégorielles lors de la négociation du projet de loi de finances. </w:t>
      </w:r>
    </w:p>
    <w:p w:rsidR="003A6B6B" w:rsidRPr="003A6B6B" w:rsidRDefault="003A6B6B" w:rsidP="003A6B6B">
      <w:pPr>
        <w:tabs>
          <w:tab w:val="left" w:pos="1220"/>
        </w:tabs>
        <w:jc w:val="both"/>
        <w:rPr>
          <w:rFonts w:ascii="Arial" w:eastAsia="Cambria" w:hAnsi="Arial" w:cs="Arial"/>
          <w:sz w:val="22"/>
          <w:szCs w:val="22"/>
        </w:rPr>
      </w:pPr>
    </w:p>
    <w:p w:rsidR="003A6B6B" w:rsidRPr="003A6B6B" w:rsidRDefault="003A6B6B" w:rsidP="003A6B6B">
      <w:pPr>
        <w:tabs>
          <w:tab w:val="left" w:pos="1220"/>
        </w:tabs>
        <w:jc w:val="both"/>
        <w:rPr>
          <w:rFonts w:ascii="Arial" w:eastAsia="Cambria" w:hAnsi="Arial" w:cs="Arial"/>
          <w:sz w:val="22"/>
          <w:szCs w:val="22"/>
        </w:rPr>
      </w:pPr>
      <w:r w:rsidRPr="003A6B6B">
        <w:rPr>
          <w:rFonts w:ascii="Arial" w:eastAsia="Cambria" w:hAnsi="Arial" w:cs="Arial"/>
          <w:sz w:val="22"/>
          <w:szCs w:val="22"/>
        </w:rPr>
        <w:t>Pour 2013, cette enveloppe s'élevait à 1,2 M€. Le tableau ci-dessous retrace l'utilisation qui a été faite de cette enveloppe. Selon le type de mesure concerné, les montants indiqués retracent l'intégralité du coût de la mesure ou bien seulement son surcoût en 2013 par rapport au coût 2012.</w:t>
      </w:r>
    </w:p>
    <w:p w:rsidR="003A6B6B" w:rsidRPr="003A6B6B" w:rsidRDefault="003A6B6B" w:rsidP="003A6B6B">
      <w:pPr>
        <w:tabs>
          <w:tab w:val="left" w:pos="1220"/>
        </w:tabs>
        <w:jc w:val="both"/>
        <w:rPr>
          <w:rFonts w:ascii="Arial" w:eastAsia="Cambria" w:hAnsi="Arial" w:cs="Arial"/>
          <w:sz w:val="22"/>
          <w:szCs w:val="22"/>
        </w:rPr>
      </w:pPr>
    </w:p>
    <w:p w:rsidR="003A6B6B" w:rsidRPr="003A6B6B" w:rsidRDefault="003A6B6B" w:rsidP="003A6B6B">
      <w:pPr>
        <w:tabs>
          <w:tab w:val="left" w:pos="1220"/>
        </w:tabs>
        <w:jc w:val="both"/>
        <w:rPr>
          <w:rFonts w:ascii="Arial" w:eastAsia="Cambria" w:hAnsi="Arial" w:cs="Arial"/>
          <w:sz w:val="22"/>
          <w:szCs w:val="22"/>
        </w:rPr>
      </w:pPr>
      <w:r w:rsidRPr="003A6B6B">
        <w:rPr>
          <w:rFonts w:ascii="Arial" w:eastAsia="Cambria" w:hAnsi="Arial" w:cs="Arial"/>
          <w:sz w:val="22"/>
          <w:szCs w:val="22"/>
        </w:rPr>
        <w:t xml:space="preserve">Dans le premier cas, la colonne "effectifs concernés" est renseignée ; dans le second cas, elle est laissée vide. A titre d'exemple, les promotions de grade ne figurent pas ici pour leur coût total 2013, mais uniquement pour le coût supplémentaire qu'elles ont représenté par rapport à 2012 </w:t>
      </w:r>
      <w:r w:rsidRPr="003A6B6B">
        <w:rPr>
          <w:rFonts w:ascii="Arial" w:eastAsia="Cambria" w:hAnsi="Arial" w:cs="Arial"/>
          <w:sz w:val="22"/>
          <w:szCs w:val="22"/>
        </w:rPr>
        <w:br/>
        <w:t>(+ 27 523 euros), en raison de l'augmentation des ratios promus/promouvables entre ces deux années. En revanche, les promotions de groupe des agents non titulaires ont représenté un coût total de 162 505 euros en 2013 et ont concerné 36 agents.</w:t>
      </w:r>
    </w:p>
    <w:p w:rsidR="003A6B6B" w:rsidRPr="003A6B6B" w:rsidRDefault="003A6B6B" w:rsidP="003A6B6B">
      <w:pPr>
        <w:tabs>
          <w:tab w:val="left" w:pos="1220"/>
        </w:tabs>
        <w:jc w:val="both"/>
        <w:rPr>
          <w:rFonts w:ascii="Arial" w:eastAsia="Cambria" w:hAnsi="Arial" w:cs="Arial"/>
          <w:sz w:val="22"/>
          <w:szCs w:val="22"/>
        </w:rPr>
      </w:pPr>
    </w:p>
    <w:p w:rsidR="003A6B6B" w:rsidRPr="003A6B6B" w:rsidRDefault="003A6B6B" w:rsidP="003A6B6B">
      <w:pPr>
        <w:tabs>
          <w:tab w:val="left" w:pos="1220"/>
        </w:tabs>
        <w:jc w:val="both"/>
        <w:rPr>
          <w:rFonts w:ascii="Arial" w:eastAsia="Cambria" w:hAnsi="Arial" w:cs="Arial"/>
          <w:sz w:val="22"/>
          <w:szCs w:val="22"/>
        </w:rPr>
      </w:pPr>
      <w:r w:rsidRPr="003A6B6B">
        <w:rPr>
          <w:rFonts w:ascii="Arial" w:eastAsia="Cambria" w:hAnsi="Arial" w:cs="Arial"/>
          <w:sz w:val="22"/>
          <w:szCs w:val="22"/>
        </w:rPr>
        <w:t>Ces mesures ne concernent que les agents rémunérés sur le budget de titre 2 du ministère de la culture et de la communication.</w:t>
      </w:r>
    </w:p>
    <w:p w:rsidR="003A6B6B" w:rsidRPr="00EC6FFC" w:rsidRDefault="003A6B6B" w:rsidP="003A6B6B">
      <w:pPr>
        <w:tabs>
          <w:tab w:val="left" w:pos="1220"/>
        </w:tabs>
        <w:jc w:val="both"/>
        <w:rPr>
          <w:rFonts w:ascii="Arial" w:eastAsia="Cambria" w:hAnsi="Arial" w:cs="Arial"/>
        </w:rPr>
      </w:pPr>
      <w:bookmarkStart w:id="5" w:name="_GoBack"/>
      <w:bookmarkEnd w:id="5"/>
    </w:p>
    <w:p w:rsidR="003A6B6B" w:rsidRPr="004442B4" w:rsidRDefault="0057385C" w:rsidP="003A6B6B">
      <w:pPr>
        <w:tabs>
          <w:tab w:val="left" w:pos="1220"/>
        </w:tabs>
        <w:rPr>
          <w:rFonts w:ascii="Arial" w:eastAsia="Cambria" w:hAnsi="Arial" w:cs="Times New Roman"/>
          <w:color w:val="000000"/>
        </w:rPr>
      </w:pPr>
      <w:r>
        <w:rPr>
          <w:rFonts w:ascii="Arial" w:eastAsia="Cambria" w:hAnsi="Arial" w:cs="Times New Roman"/>
          <w:noProof/>
          <w:color w:val="000000"/>
          <w:lang w:eastAsia="fr-FR"/>
        </w:rPr>
        <w:drawing>
          <wp:inline distT="0" distB="0" distL="0" distR="0">
            <wp:extent cx="6115050" cy="3800475"/>
            <wp:effectExtent l="0" t="0" r="0" b="952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15050" cy="3800475"/>
                    </a:xfrm>
                    <a:prstGeom prst="rect">
                      <a:avLst/>
                    </a:prstGeom>
                    <a:noFill/>
                    <a:ln>
                      <a:noFill/>
                    </a:ln>
                  </pic:spPr>
                </pic:pic>
              </a:graphicData>
            </a:graphic>
          </wp:inline>
        </w:drawing>
      </w:r>
    </w:p>
    <w:p w:rsidR="00C8652E" w:rsidRDefault="00C8652E">
      <w:pPr>
        <w:spacing w:after="160" w:line="259" w:lineRule="auto"/>
        <w:rPr>
          <w:rFonts w:ascii="Arial" w:eastAsia="Cambria" w:hAnsi="Arial" w:cs="Times New Roman"/>
        </w:rPr>
      </w:pPr>
      <w:r>
        <w:rPr>
          <w:rFonts w:ascii="Arial" w:eastAsia="Cambria" w:hAnsi="Arial" w:cs="Times New Roman"/>
        </w:rPr>
        <w:br w:type="page"/>
      </w:r>
    </w:p>
    <w:p w:rsidR="003A6B6B" w:rsidRPr="004442B4" w:rsidRDefault="003A6B6B" w:rsidP="003A6B6B">
      <w:pPr>
        <w:jc w:val="both"/>
        <w:rPr>
          <w:rFonts w:ascii="Arial" w:eastAsia="Cambria" w:hAnsi="Arial" w:cs="Times New Roman"/>
        </w:rPr>
      </w:pPr>
      <w:r w:rsidRPr="00257D81">
        <w:rPr>
          <w:rFonts w:ascii="Arial" w:eastAsia="Cambria" w:hAnsi="Arial" w:cs="Arial"/>
          <w:noProof/>
          <w:lang w:eastAsia="fr-FR"/>
        </w:rPr>
        <w:lastRenderedPageBreak/>
        <mc:AlternateContent>
          <mc:Choice Requires="wps">
            <w:drawing>
              <wp:anchor distT="0" distB="0" distL="114300" distR="114300" simplePos="0" relativeHeight="251785216" behindDoc="0" locked="0" layoutInCell="1" allowOverlap="1" wp14:anchorId="203EDD70" wp14:editId="26C1D14E">
                <wp:simplePos x="0" y="0"/>
                <wp:positionH relativeFrom="page">
                  <wp:align>left</wp:align>
                </wp:positionH>
                <wp:positionV relativeFrom="paragraph">
                  <wp:posOffset>-407035</wp:posOffset>
                </wp:positionV>
                <wp:extent cx="1828800" cy="1828800"/>
                <wp:effectExtent l="0" t="209550" r="0" b="217170"/>
                <wp:wrapNone/>
                <wp:docPr id="60" name="Zone de texte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scene3d>
                          <a:camera prst="isometricRightUp"/>
                          <a:lightRig rig="threePt" dir="t"/>
                        </a:scene3d>
                      </wps:spPr>
                      <wps:txbx>
                        <w:txbxContent>
                          <w:p w:rsidR="007B1397" w:rsidRPr="00B95022" w:rsidRDefault="007B1397" w:rsidP="003A6B6B">
                            <w:pPr>
                              <w:widowControl w:val="0"/>
                              <w:autoSpaceDE w:val="0"/>
                              <w:autoSpaceDN w:val="0"/>
                              <w:adjustRightInd w:val="0"/>
                              <w:jc w:val="center"/>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203EDD70" id="Zone de texte 60" o:spid="_x0000_s1073" type="#_x0000_t202" style="position:absolute;left:0;text-align:left;margin-left:0;margin-top:-32.05pt;width:2in;height:2in;z-index:251785216;visibility:visible;mso-wrap-style:none;mso-wrap-distance-left:9pt;mso-wrap-distance-top:0;mso-wrap-distance-right:9pt;mso-wrap-distance-bottom:0;mso-position-horizontal:lef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" filled="f" stroked="f">
                <v:textbox style="mso-fit-shape-to-text:t">
                  <w:txbxContent>
                    <w:p w:rsidR="007B1397" w:rsidRPr="00B95022" w:rsidRDefault="007B1397" w:rsidP="003A6B6B">
                      <w:pPr>
                        <w:widowControl w:val="0"/>
                        <w:autoSpaceDE w:val="0"/>
                        <w:autoSpaceDN w:val="0"/>
                        <w:adjustRightInd w:val="0"/>
                        <w:jc w:val="center"/>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w10:wrap anchorx="page"/>
              </v:shape>
            </w:pict>
          </mc:Fallback>
        </mc:AlternateContent>
      </w:r>
    </w:p>
    <w:p w:rsidR="003A6B6B" w:rsidRPr="00A27D05" w:rsidRDefault="003A6B6B" w:rsidP="003A6B6B">
      <w:pPr>
        <w:tabs>
          <w:tab w:val="left" w:pos="1220"/>
        </w:tabs>
        <w:ind w:left="851" w:hanging="851"/>
        <w:rPr>
          <w:rFonts w:ascii="Florencesans Exp" w:eastAsia="Cambria" w:hAnsi="Florencesans Exp" w:cs="Times New Roman"/>
          <w:b/>
          <w:color w:val="0080FF"/>
          <w:sz w:val="28"/>
        </w:rPr>
      </w:pPr>
      <w:r>
        <w:rPr>
          <w:rFonts w:ascii="Florencesans Exp" w:eastAsia="Cambria" w:hAnsi="Florencesans Exp" w:cs="Times New Roman"/>
          <w:b/>
          <w:color w:val="0080FF"/>
          <w:sz w:val="28"/>
        </w:rPr>
        <w:t>2</w:t>
      </w:r>
      <w:r w:rsidRPr="001A5E86">
        <w:rPr>
          <w:rFonts w:ascii="Florencesans Exp" w:eastAsia="Cambria" w:hAnsi="Florencesans Exp" w:cs="Times New Roman"/>
          <w:b/>
          <w:color w:val="0080FF"/>
          <w:sz w:val="28"/>
        </w:rPr>
        <w:t xml:space="preserve">. </w:t>
      </w:r>
      <w:r>
        <w:rPr>
          <w:rFonts w:ascii="Florencesans Exp" w:eastAsia="Cambria" w:hAnsi="Florencesans Exp" w:cs="Times New Roman"/>
          <w:b/>
          <w:color w:val="0080FF"/>
          <w:sz w:val="28"/>
        </w:rPr>
        <w:t>D</w:t>
      </w:r>
      <w:r w:rsidRPr="001A5E86">
        <w:rPr>
          <w:rFonts w:ascii="Florencesans Exp" w:eastAsia="Cambria" w:hAnsi="Florencesans Exp" w:cs="Times New Roman"/>
          <w:b/>
          <w:color w:val="0080FF"/>
          <w:sz w:val="28"/>
        </w:rPr>
        <w:t xml:space="preserve">. </w:t>
      </w:r>
      <w:r>
        <w:rPr>
          <w:rFonts w:ascii="Florencesans Exp" w:eastAsia="Cambria" w:hAnsi="Florencesans Exp" w:cs="Times New Roman"/>
          <w:b/>
          <w:color w:val="0080FF"/>
          <w:sz w:val="28"/>
        </w:rPr>
        <w:t>COÛT DE RACHAT DES CET ET DE LA GIPA</w:t>
      </w:r>
      <w:r w:rsidRPr="001A5E86">
        <w:rPr>
          <w:rFonts w:ascii="Florencesans Exp" w:eastAsia="Cambria" w:hAnsi="Florencesans Exp" w:cs="Times New Roman"/>
          <w:b/>
          <w:color w:val="0080FF"/>
          <w:sz w:val="28"/>
        </w:rPr>
        <w:t xml:space="preserve"> </w:t>
      </w:r>
      <w:r w:rsidRPr="001A5E86">
        <w:rPr>
          <w:rFonts w:ascii="Florencesans Exp" w:eastAsia="Cambria" w:hAnsi="Florencesans Exp" w:cs="Times New Roman"/>
          <w:b/>
          <w:color w:val="0080FF"/>
          <w:sz w:val="28"/>
        </w:rPr>
        <w:br/>
        <w:t>(DONNEES T2)</w:t>
      </w:r>
    </w:p>
    <w:p w:rsidR="003A6B6B" w:rsidRPr="00AF1828" w:rsidRDefault="003A6B6B" w:rsidP="003A6B6B">
      <w:pPr>
        <w:rPr>
          <w:sz w:val="16"/>
          <w:szCs w:val="16"/>
        </w:rPr>
      </w:pPr>
    </w:p>
    <w:p w:rsidR="003A6B6B" w:rsidRPr="003A6B6B" w:rsidRDefault="003A6B6B" w:rsidP="003A6B6B">
      <w:pPr>
        <w:rPr>
          <w:rFonts w:ascii="Arial" w:hAnsi="Arial" w:cs="Arial"/>
          <w:b/>
          <w:sz w:val="22"/>
          <w:szCs w:val="22"/>
          <w:u w:val="single"/>
        </w:rPr>
      </w:pPr>
      <w:r w:rsidRPr="003A6B6B">
        <w:rPr>
          <w:rFonts w:ascii="Arial" w:hAnsi="Arial" w:cs="Arial"/>
          <w:b/>
          <w:sz w:val="22"/>
          <w:szCs w:val="22"/>
          <w:u w:val="single"/>
        </w:rPr>
        <w:t>Coût des rachats de jours sur compte épargne temps (CET)</w:t>
      </w:r>
    </w:p>
    <w:p w:rsidR="003A6B6B" w:rsidRPr="00AF1828" w:rsidRDefault="003A6B6B" w:rsidP="003A6B6B">
      <w:pPr>
        <w:jc w:val="both"/>
        <w:rPr>
          <w:rFonts w:ascii="Arial" w:hAnsi="Arial" w:cs="Arial"/>
          <w:sz w:val="16"/>
          <w:szCs w:val="16"/>
        </w:rPr>
      </w:pPr>
    </w:p>
    <w:p w:rsidR="003A6B6B" w:rsidRPr="003A6B6B" w:rsidRDefault="003A6B6B" w:rsidP="003A6B6B">
      <w:pPr>
        <w:jc w:val="both"/>
        <w:rPr>
          <w:rFonts w:ascii="Arial" w:hAnsi="Arial" w:cs="Arial"/>
          <w:sz w:val="22"/>
          <w:szCs w:val="22"/>
        </w:rPr>
      </w:pPr>
      <w:r w:rsidRPr="003A6B6B">
        <w:rPr>
          <w:rFonts w:ascii="Arial" w:hAnsi="Arial" w:cs="Arial"/>
          <w:sz w:val="22"/>
          <w:szCs w:val="22"/>
        </w:rPr>
        <w:t xml:space="preserve">Dans le cadre de leur droit à option, les agents du ministère, dont le compte épargne temps (CET) contient un nombre de jours épargnés supérieur à 20, peuvent demander une indemnisation des jours épargnés excédant le seuil de 20 jours. </w:t>
      </w:r>
    </w:p>
    <w:p w:rsidR="003A6B6B" w:rsidRPr="003A6B6B" w:rsidRDefault="003A6B6B" w:rsidP="003A6B6B">
      <w:pPr>
        <w:jc w:val="both"/>
        <w:rPr>
          <w:rFonts w:ascii="Arial" w:hAnsi="Arial" w:cs="Arial"/>
          <w:sz w:val="22"/>
          <w:szCs w:val="22"/>
        </w:rPr>
      </w:pPr>
      <w:r w:rsidRPr="003A6B6B">
        <w:rPr>
          <w:rFonts w:ascii="Arial" w:hAnsi="Arial" w:cs="Arial"/>
          <w:sz w:val="22"/>
          <w:szCs w:val="22"/>
        </w:rPr>
        <w:t xml:space="preserve">Chaque jour est indemnisé selon un taux forfaitaire par catégorie statutaire fixé à : 125 euros pour les agents de catégorie A et assimilés, 80 euros pour les agents de catégorie B et assimilés, </w:t>
      </w:r>
      <w:r w:rsidRPr="003A6B6B">
        <w:rPr>
          <w:rFonts w:ascii="Arial" w:hAnsi="Arial" w:cs="Arial"/>
          <w:sz w:val="22"/>
          <w:szCs w:val="22"/>
        </w:rPr>
        <w:br/>
        <w:t>65 euros pour les agents de catégorie C et assimilés. L'indemnisation fait l'objet d'un seul versement.</w:t>
      </w:r>
    </w:p>
    <w:p w:rsidR="00AF1828" w:rsidRPr="00AF1828" w:rsidRDefault="00AF1828" w:rsidP="00194585">
      <w:pPr>
        <w:jc w:val="center"/>
        <w:rPr>
          <w:rFonts w:ascii="Arial" w:hAnsi="Arial" w:cs="Arial"/>
          <w:sz w:val="16"/>
          <w:szCs w:val="16"/>
        </w:rPr>
      </w:pPr>
    </w:p>
    <w:p w:rsidR="003A6B6B" w:rsidRPr="00AF1828" w:rsidRDefault="003A6B6B" w:rsidP="00194585">
      <w:pPr>
        <w:jc w:val="center"/>
        <w:rPr>
          <w:rFonts w:ascii="Arial" w:hAnsi="Arial" w:cs="Arial"/>
          <w:b/>
          <w:sz w:val="22"/>
          <w:szCs w:val="22"/>
        </w:rPr>
      </w:pPr>
      <w:r w:rsidRPr="00AF1828">
        <w:rPr>
          <w:b/>
          <w:noProof/>
          <w:sz w:val="22"/>
          <w:szCs w:val="22"/>
          <w:lang w:eastAsia="fr-FR"/>
        </w:rPr>
        <w:drawing>
          <wp:anchor distT="0" distB="0" distL="114300" distR="114300" simplePos="0" relativeHeight="251783168" behindDoc="1" locked="0" layoutInCell="1" allowOverlap="1" wp14:anchorId="3FAC62A2" wp14:editId="5350A9C2">
            <wp:simplePos x="0" y="0"/>
            <wp:positionH relativeFrom="margin">
              <wp:align>center</wp:align>
            </wp:positionH>
            <wp:positionV relativeFrom="paragraph">
              <wp:posOffset>212725</wp:posOffset>
            </wp:positionV>
            <wp:extent cx="5728335" cy="482600"/>
            <wp:effectExtent l="0" t="0" r="5715" b="0"/>
            <wp:wrapThrough wrapText="bothSides">
              <wp:wrapPolygon edited="0">
                <wp:start x="0" y="0"/>
                <wp:lineTo x="0" y="20463"/>
                <wp:lineTo x="16593" y="20463"/>
                <wp:lineTo x="19682" y="19611"/>
                <wp:lineTo x="21550" y="17053"/>
                <wp:lineTo x="21550" y="0"/>
                <wp:lineTo x="0" y="0"/>
              </wp:wrapPolygon>
            </wp:wrapThrough>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28335" cy="48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1828" w:rsidRPr="00AF1828">
        <w:rPr>
          <w:rFonts w:ascii="Arial" w:hAnsi="Arial" w:cs="Arial"/>
          <w:b/>
          <w:sz w:val="22"/>
          <w:szCs w:val="22"/>
        </w:rPr>
        <w:t>Coût du rachat des jours épargnés sur CET entre 2011 et 2013</w:t>
      </w:r>
    </w:p>
    <w:p w:rsidR="00AF1828" w:rsidRDefault="00AF1828" w:rsidP="00AF1828">
      <w:pPr>
        <w:jc w:val="center"/>
        <w:rPr>
          <w:rFonts w:ascii="Arial" w:hAnsi="Arial" w:cs="Arial"/>
          <w:b/>
          <w:sz w:val="16"/>
          <w:szCs w:val="16"/>
        </w:rPr>
      </w:pPr>
    </w:p>
    <w:p w:rsidR="00AF1828" w:rsidRPr="00AF1828" w:rsidRDefault="00AF1828" w:rsidP="00AF1828">
      <w:pPr>
        <w:jc w:val="center"/>
        <w:rPr>
          <w:rFonts w:ascii="Arial" w:hAnsi="Arial" w:cs="Arial"/>
          <w:b/>
          <w:sz w:val="16"/>
          <w:szCs w:val="16"/>
        </w:rPr>
      </w:pPr>
    </w:p>
    <w:p w:rsidR="00AF1828" w:rsidRDefault="00AF1828" w:rsidP="00AF1828">
      <w:pPr>
        <w:jc w:val="center"/>
        <w:rPr>
          <w:rFonts w:ascii="Arial" w:hAnsi="Arial" w:cs="Arial"/>
        </w:rPr>
      </w:pPr>
      <w:r w:rsidRPr="00AF1828">
        <w:rPr>
          <w:noProof/>
          <w:sz w:val="16"/>
          <w:szCs w:val="16"/>
          <w:lang w:eastAsia="fr-FR"/>
        </w:rPr>
        <w:drawing>
          <wp:anchor distT="0" distB="0" distL="114300" distR="114300" simplePos="0" relativeHeight="251884544" behindDoc="1" locked="0" layoutInCell="1" allowOverlap="1" wp14:anchorId="6BDB448D" wp14:editId="55E1BFB2">
            <wp:simplePos x="0" y="0"/>
            <wp:positionH relativeFrom="margin">
              <wp:align>center</wp:align>
            </wp:positionH>
            <wp:positionV relativeFrom="paragraph">
              <wp:posOffset>242570</wp:posOffset>
            </wp:positionV>
            <wp:extent cx="5707380" cy="6172200"/>
            <wp:effectExtent l="0" t="0" r="7620" b="0"/>
            <wp:wrapTight wrapText="bothSides">
              <wp:wrapPolygon edited="0">
                <wp:start x="0" y="0"/>
                <wp:lineTo x="0" y="21533"/>
                <wp:lineTo x="21557" y="21533"/>
                <wp:lineTo x="21557" y="0"/>
                <wp:lineTo x="0" y="0"/>
              </wp:wrapPolygon>
            </wp:wrapTight>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07380" cy="617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1828">
        <w:rPr>
          <w:rFonts w:ascii="Arial" w:hAnsi="Arial" w:cs="Arial"/>
          <w:b/>
          <w:sz w:val="22"/>
          <w:szCs w:val="22"/>
        </w:rPr>
        <w:t xml:space="preserve">Coût du rachat des jours épargnés sur CET </w:t>
      </w:r>
      <w:r>
        <w:rPr>
          <w:rFonts w:ascii="Arial" w:hAnsi="Arial" w:cs="Arial"/>
          <w:b/>
          <w:sz w:val="22"/>
          <w:szCs w:val="22"/>
        </w:rPr>
        <w:t>en</w:t>
      </w:r>
      <w:r w:rsidRPr="00AF1828">
        <w:rPr>
          <w:rFonts w:ascii="Arial" w:hAnsi="Arial" w:cs="Arial"/>
          <w:b/>
          <w:sz w:val="22"/>
          <w:szCs w:val="22"/>
        </w:rPr>
        <w:t xml:space="preserve"> 2013</w:t>
      </w:r>
      <w:r>
        <w:rPr>
          <w:rFonts w:ascii="Arial" w:hAnsi="Arial" w:cs="Arial"/>
          <w:b/>
          <w:sz w:val="22"/>
          <w:szCs w:val="22"/>
        </w:rPr>
        <w:t xml:space="preserve"> par corps et catégorie</w:t>
      </w:r>
    </w:p>
    <w:p w:rsidR="00AF1828" w:rsidRPr="00951981" w:rsidRDefault="00AF1828" w:rsidP="003A6B6B">
      <w:pPr>
        <w:jc w:val="both"/>
        <w:rPr>
          <w:rFonts w:ascii="Arial" w:hAnsi="Arial" w:cs="Arial"/>
          <w:sz w:val="16"/>
          <w:szCs w:val="16"/>
        </w:rPr>
      </w:pPr>
    </w:p>
    <w:p w:rsidR="003A6B6B" w:rsidRPr="003A6B6B" w:rsidRDefault="003A6B6B" w:rsidP="003A6B6B">
      <w:pPr>
        <w:rPr>
          <w:rFonts w:ascii="Arial" w:hAnsi="Arial" w:cs="Arial"/>
          <w:b/>
          <w:sz w:val="22"/>
          <w:szCs w:val="22"/>
          <w:u w:val="single"/>
        </w:rPr>
      </w:pPr>
      <w:r w:rsidRPr="003A6B6B">
        <w:rPr>
          <w:rFonts w:ascii="Arial" w:hAnsi="Arial" w:cs="Arial"/>
          <w:b/>
          <w:sz w:val="22"/>
          <w:szCs w:val="22"/>
          <w:u w:val="single"/>
        </w:rPr>
        <w:t>Coût de la garantie individuelle du pouvoir d'achat (GIPA)</w:t>
      </w:r>
    </w:p>
    <w:p w:rsidR="003A6B6B" w:rsidRPr="00951981" w:rsidRDefault="003A6B6B" w:rsidP="003A6B6B">
      <w:pPr>
        <w:jc w:val="both"/>
        <w:rPr>
          <w:rFonts w:ascii="Arial" w:hAnsi="Arial" w:cs="Arial"/>
          <w:sz w:val="16"/>
          <w:szCs w:val="16"/>
        </w:rPr>
      </w:pPr>
    </w:p>
    <w:p w:rsidR="007B1397" w:rsidRDefault="007B1397" w:rsidP="007B1397">
      <w:pPr>
        <w:autoSpaceDE w:val="0"/>
        <w:autoSpaceDN w:val="0"/>
        <w:adjustRightInd w:val="0"/>
        <w:rPr>
          <w:rFonts w:ascii="Arial" w:eastAsia="Microsoft YaHei" w:hAnsi="Arial" w:cs="Arial"/>
          <w:color w:val="000000"/>
          <w:sz w:val="22"/>
          <w:szCs w:val="22"/>
        </w:rPr>
      </w:pPr>
      <w:r>
        <w:rPr>
          <w:rFonts w:ascii="Arial" w:eastAsia="Microsoft YaHei" w:hAnsi="Arial" w:cs="Arial"/>
          <w:color w:val="000000"/>
          <w:sz w:val="22"/>
          <w:szCs w:val="22"/>
        </w:rPr>
        <w:t>La garantie individuelle du pouvoir d'achat (GIPA) a été instaurée par le décret 2008-539 du 6 juin 2008 (modifié par le décret 2011-474 du 28 avril 2011) pour les agents permanents des trois fonctions publiques ayant un indice majoré inférieur ou égal à 1058.</w:t>
      </w:r>
    </w:p>
    <w:p w:rsidR="00BB6567" w:rsidRDefault="00BB6567" w:rsidP="007B1397">
      <w:pPr>
        <w:autoSpaceDE w:val="0"/>
        <w:autoSpaceDN w:val="0"/>
        <w:adjustRightInd w:val="0"/>
        <w:rPr>
          <w:rFonts w:ascii="Arial" w:eastAsia="Microsoft YaHei" w:hAnsi="Arial" w:cs="Arial"/>
          <w:color w:val="000000"/>
          <w:sz w:val="22"/>
          <w:szCs w:val="22"/>
        </w:rPr>
      </w:pPr>
    </w:p>
    <w:p w:rsidR="007B1397" w:rsidRDefault="007B1397" w:rsidP="007B1397">
      <w:pPr>
        <w:autoSpaceDE w:val="0"/>
        <w:autoSpaceDN w:val="0"/>
        <w:adjustRightInd w:val="0"/>
        <w:rPr>
          <w:rFonts w:ascii="Arial" w:eastAsia="Microsoft YaHei" w:hAnsi="Arial" w:cs="Arial"/>
          <w:color w:val="000000"/>
          <w:sz w:val="22"/>
          <w:szCs w:val="22"/>
        </w:rPr>
      </w:pPr>
      <w:r>
        <w:rPr>
          <w:rFonts w:ascii="Arial" w:eastAsia="Microsoft YaHei" w:hAnsi="Arial" w:cs="Arial"/>
          <w:color w:val="000000"/>
          <w:sz w:val="22"/>
          <w:szCs w:val="22"/>
        </w:rPr>
        <w:t>La GIPA résulte de la comparaison établie entre l’évolution du traitement indiciaire brut (TIB) détenu par l’agent sur une période de référence de quatre ans et celle de l’indice des prix à la consommation sur la même période. Si le TIB effectivement perçu par l’agent évolue moins vite que l’inflation, un montant indemnitaire brut équivalent à la perte de pouvoir d’achat ainsi constatée est versé à chaque agent concerné.</w:t>
      </w:r>
    </w:p>
    <w:p w:rsidR="007B1397" w:rsidRDefault="007B1397" w:rsidP="007B1397">
      <w:pPr>
        <w:autoSpaceDE w:val="0"/>
        <w:autoSpaceDN w:val="0"/>
        <w:adjustRightInd w:val="0"/>
        <w:rPr>
          <w:rFonts w:ascii="Arial" w:eastAsia="Microsoft YaHei" w:hAnsi="Arial" w:cs="Arial"/>
          <w:color w:val="000000"/>
          <w:sz w:val="22"/>
          <w:szCs w:val="22"/>
        </w:rPr>
      </w:pPr>
    </w:p>
    <w:p w:rsidR="00951981" w:rsidRDefault="007B1397" w:rsidP="00C8652E">
      <w:pPr>
        <w:jc w:val="center"/>
        <w:rPr>
          <w:rFonts w:ascii="Arial" w:hAnsi="Arial" w:cs="Arial"/>
          <w:b/>
          <w:sz w:val="20"/>
          <w:szCs w:val="20"/>
        </w:rPr>
      </w:pPr>
      <w:r w:rsidRPr="00951981">
        <w:rPr>
          <w:rFonts w:ascii="Arial" w:hAnsi="Arial" w:cs="Arial"/>
          <w:b/>
          <w:sz w:val="20"/>
          <w:szCs w:val="20"/>
        </w:rPr>
        <w:t>Coût de la GIPA entre 2011 et 2013</w:t>
      </w:r>
    </w:p>
    <w:p w:rsidR="007B1397" w:rsidRDefault="007B1397" w:rsidP="00C8652E">
      <w:pPr>
        <w:jc w:val="center"/>
        <w:rPr>
          <w:rFonts w:ascii="Arial" w:hAnsi="Arial" w:cs="Arial"/>
          <w:b/>
          <w:sz w:val="20"/>
          <w:szCs w:val="20"/>
        </w:rPr>
      </w:pP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4820"/>
        <w:gridCol w:w="1701"/>
        <w:gridCol w:w="1559"/>
        <w:gridCol w:w="1418"/>
      </w:tblGrid>
      <w:tr w:rsidR="007B1397" w:rsidRPr="007B1397" w:rsidTr="00BB6567">
        <w:trPr>
          <w:trHeight w:val="285"/>
          <w:tblCellSpacing w:w="0" w:type="dxa"/>
        </w:trPr>
        <w:tc>
          <w:tcPr>
            <w:tcW w:w="4820" w:type="dxa"/>
            <w:vAlign w:val="bottom"/>
            <w:hideMark/>
          </w:tcPr>
          <w:p w:rsidR="007B1397" w:rsidRPr="007B1397" w:rsidRDefault="007B1397" w:rsidP="007B1397">
            <w:pPr>
              <w:rPr>
                <w:rFonts w:ascii="Calibri" w:eastAsia="Times New Roman" w:hAnsi="Calibri" w:cs="Calibri"/>
                <w:color w:val="000000"/>
                <w:sz w:val="20"/>
                <w:szCs w:val="20"/>
                <w:lang w:eastAsia="fr-FR"/>
              </w:rPr>
            </w:pPr>
          </w:p>
        </w:tc>
        <w:tc>
          <w:tcPr>
            <w:tcW w:w="1701" w:type="dxa"/>
            <w:shd w:val="clear" w:color="auto" w:fill="0000FF"/>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b/>
                <w:bCs/>
                <w:color w:val="FFFFFF"/>
                <w:sz w:val="20"/>
                <w:szCs w:val="20"/>
                <w:lang w:eastAsia="fr-FR"/>
              </w:rPr>
              <w:t>2011</w:t>
            </w:r>
          </w:p>
        </w:tc>
        <w:tc>
          <w:tcPr>
            <w:tcW w:w="1559" w:type="dxa"/>
            <w:shd w:val="clear" w:color="auto" w:fill="0000FF"/>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b/>
                <w:bCs/>
                <w:color w:val="FFFFFF"/>
                <w:sz w:val="20"/>
                <w:szCs w:val="20"/>
                <w:lang w:eastAsia="fr-FR"/>
              </w:rPr>
              <w:t>2012</w:t>
            </w:r>
          </w:p>
        </w:tc>
        <w:tc>
          <w:tcPr>
            <w:tcW w:w="1418" w:type="dxa"/>
            <w:shd w:val="clear" w:color="auto" w:fill="0000FF"/>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b/>
                <w:bCs/>
                <w:color w:val="FFFFFF"/>
                <w:sz w:val="20"/>
                <w:szCs w:val="20"/>
                <w:lang w:eastAsia="fr-FR"/>
              </w:rPr>
              <w:t>2013</w:t>
            </w:r>
          </w:p>
        </w:tc>
      </w:tr>
      <w:tr w:rsidR="007B1397" w:rsidRPr="007B1397" w:rsidTr="00BB6567">
        <w:trPr>
          <w:trHeight w:val="285"/>
          <w:tblCellSpacing w:w="0" w:type="dxa"/>
        </w:trPr>
        <w:tc>
          <w:tcPr>
            <w:tcW w:w="4820" w:type="dxa"/>
            <w:shd w:val="clear" w:color="auto" w:fill="BFBFBF"/>
            <w:vAlign w:val="bottom"/>
            <w:hideMark/>
          </w:tcPr>
          <w:p w:rsidR="007B1397" w:rsidRPr="00BB6567" w:rsidRDefault="007B1397" w:rsidP="007B1397">
            <w:pPr>
              <w:rPr>
                <w:rFonts w:ascii="Calibri" w:eastAsia="Times New Roman" w:hAnsi="Calibri" w:cs="Calibri"/>
                <w:b/>
                <w:color w:val="000000" w:themeColor="text1"/>
                <w:sz w:val="20"/>
                <w:szCs w:val="20"/>
                <w:lang w:eastAsia="fr-FR"/>
              </w:rPr>
            </w:pPr>
            <w:r w:rsidRPr="00BB6567">
              <w:rPr>
                <w:rFonts w:ascii="Arial" w:eastAsia="Times New Roman" w:hAnsi="Arial" w:cs="Arial"/>
                <w:b/>
                <w:color w:val="000000" w:themeColor="text1"/>
                <w:sz w:val="20"/>
                <w:szCs w:val="20"/>
                <w:lang w:eastAsia="fr-FR"/>
              </w:rPr>
              <w:t>Montant total</w:t>
            </w:r>
          </w:p>
        </w:tc>
        <w:tc>
          <w:tcPr>
            <w:tcW w:w="1701"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788 312</w:t>
            </w:r>
          </w:p>
        </w:tc>
        <w:tc>
          <w:tcPr>
            <w:tcW w:w="1559"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1 346 754</w:t>
            </w:r>
          </w:p>
        </w:tc>
        <w:tc>
          <w:tcPr>
            <w:tcW w:w="1418"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1 096 193</w:t>
            </w:r>
          </w:p>
        </w:tc>
      </w:tr>
      <w:tr w:rsidR="007B1397" w:rsidRPr="007B1397" w:rsidTr="00BB6567">
        <w:trPr>
          <w:trHeight w:val="285"/>
          <w:tblCellSpacing w:w="0" w:type="dxa"/>
        </w:trPr>
        <w:tc>
          <w:tcPr>
            <w:tcW w:w="4820" w:type="dxa"/>
            <w:shd w:val="clear" w:color="auto" w:fill="BFBFBF"/>
            <w:vAlign w:val="bottom"/>
            <w:hideMark/>
          </w:tcPr>
          <w:p w:rsidR="007B1397" w:rsidRPr="00BB6567" w:rsidRDefault="007B1397" w:rsidP="007B1397">
            <w:pPr>
              <w:rPr>
                <w:rFonts w:ascii="Calibri" w:eastAsia="Times New Roman" w:hAnsi="Calibri" w:cs="Calibri"/>
                <w:b/>
                <w:color w:val="000000" w:themeColor="text1"/>
                <w:sz w:val="20"/>
                <w:szCs w:val="20"/>
                <w:lang w:eastAsia="fr-FR"/>
              </w:rPr>
            </w:pPr>
            <w:r w:rsidRPr="00BB6567">
              <w:rPr>
                <w:rFonts w:ascii="Arial" w:eastAsia="Times New Roman" w:hAnsi="Arial" w:cs="Arial"/>
                <w:b/>
                <w:color w:val="000000" w:themeColor="text1"/>
                <w:sz w:val="20"/>
                <w:szCs w:val="20"/>
                <w:lang w:eastAsia="fr-FR"/>
              </w:rPr>
              <w:t>Nombre d'agents concernés</w:t>
            </w:r>
          </w:p>
        </w:tc>
        <w:tc>
          <w:tcPr>
            <w:tcW w:w="1701"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910</w:t>
            </w:r>
          </w:p>
        </w:tc>
        <w:tc>
          <w:tcPr>
            <w:tcW w:w="1559"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2 221</w:t>
            </w:r>
          </w:p>
        </w:tc>
        <w:tc>
          <w:tcPr>
            <w:tcW w:w="1418"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1 752</w:t>
            </w:r>
          </w:p>
        </w:tc>
      </w:tr>
      <w:tr w:rsidR="007B1397" w:rsidRPr="007B1397" w:rsidTr="00BB6567">
        <w:trPr>
          <w:trHeight w:val="285"/>
          <w:tblCellSpacing w:w="0" w:type="dxa"/>
        </w:trPr>
        <w:tc>
          <w:tcPr>
            <w:tcW w:w="4820" w:type="dxa"/>
            <w:shd w:val="clear" w:color="auto" w:fill="BFBFBF"/>
            <w:vAlign w:val="bottom"/>
            <w:hideMark/>
          </w:tcPr>
          <w:p w:rsidR="007B1397" w:rsidRPr="00BB6567" w:rsidRDefault="007B1397" w:rsidP="007B1397">
            <w:pPr>
              <w:jc w:val="right"/>
              <w:rPr>
                <w:rFonts w:ascii="Calibri" w:eastAsia="Times New Roman" w:hAnsi="Calibri" w:cs="Calibri"/>
                <w:color w:val="000000" w:themeColor="text1"/>
                <w:sz w:val="20"/>
                <w:szCs w:val="20"/>
                <w:lang w:eastAsia="fr-FR"/>
              </w:rPr>
            </w:pPr>
            <w:r w:rsidRPr="00BB6567">
              <w:rPr>
                <w:rFonts w:ascii="Arial" w:eastAsia="Times New Roman" w:hAnsi="Arial" w:cs="Arial"/>
                <w:i/>
                <w:iCs/>
                <w:color w:val="000000" w:themeColor="text1"/>
                <w:sz w:val="20"/>
                <w:szCs w:val="20"/>
                <w:lang w:eastAsia="fr-FR"/>
              </w:rPr>
              <w:t>en % de l'effectif ministériel total (titre 2)</w:t>
            </w:r>
          </w:p>
        </w:tc>
        <w:tc>
          <w:tcPr>
            <w:tcW w:w="1701" w:type="dxa"/>
            <w:tcBorders>
              <w:top w:val="single" w:sz="6" w:space="0" w:color="808080"/>
              <w:left w:val="single" w:sz="6" w:space="0" w:color="808080"/>
              <w:bottom w:val="single" w:sz="6" w:space="0" w:color="808080"/>
              <w:right w:val="single" w:sz="6" w:space="0" w:color="808080"/>
            </w:tcBorders>
            <w:shd w:val="clear" w:color="auto" w:fill="FFFFFF"/>
            <w:vAlign w:val="center"/>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i/>
                <w:iCs/>
                <w:color w:val="000000"/>
                <w:sz w:val="20"/>
                <w:szCs w:val="20"/>
                <w:lang w:eastAsia="fr-FR"/>
              </w:rPr>
              <w:t>8%</w:t>
            </w:r>
          </w:p>
        </w:tc>
        <w:tc>
          <w:tcPr>
            <w:tcW w:w="1559" w:type="dxa"/>
            <w:tcBorders>
              <w:top w:val="single" w:sz="6" w:space="0" w:color="808080"/>
              <w:left w:val="single" w:sz="6" w:space="0" w:color="808080"/>
              <w:bottom w:val="single" w:sz="6" w:space="0" w:color="808080"/>
              <w:right w:val="single" w:sz="6" w:space="0" w:color="808080"/>
            </w:tcBorders>
            <w:shd w:val="clear" w:color="auto" w:fill="FFFFFF"/>
            <w:vAlign w:val="center"/>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i/>
                <w:iCs/>
                <w:color w:val="000000"/>
                <w:sz w:val="20"/>
                <w:szCs w:val="20"/>
                <w:lang w:eastAsia="fr-FR"/>
              </w:rPr>
              <w:t>21%</w:t>
            </w:r>
          </w:p>
        </w:tc>
        <w:tc>
          <w:tcPr>
            <w:tcW w:w="1418" w:type="dxa"/>
            <w:tcBorders>
              <w:top w:val="single" w:sz="6" w:space="0" w:color="808080"/>
              <w:left w:val="single" w:sz="6" w:space="0" w:color="808080"/>
              <w:bottom w:val="single" w:sz="6" w:space="0" w:color="808080"/>
              <w:right w:val="single" w:sz="6" w:space="0" w:color="808080"/>
            </w:tcBorders>
            <w:shd w:val="clear" w:color="auto" w:fill="FFFFFF"/>
            <w:vAlign w:val="center"/>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i/>
                <w:iCs/>
                <w:color w:val="000000"/>
                <w:sz w:val="20"/>
                <w:szCs w:val="20"/>
                <w:lang w:eastAsia="fr-FR"/>
              </w:rPr>
              <w:t>16%</w:t>
            </w:r>
          </w:p>
        </w:tc>
      </w:tr>
      <w:tr w:rsidR="007B1397" w:rsidRPr="007B1397" w:rsidTr="00BB6567">
        <w:trPr>
          <w:trHeight w:val="285"/>
          <w:tblCellSpacing w:w="0" w:type="dxa"/>
        </w:trPr>
        <w:tc>
          <w:tcPr>
            <w:tcW w:w="4820" w:type="dxa"/>
            <w:shd w:val="clear" w:color="auto" w:fill="BFBFBF"/>
            <w:vAlign w:val="bottom"/>
            <w:hideMark/>
          </w:tcPr>
          <w:p w:rsidR="007B1397" w:rsidRPr="00BB6567" w:rsidRDefault="007B1397" w:rsidP="007B1397">
            <w:pPr>
              <w:rPr>
                <w:rFonts w:ascii="Calibri" w:eastAsia="Times New Roman" w:hAnsi="Calibri" w:cs="Calibri"/>
                <w:b/>
                <w:color w:val="000000" w:themeColor="text1"/>
                <w:sz w:val="20"/>
                <w:szCs w:val="20"/>
                <w:lang w:eastAsia="fr-FR"/>
              </w:rPr>
            </w:pPr>
            <w:r w:rsidRPr="00BB6567">
              <w:rPr>
                <w:rFonts w:ascii="Arial" w:eastAsia="Times New Roman" w:hAnsi="Arial" w:cs="Arial"/>
                <w:b/>
                <w:color w:val="000000" w:themeColor="text1"/>
                <w:sz w:val="20"/>
                <w:szCs w:val="20"/>
                <w:lang w:eastAsia="fr-FR"/>
              </w:rPr>
              <w:t>Montant moyen par agent</w:t>
            </w:r>
          </w:p>
        </w:tc>
        <w:tc>
          <w:tcPr>
            <w:tcW w:w="1701"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866</w:t>
            </w:r>
          </w:p>
        </w:tc>
        <w:tc>
          <w:tcPr>
            <w:tcW w:w="1559"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606</w:t>
            </w:r>
          </w:p>
        </w:tc>
        <w:tc>
          <w:tcPr>
            <w:tcW w:w="1418" w:type="dxa"/>
            <w:tcBorders>
              <w:top w:val="single" w:sz="6" w:space="0" w:color="808080"/>
              <w:left w:val="single" w:sz="6" w:space="0" w:color="808080"/>
              <w:bottom w:val="single" w:sz="6" w:space="0" w:color="808080"/>
              <w:right w:val="single" w:sz="6" w:space="0" w:color="808080"/>
            </w:tcBorders>
            <w:vAlign w:val="bottom"/>
            <w:hideMark/>
          </w:tcPr>
          <w:p w:rsidR="007B1397" w:rsidRPr="007B1397" w:rsidRDefault="007B1397" w:rsidP="007B1397">
            <w:pPr>
              <w:jc w:val="center"/>
              <w:rPr>
                <w:rFonts w:ascii="Calibri" w:eastAsia="Times New Roman" w:hAnsi="Calibri" w:cs="Calibri"/>
                <w:color w:val="000000"/>
                <w:sz w:val="20"/>
                <w:szCs w:val="20"/>
                <w:lang w:eastAsia="fr-FR"/>
              </w:rPr>
            </w:pPr>
            <w:r w:rsidRPr="007B1397">
              <w:rPr>
                <w:rFonts w:ascii="Arial" w:eastAsia="Times New Roman" w:hAnsi="Arial" w:cs="Arial"/>
                <w:color w:val="000000"/>
                <w:sz w:val="20"/>
                <w:szCs w:val="20"/>
                <w:lang w:eastAsia="fr-FR"/>
              </w:rPr>
              <w:t>626</w:t>
            </w:r>
          </w:p>
        </w:tc>
      </w:tr>
    </w:tbl>
    <w:p w:rsidR="007B1397" w:rsidRDefault="007B1397" w:rsidP="00C8652E">
      <w:pPr>
        <w:jc w:val="center"/>
        <w:rPr>
          <w:rFonts w:ascii="Arial" w:hAnsi="Arial" w:cs="Arial"/>
          <w:b/>
          <w:sz w:val="20"/>
          <w:szCs w:val="20"/>
        </w:rPr>
      </w:pPr>
    </w:p>
    <w:p w:rsidR="007B1397" w:rsidRPr="00951981" w:rsidRDefault="007B1397" w:rsidP="00C8652E">
      <w:pPr>
        <w:jc w:val="center"/>
        <w:rPr>
          <w:rFonts w:ascii="Arial" w:hAnsi="Arial" w:cs="Arial"/>
          <w:b/>
          <w:sz w:val="16"/>
          <w:szCs w:val="16"/>
        </w:rPr>
      </w:pPr>
    </w:p>
    <w:p w:rsidR="003A6B6B" w:rsidRPr="00951981" w:rsidRDefault="00951981" w:rsidP="00C8652E">
      <w:pPr>
        <w:jc w:val="center"/>
        <w:rPr>
          <w:rFonts w:ascii="Arial" w:hAnsi="Arial" w:cs="Arial"/>
          <w:b/>
          <w:sz w:val="20"/>
          <w:szCs w:val="20"/>
        </w:rPr>
      </w:pPr>
      <w:r w:rsidRPr="00951981">
        <w:rPr>
          <w:noProof/>
          <w:sz w:val="20"/>
          <w:szCs w:val="20"/>
          <w:lang w:eastAsia="fr-FR"/>
        </w:rPr>
        <w:drawing>
          <wp:anchor distT="0" distB="0" distL="114300" distR="114300" simplePos="0" relativeHeight="251886592" behindDoc="1" locked="0" layoutInCell="1" allowOverlap="1" wp14:anchorId="535C745A" wp14:editId="1CE87AFD">
            <wp:simplePos x="0" y="0"/>
            <wp:positionH relativeFrom="margin">
              <wp:posOffset>12700</wp:posOffset>
            </wp:positionH>
            <wp:positionV relativeFrom="paragraph">
              <wp:posOffset>255905</wp:posOffset>
            </wp:positionV>
            <wp:extent cx="6029325" cy="1454150"/>
            <wp:effectExtent l="0" t="0" r="9525" b="0"/>
            <wp:wrapTight wrapText="bothSides">
              <wp:wrapPolygon edited="0">
                <wp:start x="0" y="0"/>
                <wp:lineTo x="0" y="21223"/>
                <wp:lineTo x="21566" y="21223"/>
                <wp:lineTo x="21566" y="0"/>
                <wp:lineTo x="0" y="0"/>
              </wp:wrapPolygon>
            </wp:wrapTight>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29325" cy="1454150"/>
                    </a:xfrm>
                    <a:prstGeom prst="rect">
                      <a:avLst/>
                    </a:prstGeom>
                    <a:noFill/>
                    <a:ln>
                      <a:noFill/>
                    </a:ln>
                  </pic:spPr>
                </pic:pic>
              </a:graphicData>
            </a:graphic>
            <wp14:sizeRelH relativeFrom="margin">
              <wp14:pctWidth>0</wp14:pctWidth>
            </wp14:sizeRelH>
          </wp:anchor>
        </w:drawing>
      </w:r>
      <w:r w:rsidR="00C8652E" w:rsidRPr="00951981">
        <w:rPr>
          <w:rFonts w:ascii="Arial" w:hAnsi="Arial" w:cs="Arial"/>
          <w:b/>
          <w:sz w:val="20"/>
          <w:szCs w:val="20"/>
        </w:rPr>
        <w:t>Coût de la GIPA en 2013 par catégorie</w:t>
      </w:r>
    </w:p>
    <w:p w:rsidR="00951981" w:rsidRDefault="00951981" w:rsidP="00C8652E">
      <w:pPr>
        <w:jc w:val="center"/>
        <w:rPr>
          <w:rFonts w:ascii="Arial" w:hAnsi="Arial" w:cs="Arial"/>
          <w:b/>
          <w:sz w:val="20"/>
          <w:szCs w:val="20"/>
        </w:rPr>
      </w:pPr>
    </w:p>
    <w:p w:rsidR="007308D2" w:rsidRDefault="007308D2" w:rsidP="00C8652E">
      <w:pPr>
        <w:jc w:val="center"/>
        <w:rPr>
          <w:rFonts w:ascii="Arial" w:hAnsi="Arial" w:cs="Arial"/>
          <w:b/>
          <w:sz w:val="20"/>
          <w:szCs w:val="20"/>
        </w:rPr>
      </w:pP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639"/>
        <w:gridCol w:w="3889"/>
        <w:gridCol w:w="2268"/>
        <w:gridCol w:w="2127"/>
        <w:gridCol w:w="693"/>
      </w:tblGrid>
      <w:tr w:rsidR="00BB6567" w:rsidRPr="00BB6567" w:rsidTr="00BB6567">
        <w:trPr>
          <w:trHeight w:val="1395"/>
          <w:tblCellSpacing w:w="0" w:type="dxa"/>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Année</w:t>
            </w:r>
          </w:p>
        </w:tc>
        <w:tc>
          <w:tcPr>
            <w:tcW w:w="388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b/>
                <w:bCs/>
                <w:color w:val="000000"/>
                <w:sz w:val="20"/>
                <w:szCs w:val="20"/>
                <w:lang w:eastAsia="fr-FR"/>
              </w:rPr>
              <w:t>Formule de calcul :</w:t>
            </w:r>
            <w:r w:rsidRPr="00BB6567">
              <w:rPr>
                <w:rFonts w:ascii="Arial" w:eastAsia="Times New Roman" w:hAnsi="Arial" w:cs="Arial"/>
                <w:b/>
                <w:bCs/>
                <w:color w:val="000000"/>
                <w:sz w:val="20"/>
                <w:szCs w:val="20"/>
                <w:lang w:eastAsia="fr-FR"/>
              </w:rPr>
              <w:br/>
              <w:t>GIPA = TIB de l’année de début de la période de référence X (1 + inflation sur la période de référence) - TIB de l’année de fin de la période de référence</w:t>
            </w:r>
          </w:p>
        </w:tc>
        <w:tc>
          <w:tcPr>
            <w:tcW w:w="226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 xml:space="preserve">GIPA pour un IM=100 constant </w:t>
            </w:r>
            <w:r w:rsidRPr="00BB6567">
              <w:rPr>
                <w:rFonts w:ascii="Arial" w:eastAsia="Times New Roman" w:hAnsi="Arial" w:cs="Arial"/>
                <w:color w:val="000000"/>
                <w:sz w:val="20"/>
                <w:szCs w:val="20"/>
                <w:lang w:eastAsia="fr-FR"/>
              </w:rPr>
              <w:br/>
              <w:t xml:space="preserve">du 31/12/2006 </w:t>
            </w:r>
            <w:r w:rsidRPr="00BB6567">
              <w:rPr>
                <w:rFonts w:ascii="Arial" w:eastAsia="Times New Roman" w:hAnsi="Arial" w:cs="Arial"/>
                <w:color w:val="000000"/>
                <w:sz w:val="20"/>
                <w:szCs w:val="20"/>
                <w:lang w:eastAsia="fr-FR"/>
              </w:rPr>
              <w:br/>
              <w:t>au 31/12/2012</w:t>
            </w:r>
          </w:p>
        </w:tc>
        <w:tc>
          <w:tcPr>
            <w:tcW w:w="2127"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Evolution indiciaire nécessaire pour que la GIPA soit égale à zéro</w:t>
            </w:r>
          </w:p>
        </w:tc>
        <w:tc>
          <w:tcPr>
            <w:tcW w:w="69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i/>
                <w:iCs/>
                <w:color w:val="000000"/>
                <w:sz w:val="20"/>
                <w:szCs w:val="20"/>
                <w:lang w:eastAsia="fr-FR"/>
              </w:rPr>
              <w:t xml:space="preserve">Evol. </w:t>
            </w:r>
            <w:r w:rsidRPr="00BB6567">
              <w:rPr>
                <w:rFonts w:ascii="Arial" w:eastAsia="Times New Roman" w:hAnsi="Arial" w:cs="Arial"/>
                <w:i/>
                <w:iCs/>
                <w:color w:val="000000"/>
                <w:sz w:val="20"/>
                <w:szCs w:val="20"/>
                <w:lang w:eastAsia="fr-FR"/>
              </w:rPr>
              <w:br/>
              <w:t>en %</w:t>
            </w:r>
          </w:p>
        </w:tc>
      </w:tr>
      <w:tr w:rsidR="00BB6567" w:rsidRPr="00BB6567" w:rsidTr="00BB6567">
        <w:trPr>
          <w:trHeight w:val="495"/>
          <w:tblCellSpacing w:w="0" w:type="dxa"/>
        </w:trPr>
        <w:tc>
          <w:tcPr>
            <w:tcW w:w="0" w:type="auto"/>
            <w:tcBorders>
              <w:left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2011</w:t>
            </w:r>
          </w:p>
        </w:tc>
        <w:tc>
          <w:tcPr>
            <w:tcW w:w="3889" w:type="dxa"/>
            <w:tcBorders>
              <w:left w:val="single" w:sz="6" w:space="0" w:color="000000"/>
              <w:right w:val="single" w:sz="6" w:space="0" w:color="000000"/>
            </w:tcBorders>
            <w:shd w:val="clear" w:color="auto" w:fill="FFFFFF"/>
            <w:vAlign w:val="center"/>
            <w:hideMark/>
          </w:tcPr>
          <w:p w:rsidR="00BB6567" w:rsidRPr="00BB6567" w:rsidRDefault="00BB6567" w:rsidP="00BB6567">
            <w:pP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IM 31/12/2006 x 53,8453 x (1 + 5,9%) - IM 31/12/2010 x 55,4253</w:t>
            </w:r>
          </w:p>
        </w:tc>
        <w:tc>
          <w:tcPr>
            <w:tcW w:w="2268" w:type="dxa"/>
            <w:tcBorders>
              <w:left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0€</w:t>
            </w:r>
          </w:p>
        </w:tc>
        <w:tc>
          <w:tcPr>
            <w:tcW w:w="2127" w:type="dxa"/>
            <w:tcBorders>
              <w:left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2,9</w:t>
            </w:r>
          </w:p>
        </w:tc>
        <w:tc>
          <w:tcPr>
            <w:tcW w:w="693" w:type="dxa"/>
            <w:tcBorders>
              <w:left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p>
        </w:tc>
      </w:tr>
      <w:tr w:rsidR="00BB6567" w:rsidRPr="00BB6567" w:rsidTr="00BB6567">
        <w:trPr>
          <w:trHeight w:val="495"/>
          <w:tblCellSpacing w:w="0" w:type="dxa"/>
        </w:trPr>
        <w:tc>
          <w:tcPr>
            <w:tcW w:w="0" w:type="auto"/>
            <w:tcBorders>
              <w:left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2012</w:t>
            </w:r>
          </w:p>
        </w:tc>
        <w:tc>
          <w:tcPr>
            <w:tcW w:w="3889" w:type="dxa"/>
            <w:tcBorders>
              <w:left w:val="single" w:sz="6" w:space="0" w:color="000000"/>
              <w:right w:val="single" w:sz="6" w:space="0" w:color="000000"/>
            </w:tcBorders>
            <w:shd w:val="clear" w:color="auto" w:fill="FFFFFF"/>
            <w:vAlign w:val="center"/>
            <w:hideMark/>
          </w:tcPr>
          <w:p w:rsidR="00BB6567" w:rsidRPr="00BB6567" w:rsidRDefault="00BB6567" w:rsidP="00BB6567">
            <w:pP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IM 31/12/2007 x 54,3753 x (1 + 6,5%) - IM 31/12/2011 x 55,5635</w:t>
            </w:r>
          </w:p>
        </w:tc>
        <w:tc>
          <w:tcPr>
            <w:tcW w:w="2268" w:type="dxa"/>
            <w:tcBorders>
              <w:left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0€</w:t>
            </w:r>
          </w:p>
        </w:tc>
        <w:tc>
          <w:tcPr>
            <w:tcW w:w="2127" w:type="dxa"/>
            <w:tcBorders>
              <w:left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4,2</w:t>
            </w:r>
          </w:p>
        </w:tc>
        <w:tc>
          <w:tcPr>
            <w:tcW w:w="693" w:type="dxa"/>
            <w:tcBorders>
              <w:left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i/>
                <w:iCs/>
                <w:color w:val="000000"/>
                <w:sz w:val="20"/>
                <w:szCs w:val="20"/>
                <w:lang w:eastAsia="fr-FR"/>
              </w:rPr>
              <w:t>47%</w:t>
            </w:r>
          </w:p>
        </w:tc>
      </w:tr>
      <w:tr w:rsidR="00BB6567" w:rsidRPr="00BB6567" w:rsidTr="00BB6567">
        <w:trPr>
          <w:trHeight w:val="495"/>
          <w:tblCellSpacing w:w="0" w:type="dxa"/>
        </w:trPr>
        <w:tc>
          <w:tcPr>
            <w:tcW w:w="0" w:type="auto"/>
            <w:tcBorders>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2013</w:t>
            </w:r>
          </w:p>
        </w:tc>
        <w:tc>
          <w:tcPr>
            <w:tcW w:w="3889" w:type="dxa"/>
            <w:tcBorders>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IM 31/12/2008 x 54,6791 x (1 + 5,5%) - IM 31/12/2012 x 55,5635</w:t>
            </w:r>
          </w:p>
        </w:tc>
        <w:tc>
          <w:tcPr>
            <w:tcW w:w="2268" w:type="dxa"/>
            <w:tcBorders>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0€</w:t>
            </w:r>
          </w:p>
        </w:tc>
        <w:tc>
          <w:tcPr>
            <w:tcW w:w="2127" w:type="dxa"/>
            <w:tcBorders>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color w:val="000000"/>
                <w:sz w:val="20"/>
                <w:szCs w:val="20"/>
                <w:lang w:eastAsia="fr-FR"/>
              </w:rPr>
              <w:t>3,8</w:t>
            </w:r>
          </w:p>
        </w:tc>
        <w:tc>
          <w:tcPr>
            <w:tcW w:w="693" w:type="dxa"/>
            <w:tcBorders>
              <w:left w:val="single" w:sz="6" w:space="0" w:color="000000"/>
              <w:bottom w:val="single" w:sz="6" w:space="0" w:color="000000"/>
              <w:right w:val="single" w:sz="6" w:space="0" w:color="000000"/>
            </w:tcBorders>
            <w:shd w:val="clear" w:color="auto" w:fill="FFFFFF"/>
            <w:vAlign w:val="center"/>
            <w:hideMark/>
          </w:tcPr>
          <w:p w:rsidR="00BB6567" w:rsidRPr="00BB6567" w:rsidRDefault="00BB6567" w:rsidP="00BB6567">
            <w:pPr>
              <w:jc w:val="center"/>
              <w:rPr>
                <w:rFonts w:ascii="Calibri" w:eastAsia="Times New Roman" w:hAnsi="Calibri" w:cs="Calibri"/>
                <w:color w:val="000000"/>
                <w:sz w:val="20"/>
                <w:szCs w:val="20"/>
                <w:lang w:eastAsia="fr-FR"/>
              </w:rPr>
            </w:pPr>
            <w:r w:rsidRPr="00BB6567">
              <w:rPr>
                <w:rFonts w:ascii="Arial" w:eastAsia="Times New Roman" w:hAnsi="Arial" w:cs="Arial"/>
                <w:i/>
                <w:iCs/>
                <w:color w:val="000000"/>
                <w:sz w:val="20"/>
                <w:szCs w:val="20"/>
                <w:lang w:eastAsia="fr-FR"/>
              </w:rPr>
              <w:t>-10%</w:t>
            </w:r>
          </w:p>
        </w:tc>
      </w:tr>
    </w:tbl>
    <w:p w:rsidR="007308D2" w:rsidRDefault="007308D2" w:rsidP="00C8652E">
      <w:pPr>
        <w:jc w:val="center"/>
        <w:rPr>
          <w:rFonts w:ascii="Arial" w:hAnsi="Arial" w:cs="Arial"/>
          <w:b/>
          <w:sz w:val="20"/>
          <w:szCs w:val="20"/>
        </w:rPr>
      </w:pPr>
    </w:p>
    <w:p w:rsidR="007308D2" w:rsidRDefault="007308D2" w:rsidP="00C8652E">
      <w:pPr>
        <w:jc w:val="center"/>
        <w:rPr>
          <w:rFonts w:ascii="Arial" w:hAnsi="Arial" w:cs="Arial"/>
          <w:b/>
          <w:sz w:val="20"/>
          <w:szCs w:val="20"/>
        </w:rPr>
      </w:pPr>
    </w:p>
    <w:p w:rsidR="00BB6567" w:rsidRDefault="00BB6567" w:rsidP="00BB6567">
      <w:pPr>
        <w:autoSpaceDE w:val="0"/>
        <w:autoSpaceDN w:val="0"/>
        <w:adjustRightInd w:val="0"/>
        <w:rPr>
          <w:rFonts w:ascii="Arial" w:eastAsia="Microsoft YaHei" w:hAnsi="Arial" w:cs="Arial"/>
          <w:color w:val="000000"/>
          <w:sz w:val="22"/>
          <w:szCs w:val="22"/>
        </w:rPr>
      </w:pPr>
      <w:r>
        <w:rPr>
          <w:rFonts w:ascii="Arial" w:eastAsia="Microsoft YaHei" w:hAnsi="Arial" w:cs="Arial"/>
          <w:color w:val="000000"/>
          <w:sz w:val="22"/>
          <w:szCs w:val="22"/>
        </w:rPr>
        <w:t xml:space="preserve">Comme indiqué dans le tableau ci-dessus, le montant à verser au titre de la GIPA varie d'une année sur l'autre en fonction des éléments à prendre en compte pour son calcul (taux </w:t>
      </w:r>
      <w:r>
        <w:rPr>
          <w:rFonts w:ascii="Arial" w:eastAsia="Microsoft YaHei" w:hAnsi="Arial" w:cs="Arial"/>
          <w:color w:val="000000"/>
          <w:sz w:val="22"/>
          <w:szCs w:val="22"/>
        </w:rPr>
        <w:t>d'inflation et valeurs du point</w:t>
      </w:r>
      <w:r>
        <w:rPr>
          <w:rFonts w:ascii="Arial" w:eastAsia="Microsoft YaHei" w:hAnsi="Arial" w:cs="Arial"/>
          <w:color w:val="000000"/>
          <w:sz w:val="22"/>
          <w:szCs w:val="22"/>
        </w:rPr>
        <w:t xml:space="preserve"> Fonction publique aux deux bornes de la période de référence). Ainsi, dans le cas théorique d'un agent dont l'indice majoré serait égal à 100 et constant entre le 31/12/2006 et le 31/12/2012, l'agent aurait perçu une GIPA d'un montant de 160 euros en 2011, de 235 euros en 2012 et de 212 euros en 2013. En 2011, entraient dans le champ des bénéficiaires de la GIPA les agents dont la progression indiciaire entre les deux bornes de la période de référence était </w:t>
      </w:r>
      <w:r>
        <w:rPr>
          <w:rFonts w:ascii="Arial" w:eastAsia="Microsoft YaHei" w:hAnsi="Arial" w:cs="Arial"/>
          <w:color w:val="000000"/>
          <w:sz w:val="22"/>
          <w:szCs w:val="22"/>
        </w:rPr>
        <w:lastRenderedPageBreak/>
        <w:t xml:space="preserve">inférieure à 2,9 points. Cette progression devait être inférieure à 4,2 points en 2012 et à 3,8 points en 2013. </w:t>
      </w:r>
    </w:p>
    <w:p w:rsidR="00BB6567" w:rsidRDefault="00BB6567" w:rsidP="00BB6567">
      <w:pPr>
        <w:autoSpaceDE w:val="0"/>
        <w:autoSpaceDN w:val="0"/>
        <w:adjustRightInd w:val="0"/>
        <w:rPr>
          <w:rFonts w:ascii="Arial" w:eastAsia="Microsoft YaHei" w:hAnsi="Arial" w:cs="Arial"/>
          <w:color w:val="000000"/>
          <w:sz w:val="22"/>
          <w:szCs w:val="22"/>
        </w:rPr>
      </w:pPr>
    </w:p>
    <w:p w:rsidR="00BB6567" w:rsidRDefault="00BB6567" w:rsidP="00BB6567">
      <w:pPr>
        <w:autoSpaceDE w:val="0"/>
        <w:autoSpaceDN w:val="0"/>
        <w:adjustRightInd w:val="0"/>
        <w:rPr>
          <w:rFonts w:ascii="Arial" w:eastAsia="Microsoft YaHei" w:hAnsi="Arial" w:cs="Arial"/>
          <w:color w:val="000000"/>
          <w:sz w:val="22"/>
          <w:szCs w:val="22"/>
        </w:rPr>
      </w:pPr>
      <w:r>
        <w:rPr>
          <w:rFonts w:ascii="Arial" w:eastAsia="Microsoft YaHei" w:hAnsi="Arial" w:cs="Arial"/>
          <w:color w:val="000000"/>
          <w:sz w:val="22"/>
          <w:szCs w:val="22"/>
        </w:rPr>
        <w:t xml:space="preserve">Un élément d'explication à la forte augmentation observée entre 2011 et 2012 ainsi qu'à la diminution constatée entre 2012 et 2013 se trouve donc dans le mode de calcul de la GIPA. </w:t>
      </w:r>
    </w:p>
    <w:p w:rsidR="00BB6567" w:rsidRDefault="00BB6567" w:rsidP="00BB6567">
      <w:pPr>
        <w:autoSpaceDE w:val="0"/>
        <w:autoSpaceDN w:val="0"/>
        <w:adjustRightInd w:val="0"/>
        <w:rPr>
          <w:rFonts w:ascii="Arial" w:eastAsia="Microsoft YaHei" w:hAnsi="Arial" w:cs="Arial"/>
          <w:color w:val="000000"/>
          <w:sz w:val="22"/>
          <w:szCs w:val="22"/>
        </w:rPr>
      </w:pPr>
    </w:p>
    <w:p w:rsidR="00BB6567" w:rsidRDefault="00BB6567" w:rsidP="00BB6567">
      <w:pPr>
        <w:autoSpaceDE w:val="0"/>
        <w:autoSpaceDN w:val="0"/>
        <w:adjustRightInd w:val="0"/>
        <w:rPr>
          <w:rFonts w:ascii="Arial" w:eastAsia="Microsoft YaHei" w:hAnsi="Arial" w:cs="Arial"/>
          <w:color w:val="000000"/>
          <w:sz w:val="22"/>
          <w:szCs w:val="22"/>
        </w:rPr>
      </w:pPr>
      <w:r>
        <w:rPr>
          <w:rFonts w:ascii="Arial" w:eastAsia="Microsoft YaHei" w:hAnsi="Arial" w:cs="Arial"/>
          <w:color w:val="000000"/>
          <w:sz w:val="22"/>
          <w:szCs w:val="22"/>
        </w:rPr>
        <w:t>L'autre élément d'explication réside bien sûr dans les facteurs de progression de la carrière : promotions d'échelon, promotions de grade, promotions de corps. En 2011, peu d'agents étaient concernés par la GIPA mais la perte de pouvoir d'achat des bénéficiaires était équivalente à 5,4 points d'indice majoré en moyenne sur la période de référence. En 2012 et en 2013, les bénéficiaires étaient plus nombreux mais la perte de pouvoir d'achat équivalait respectivement à 2,6 et 2,9 points d'indice majoré.</w:t>
      </w:r>
    </w:p>
    <w:p w:rsidR="007308D2" w:rsidRDefault="007308D2" w:rsidP="00C8652E">
      <w:pPr>
        <w:jc w:val="center"/>
        <w:rPr>
          <w:rFonts w:ascii="Arial" w:hAnsi="Arial" w:cs="Arial"/>
          <w:b/>
          <w:sz w:val="20"/>
          <w:szCs w:val="20"/>
        </w:rPr>
      </w:pPr>
    </w:p>
    <w:p w:rsidR="009D2F10" w:rsidRPr="00BB6567" w:rsidRDefault="00951981" w:rsidP="00BB6567">
      <w:pPr>
        <w:jc w:val="center"/>
        <w:rPr>
          <w:rFonts w:ascii="Arial" w:hAnsi="Arial" w:cs="Arial"/>
          <w:b/>
          <w:sz w:val="20"/>
          <w:szCs w:val="20"/>
        </w:rPr>
      </w:pPr>
      <w:r w:rsidRPr="00951981">
        <w:rPr>
          <w:rFonts w:ascii="Arial" w:hAnsi="Arial" w:cs="Arial"/>
          <w:b/>
          <w:sz w:val="20"/>
          <w:szCs w:val="20"/>
        </w:rPr>
        <w:t xml:space="preserve">Coût de la GIPA en 2013 </w:t>
      </w:r>
      <w:r w:rsidR="00BB6567">
        <w:rPr>
          <w:rFonts w:ascii="Arial" w:hAnsi="Arial" w:cs="Arial"/>
          <w:b/>
          <w:sz w:val="20"/>
          <w:szCs w:val="20"/>
        </w:rPr>
        <w:t>par filière, corps et catégorie</w:t>
      </w:r>
      <w:r w:rsidR="007308D2" w:rsidRPr="00951981">
        <w:rPr>
          <w:noProof/>
          <w:sz w:val="20"/>
          <w:szCs w:val="20"/>
          <w:lang w:eastAsia="fr-FR"/>
        </w:rPr>
        <w:drawing>
          <wp:anchor distT="0" distB="0" distL="114300" distR="114300" simplePos="0" relativeHeight="251887616" behindDoc="1" locked="0" layoutInCell="1" allowOverlap="1" wp14:anchorId="2BDA218B" wp14:editId="6A45A88F">
            <wp:simplePos x="0" y="0"/>
            <wp:positionH relativeFrom="margin">
              <wp:align>center</wp:align>
            </wp:positionH>
            <wp:positionV relativeFrom="paragraph">
              <wp:posOffset>381635</wp:posOffset>
            </wp:positionV>
            <wp:extent cx="5469255" cy="5333365"/>
            <wp:effectExtent l="0" t="0" r="0" b="635"/>
            <wp:wrapTight wrapText="bothSides">
              <wp:wrapPolygon edited="0">
                <wp:start x="0" y="0"/>
                <wp:lineTo x="0" y="21525"/>
                <wp:lineTo x="21517" y="21525"/>
                <wp:lineTo x="21517" y="15199"/>
                <wp:lineTo x="21442" y="15122"/>
                <wp:lineTo x="20539" y="14813"/>
                <wp:lineTo x="21517" y="14736"/>
                <wp:lineTo x="21517" y="13579"/>
                <wp:lineTo x="20614" y="13579"/>
                <wp:lineTo x="21517" y="13270"/>
                <wp:lineTo x="21517" y="0"/>
                <wp:lineTo x="0" y="0"/>
              </wp:wrapPolygon>
            </wp:wrapTight>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69255" cy="5333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9D2F10">
      <w:pPr>
        <w:spacing w:after="160" w:line="259" w:lineRule="auto"/>
        <w:rPr>
          <w:rFonts w:ascii="Arial" w:hAnsi="Arial" w:cs="Arial"/>
          <w:sz w:val="22"/>
          <w:szCs w:val="22"/>
        </w:rPr>
      </w:pPr>
    </w:p>
    <w:p w:rsidR="009D2F10" w:rsidRDefault="004817E9" w:rsidP="004817E9">
      <w:pPr>
        <w:spacing w:after="160" w:line="259" w:lineRule="auto"/>
        <w:jc w:val="both"/>
        <w:rPr>
          <w:rFonts w:ascii="Arial" w:hAnsi="Arial" w:cs="Arial"/>
          <w:sz w:val="22"/>
          <w:szCs w:val="22"/>
        </w:rPr>
        <w:sectPr w:rsidR="009D2F10" w:rsidSect="000C37CA">
          <w:headerReference w:type="even" r:id="rId166"/>
          <w:headerReference w:type="default" r:id="rId167"/>
          <w:footerReference w:type="even" r:id="rId168"/>
          <w:footerReference w:type="default" r:id="rId169"/>
          <w:headerReference w:type="first" r:id="rId170"/>
          <w:pgSz w:w="11900" w:h="16840"/>
          <w:pgMar w:top="1077" w:right="1134" w:bottom="1077" w:left="1134" w:header="709" w:footer="709" w:gutter="0"/>
          <w:cols w:space="708"/>
          <w:titlePg/>
        </w:sectPr>
      </w:pPr>
      <w:r>
        <w:rPr>
          <w:rFonts w:ascii="Arial" w:hAnsi="Arial" w:cs="Arial"/>
          <w:sz w:val="22"/>
          <w:szCs w:val="22"/>
        </w:rPr>
        <w:t xml:space="preserve">La GIPA bénéficie </w:t>
      </w:r>
      <w:r w:rsidR="009D2F10">
        <w:rPr>
          <w:rFonts w:ascii="Arial" w:hAnsi="Arial" w:cs="Arial"/>
          <w:sz w:val="22"/>
          <w:szCs w:val="22"/>
        </w:rPr>
        <w:t>majoritairement aux agents de catégorie C (</w:t>
      </w:r>
      <w:r w:rsidR="00F717D6">
        <w:rPr>
          <w:rFonts w:ascii="Arial" w:hAnsi="Arial" w:cs="Arial"/>
          <w:sz w:val="22"/>
          <w:szCs w:val="22"/>
        </w:rPr>
        <w:t xml:space="preserve">adjoints techniques, </w:t>
      </w:r>
      <w:r w:rsidR="009D2F10">
        <w:rPr>
          <w:rFonts w:ascii="Arial" w:hAnsi="Arial" w:cs="Arial"/>
          <w:sz w:val="22"/>
          <w:szCs w:val="22"/>
        </w:rPr>
        <w:t>adjoints administratifs, adjoints d’accueil, de surveillance et de magasinage,</w:t>
      </w:r>
      <w:r>
        <w:rPr>
          <w:rFonts w:ascii="Arial" w:hAnsi="Arial" w:cs="Arial"/>
          <w:sz w:val="22"/>
          <w:szCs w:val="22"/>
        </w:rPr>
        <w:t xml:space="preserve"> magasiniers de bibliothèque</w:t>
      </w:r>
      <w:r w:rsidR="009D2F10">
        <w:rPr>
          <w:rFonts w:ascii="Arial" w:hAnsi="Arial" w:cs="Arial"/>
          <w:sz w:val="22"/>
          <w:szCs w:val="22"/>
        </w:rPr>
        <w:t xml:space="preserve">) avec </w:t>
      </w:r>
      <w:r>
        <w:rPr>
          <w:rFonts w:ascii="Arial" w:hAnsi="Arial" w:cs="Arial"/>
          <w:sz w:val="22"/>
          <w:szCs w:val="22"/>
        </w:rPr>
        <w:t xml:space="preserve">une proportion de bénéficiaires respectivement égale à </w:t>
      </w:r>
      <w:r w:rsidR="00F717D6">
        <w:rPr>
          <w:rFonts w:ascii="Arial" w:hAnsi="Arial" w:cs="Arial"/>
          <w:sz w:val="22"/>
          <w:szCs w:val="22"/>
        </w:rPr>
        <w:t xml:space="preserve">41%, </w:t>
      </w:r>
      <w:r>
        <w:rPr>
          <w:rFonts w:ascii="Arial" w:hAnsi="Arial" w:cs="Arial"/>
          <w:sz w:val="22"/>
          <w:szCs w:val="22"/>
        </w:rPr>
        <w:t xml:space="preserve">29%, </w:t>
      </w:r>
      <w:r w:rsidR="009D2F10">
        <w:rPr>
          <w:rFonts w:ascii="Arial" w:hAnsi="Arial" w:cs="Arial"/>
          <w:sz w:val="22"/>
          <w:szCs w:val="22"/>
        </w:rPr>
        <w:t>24%</w:t>
      </w:r>
      <w:r>
        <w:rPr>
          <w:rFonts w:ascii="Arial" w:hAnsi="Arial" w:cs="Arial"/>
          <w:sz w:val="22"/>
          <w:szCs w:val="22"/>
        </w:rPr>
        <w:t xml:space="preserve"> et 20%</w:t>
      </w:r>
      <w:r w:rsidR="009D2F10">
        <w:rPr>
          <w:rFonts w:ascii="Arial" w:hAnsi="Arial" w:cs="Arial"/>
          <w:sz w:val="22"/>
          <w:szCs w:val="22"/>
        </w:rPr>
        <w:t xml:space="preserve"> </w:t>
      </w:r>
      <w:r w:rsidR="00F717D6">
        <w:rPr>
          <w:rFonts w:ascii="Arial" w:hAnsi="Arial" w:cs="Arial"/>
          <w:sz w:val="22"/>
          <w:szCs w:val="22"/>
        </w:rPr>
        <w:t xml:space="preserve">des </w:t>
      </w:r>
      <w:r>
        <w:rPr>
          <w:rFonts w:ascii="Arial" w:hAnsi="Arial" w:cs="Arial"/>
          <w:sz w:val="22"/>
          <w:szCs w:val="22"/>
        </w:rPr>
        <w:t>effectifs du corps.</w:t>
      </w:r>
      <w:r w:rsidR="00416BF4">
        <w:rPr>
          <w:rFonts w:ascii="Arial" w:hAnsi="Arial" w:cs="Arial"/>
          <w:sz w:val="22"/>
          <w:szCs w:val="22"/>
        </w:rPr>
        <w:t xml:space="preserve"> </w:t>
      </w:r>
      <w:r w:rsidR="00036609">
        <w:rPr>
          <w:rFonts w:ascii="Arial" w:hAnsi="Arial" w:cs="Arial"/>
          <w:sz w:val="22"/>
          <w:szCs w:val="22"/>
        </w:rPr>
        <w:t xml:space="preserve">On peut noter </w:t>
      </w:r>
      <w:r w:rsidR="005767ED">
        <w:rPr>
          <w:rFonts w:ascii="Arial" w:hAnsi="Arial" w:cs="Arial"/>
          <w:sz w:val="22"/>
          <w:szCs w:val="22"/>
        </w:rPr>
        <w:t xml:space="preserve">par ailleurs </w:t>
      </w:r>
      <w:r w:rsidR="00036609">
        <w:rPr>
          <w:rFonts w:ascii="Arial" w:hAnsi="Arial" w:cs="Arial"/>
          <w:sz w:val="22"/>
          <w:szCs w:val="22"/>
        </w:rPr>
        <w:t>la situation particulière du corps des ingénieurs d’études dans lequel les bénéficiaires de cette garantie représentent 27% de l’effectif total.</w:t>
      </w:r>
      <w:r w:rsidR="00AC3764">
        <w:rPr>
          <w:rFonts w:ascii="Arial" w:hAnsi="Arial" w:cs="Arial"/>
          <w:sz w:val="22"/>
          <w:szCs w:val="22"/>
        </w:rPr>
        <w:t xml:space="preserve"> L</w:t>
      </w:r>
      <w:r w:rsidR="00CA6B02">
        <w:rPr>
          <w:rFonts w:ascii="Arial" w:hAnsi="Arial" w:cs="Arial"/>
          <w:sz w:val="22"/>
          <w:szCs w:val="22"/>
        </w:rPr>
        <w:t xml:space="preserve">e mode de calcul de la GIPA, </w:t>
      </w:r>
      <w:r w:rsidR="006B7D7A">
        <w:rPr>
          <w:rFonts w:ascii="Arial" w:hAnsi="Arial" w:cs="Arial"/>
          <w:sz w:val="22"/>
          <w:szCs w:val="22"/>
        </w:rPr>
        <w:t>lié à l’indice de rémunération</w:t>
      </w:r>
      <w:r w:rsidR="00CA6B02">
        <w:rPr>
          <w:rFonts w:ascii="Arial" w:hAnsi="Arial" w:cs="Arial"/>
          <w:sz w:val="22"/>
          <w:szCs w:val="22"/>
        </w:rPr>
        <w:t>,</w:t>
      </w:r>
      <w:r w:rsidR="006B7D7A">
        <w:rPr>
          <w:rFonts w:ascii="Arial" w:hAnsi="Arial" w:cs="Arial"/>
          <w:sz w:val="22"/>
          <w:szCs w:val="22"/>
        </w:rPr>
        <w:t xml:space="preserve"> </w:t>
      </w:r>
      <w:r w:rsidR="0005192D">
        <w:rPr>
          <w:rFonts w:ascii="Arial" w:hAnsi="Arial" w:cs="Arial"/>
          <w:sz w:val="22"/>
          <w:szCs w:val="22"/>
        </w:rPr>
        <w:t xml:space="preserve">explique que </w:t>
      </w:r>
      <w:r w:rsidR="00CA6B02">
        <w:rPr>
          <w:rFonts w:ascii="Arial" w:hAnsi="Arial" w:cs="Arial"/>
          <w:sz w:val="22"/>
          <w:szCs w:val="22"/>
        </w:rPr>
        <w:t xml:space="preserve">l’on observe les montants de GIPA les plus importants au sein de la </w:t>
      </w:r>
      <w:r w:rsidR="006E4FA4">
        <w:rPr>
          <w:rFonts w:ascii="Arial" w:hAnsi="Arial" w:cs="Arial"/>
          <w:sz w:val="22"/>
          <w:szCs w:val="22"/>
        </w:rPr>
        <w:t>catégorie A</w:t>
      </w:r>
      <w:r w:rsidR="0005192D">
        <w:rPr>
          <w:rFonts w:ascii="Arial" w:hAnsi="Arial" w:cs="Arial"/>
          <w:sz w:val="22"/>
          <w:szCs w:val="22"/>
        </w:rPr>
        <w:t>.</w:t>
      </w:r>
    </w:p>
    <w:p w:rsidR="00646BCA" w:rsidRDefault="00646BCA" w:rsidP="003A6B6B">
      <w:pPr>
        <w:spacing w:line="259" w:lineRule="auto"/>
        <w:rPr>
          <w:rFonts w:ascii="Arial" w:hAnsi="Arial" w:cs="Arial"/>
          <w:sz w:val="22"/>
          <w:szCs w:val="22"/>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r>
        <w:rPr>
          <w:rFonts w:ascii="BlairMdITC TT-Medium" w:hAnsi="BlairMdITC TT-Medium"/>
          <w:b/>
          <w:noProof/>
          <w:color w:val="0080FF"/>
          <w:sz w:val="28"/>
          <w:lang w:eastAsia="fr-FR"/>
        </w:rPr>
        <mc:AlternateContent>
          <mc:Choice Requires="wps">
            <w:drawing>
              <wp:anchor distT="0" distB="0" distL="114300" distR="114300" simplePos="0" relativeHeight="251788288" behindDoc="0" locked="0" layoutInCell="1" allowOverlap="1" wp14:anchorId="5D0FFEFC" wp14:editId="49B5FA17">
                <wp:simplePos x="0" y="0"/>
                <wp:positionH relativeFrom="column">
                  <wp:posOffset>228600</wp:posOffset>
                </wp:positionH>
                <wp:positionV relativeFrom="paragraph">
                  <wp:posOffset>0</wp:posOffset>
                </wp:positionV>
                <wp:extent cx="457200" cy="457200"/>
                <wp:effectExtent l="0" t="635" r="3810" b="0"/>
                <wp:wrapTight wrapText="bothSides">
                  <wp:wrapPolygon edited="0">
                    <wp:start x="0" y="0"/>
                    <wp:lineTo x="21600" y="0"/>
                    <wp:lineTo x="21600" y="21600"/>
                    <wp:lineTo x="0" y="21600"/>
                    <wp:lineTo x="0" y="0"/>
                  </wp:wrapPolygon>
                </wp:wrapTight>
                <wp:docPr id="114" name="Zone de texte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6071E8" w:rsidRDefault="007B1397" w:rsidP="008D4F0F">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FFEFC" id="Zone de texte 114" o:spid="_x0000_s1074" type="#_x0000_t202" style="position:absolute;margin-left:18pt;margin-top:0;width:36pt;height:3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" filled="f" stroked="f">
                <v:textbox inset=",7.2pt,,7.2pt">
                  <w:txbxContent>
                    <w:p w:rsidR="007B1397" w:rsidRPr="006071E8" w:rsidRDefault="007B1397" w:rsidP="008D4F0F">
                      <w:pPr>
                        <w:jc w:val="center"/>
                        <w:rPr>
                          <w:rFonts w:ascii="Apple Casual" w:eastAsia="GB18030 Bitmap" w:hAnsi="Apple Casual"/>
                          <w:b/>
                          <w:color w:val="FFFFFF" w:themeColor="background1"/>
                          <w:sz w:val="48"/>
                        </w:rPr>
                      </w:pPr>
                      <w:r>
                        <w:rPr>
                          <w:rFonts w:ascii="Apple Casual" w:eastAsia="GB18030 Bitmap" w:hAnsi="Apple Casual"/>
                          <w:b/>
                          <w:color w:val="FFFFFF" w:themeColor="background1"/>
                          <w:sz w:val="48"/>
                        </w:rPr>
                        <w:t>3</w:t>
                      </w:r>
                    </w:p>
                  </w:txbxContent>
                </v:textbox>
                <w10:wrap type="tight"/>
              </v:shape>
            </w:pict>
          </mc:Fallback>
        </mc:AlternateContent>
      </w:r>
      <w:r>
        <w:rPr>
          <w:rFonts w:ascii="BlairMdITC TT-Medium" w:hAnsi="BlairMdITC TT-Medium"/>
          <w:b/>
          <w:noProof/>
          <w:color w:val="0080FF"/>
          <w:sz w:val="28"/>
          <w:lang w:eastAsia="fr-FR"/>
        </w:rPr>
        <mc:AlternateContent>
          <mc:Choice Requires="wps">
            <w:drawing>
              <wp:anchor distT="0" distB="0" distL="114300" distR="114300" simplePos="0" relativeHeight="251787264" behindDoc="0" locked="0" layoutInCell="1" allowOverlap="1" wp14:anchorId="65481773" wp14:editId="19B8817A">
                <wp:simplePos x="0" y="0"/>
                <wp:positionH relativeFrom="column">
                  <wp:posOffset>635</wp:posOffset>
                </wp:positionH>
                <wp:positionV relativeFrom="paragraph">
                  <wp:posOffset>-228600</wp:posOffset>
                </wp:positionV>
                <wp:extent cx="913765" cy="914400"/>
                <wp:effectExtent l="6350" t="635" r="3810" b="8890"/>
                <wp:wrapTight wrapText="bothSides">
                  <wp:wrapPolygon edited="0">
                    <wp:start x="7610" y="0"/>
                    <wp:lineTo x="5779" y="300"/>
                    <wp:lineTo x="916" y="3645"/>
                    <wp:lineTo x="-300" y="8520"/>
                    <wp:lineTo x="-300" y="10035"/>
                    <wp:lineTo x="0" y="14595"/>
                    <wp:lineTo x="0" y="14910"/>
                    <wp:lineTo x="3047" y="19170"/>
                    <wp:lineTo x="6079" y="20985"/>
                    <wp:lineTo x="6394" y="20985"/>
                    <wp:lineTo x="14905" y="20985"/>
                    <wp:lineTo x="15206" y="20985"/>
                    <wp:lineTo x="18253" y="19170"/>
                    <wp:lineTo x="21300" y="14910"/>
                    <wp:lineTo x="21300" y="14595"/>
                    <wp:lineTo x="21600" y="10035"/>
                    <wp:lineTo x="21600" y="8520"/>
                    <wp:lineTo x="20384" y="3645"/>
                    <wp:lineTo x="15521" y="300"/>
                    <wp:lineTo x="13690" y="0"/>
                    <wp:lineTo x="7610" y="0"/>
                  </wp:wrapPolygon>
                </wp:wrapTight>
                <wp:docPr id="115" name="Ellips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914400"/>
                        </a:xfrm>
                        <a:prstGeom prst="ellipse">
                          <a:avLst/>
                        </a:prstGeom>
                        <a:solidFill>
                          <a:srgbClr val="00FF80"/>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B8565A" id="Ellipse 115" o:spid="_x0000_s1026" style="position:absolute;margin-left:.05pt;margin-top:-18pt;width:71.95pt;height:1in;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" fillcolor="#00ff80" stroked="f" strokecolor="#4a7ebb" strokeweight="1.5pt">
                <v:shadow opacity="22938f" offset="0"/>
                <v:textbox inset=",7.2pt,,7.2pt"/>
                <w10:wrap type="tight"/>
              </v:oval>
            </w:pict>
          </mc:Fallback>
        </mc:AlternateContent>
      </w:r>
    </w:p>
    <w:p w:rsidR="008D4F0F" w:rsidRPr="00566041"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28"/>
        </w:rPr>
      </w:pPr>
    </w:p>
    <w:p w:rsidR="008D4F0F" w:rsidRPr="001F0293" w:rsidRDefault="008D4F0F" w:rsidP="008D4F0F">
      <w:pPr>
        <w:tabs>
          <w:tab w:val="left" w:pos="1220"/>
        </w:tabs>
        <w:rPr>
          <w:rFonts w:ascii="Florencesans Exp" w:hAnsi="Florencesans Exp"/>
          <w:b/>
          <w:color w:val="00FF80"/>
          <w:sz w:val="48"/>
        </w:rPr>
      </w:pPr>
      <w:r w:rsidRPr="001F0293">
        <w:rPr>
          <w:rFonts w:ascii="Florencesans Exp" w:hAnsi="Florencesans Exp"/>
          <w:b/>
          <w:color w:val="00FF80"/>
          <w:sz w:val="48"/>
        </w:rPr>
        <w:t>PROMOTION</w:t>
      </w:r>
      <w:r w:rsidRPr="001F0293">
        <w:rPr>
          <w:rFonts w:ascii="Florencesans Exp" w:hAnsi="Florencesans Exp"/>
          <w:b/>
          <w:color w:val="00FF80"/>
          <w:sz w:val="26"/>
        </w:rPr>
        <w:t xml:space="preserve"> </w:t>
      </w:r>
      <w:r w:rsidRPr="001F0293">
        <w:rPr>
          <w:rFonts w:ascii="Florencesans Exp" w:hAnsi="Florencesans Exp"/>
          <w:b/>
          <w:color w:val="00FF80"/>
          <w:sz w:val="48"/>
        </w:rPr>
        <w:t>DE L’EGALITE FEMME - HOMME</w:t>
      </w:r>
    </w:p>
    <w:p w:rsidR="008D4F0F" w:rsidRPr="008977C4" w:rsidRDefault="008D4F0F" w:rsidP="008D4F0F">
      <w:pPr>
        <w:tabs>
          <w:tab w:val="left" w:pos="1220"/>
        </w:tabs>
        <w:rPr>
          <w:rFonts w:ascii="BlairMdITC TT-Medium" w:hAnsi="BlairMdITC TT-Medium"/>
          <w:b/>
          <w:color w:val="00FF80"/>
          <w:sz w:val="48"/>
        </w:rPr>
      </w:pPr>
    </w:p>
    <w:p w:rsidR="008D4F0F" w:rsidRDefault="008D4F0F" w:rsidP="008D4F0F">
      <w:pPr>
        <w:tabs>
          <w:tab w:val="left" w:pos="1220"/>
        </w:tabs>
        <w:rPr>
          <w:rFonts w:ascii="BlairMdITC TT-Medium" w:hAnsi="BlairMdITC TT-Medium"/>
          <w:b/>
          <w:color w:val="0080FF"/>
          <w:sz w:val="48"/>
        </w:rPr>
      </w:pPr>
      <w:r>
        <w:rPr>
          <w:rFonts w:ascii="BlairMdITC TT-Medium" w:hAnsi="BlairMdITC TT-Medium"/>
          <w:b/>
          <w:noProof/>
          <w:color w:val="0080FF"/>
          <w:sz w:val="48"/>
          <w:lang w:eastAsia="fr-FR"/>
        </w:rPr>
        <mc:AlternateContent>
          <mc:Choice Requires="wps">
            <w:drawing>
              <wp:anchor distT="0" distB="0" distL="114300" distR="114300" simplePos="0" relativeHeight="251790336" behindDoc="0" locked="0" layoutInCell="1" allowOverlap="1" wp14:anchorId="564BF1F9" wp14:editId="3A8EB054">
                <wp:simplePos x="0" y="0"/>
                <wp:positionH relativeFrom="column">
                  <wp:posOffset>0</wp:posOffset>
                </wp:positionH>
                <wp:positionV relativeFrom="paragraph">
                  <wp:posOffset>319405</wp:posOffset>
                </wp:positionV>
                <wp:extent cx="2971800" cy="5410835"/>
                <wp:effectExtent l="0" t="0" r="3810" b="0"/>
                <wp:wrapTight wrapText="bothSides">
                  <wp:wrapPolygon edited="0">
                    <wp:start x="0" y="0"/>
                    <wp:lineTo x="21600" y="0"/>
                    <wp:lineTo x="21600" y="21600"/>
                    <wp:lineTo x="0" y="21600"/>
                    <wp:lineTo x="0" y="0"/>
                  </wp:wrapPolygon>
                </wp:wrapTight>
                <wp:docPr id="116" name="Zone de texte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4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D17B05" w:rsidRDefault="007B1397" w:rsidP="008D4F0F">
                            <w:pPr>
                              <w:jc w:val="both"/>
                              <w:rPr>
                                <w:rFonts w:ascii="Arial" w:hAnsi="Arial"/>
                                <w:sz w:val="22"/>
                              </w:rPr>
                            </w:pPr>
                            <w:r w:rsidRPr="00D17B05">
                              <w:rPr>
                                <w:rFonts w:ascii="Arial" w:hAnsi="Arial"/>
                                <w:sz w:val="22"/>
                              </w:rPr>
                              <w:t>Le Ministère de la Culture et de la Communication est engagé dans la prévention des discriminations de toute nature qui peuvent affecter le fonctionnement des services. Dans ce cadre, une rubrique consacrée à l’égalité homme – femme est introduite dans le bilan social 2012.</w:t>
                            </w:r>
                          </w:p>
                          <w:p w:rsidR="007B1397" w:rsidRPr="007952BF" w:rsidRDefault="007B1397" w:rsidP="008D4F0F">
                            <w:pPr>
                              <w:jc w:val="both"/>
                              <w:rPr>
                                <w:rFonts w:ascii="Arial" w:hAnsi="Arial"/>
                                <w:sz w:val="22"/>
                                <w:highlight w:val="yellow"/>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BF1F9" id="Zone de texte 116" o:spid="_x0000_s1075" type="#_x0000_t202" style="position:absolute;margin-left:0;margin-top:25.15pt;width:234pt;height:426.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" filled="f" stroked="f">
                <v:textbox inset=",7.2pt,,7.2pt">
                  <w:txbxContent>
                    <w:p w:rsidR="007B1397" w:rsidRPr="00D17B05" w:rsidRDefault="007B1397" w:rsidP="008D4F0F">
                      <w:pPr>
                        <w:jc w:val="both"/>
                        <w:rPr>
                          <w:rFonts w:ascii="Arial" w:hAnsi="Arial"/>
                          <w:sz w:val="22"/>
                        </w:rPr>
                      </w:pPr>
                      <w:r w:rsidRPr="00D17B05">
                        <w:rPr>
                          <w:rFonts w:ascii="Arial" w:hAnsi="Arial"/>
                          <w:sz w:val="22"/>
                        </w:rPr>
                        <w:t>Le Ministère de la Culture et de la Communication est engagé dans la prévention des discriminations de toute nature qui peuvent affecter le fonctionnement des services. Dans ce cadre, une rubrique consacrée à l’égalité homme – femme est introduite dans le bilan social 2012.</w:t>
                      </w:r>
                    </w:p>
                    <w:p w:rsidR="007B1397" w:rsidRPr="007952BF" w:rsidRDefault="007B1397" w:rsidP="008D4F0F">
                      <w:pPr>
                        <w:jc w:val="both"/>
                        <w:rPr>
                          <w:rFonts w:ascii="Arial" w:hAnsi="Arial"/>
                          <w:sz w:val="22"/>
                          <w:highlight w:val="yellow"/>
                        </w:rPr>
                      </w:pPr>
                    </w:p>
                  </w:txbxContent>
                </v:textbox>
                <w10:wrap type="tight"/>
              </v:shape>
            </w:pict>
          </mc:Fallback>
        </mc:AlternateContent>
      </w:r>
      <w:r>
        <w:rPr>
          <w:rFonts w:ascii="BlairMdITC TT-Medium" w:hAnsi="BlairMdITC TT-Medium"/>
          <w:b/>
          <w:noProof/>
          <w:color w:val="0080FF"/>
          <w:sz w:val="48"/>
          <w:lang w:eastAsia="fr-FR"/>
        </w:rPr>
        <mc:AlternateContent>
          <mc:Choice Requires="wps">
            <w:drawing>
              <wp:anchor distT="0" distB="0" distL="114300" distR="114300" simplePos="0" relativeHeight="251789312" behindDoc="0" locked="0" layoutInCell="1" allowOverlap="1" wp14:anchorId="0F0F5C50" wp14:editId="5B551BB6">
                <wp:simplePos x="0" y="0"/>
                <wp:positionH relativeFrom="column">
                  <wp:posOffset>3429000</wp:posOffset>
                </wp:positionH>
                <wp:positionV relativeFrom="paragraph">
                  <wp:posOffset>350520</wp:posOffset>
                </wp:positionV>
                <wp:extent cx="2943225" cy="5827395"/>
                <wp:effectExtent l="15240" t="12065" r="13335" b="18415"/>
                <wp:wrapTight wrapText="bothSides">
                  <wp:wrapPolygon edited="0">
                    <wp:start x="-89" y="-40"/>
                    <wp:lineTo x="-89" y="21558"/>
                    <wp:lineTo x="21689" y="21558"/>
                    <wp:lineTo x="21689" y="-40"/>
                    <wp:lineTo x="-89" y="-40"/>
                  </wp:wrapPolygon>
                </wp:wrapTight>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5827395"/>
                        </a:xfrm>
                        <a:prstGeom prst="rect">
                          <a:avLst/>
                        </a:prstGeom>
                        <a:noFill/>
                        <a:ln w="19050">
                          <a:solidFill>
                            <a:schemeClr val="tx1">
                              <a:lumMod val="50000"/>
                              <a:lumOff val="50000"/>
                            </a:schemeClr>
                          </a:solidFill>
                          <a:miter lim="800000"/>
                          <a:headEnd/>
                          <a:tailEnd/>
                        </a:ln>
                        <a:effectLst/>
                        <a:extLst>
                          <a:ext uri="{909E8E84-426E-40DD-AFC4-6F175D3DCCD1}">
                            <a14:hiddenFill xmlns:a14="http://schemas.microsoft.com/office/drawing/2010/main">
                              <a:solidFill>
                                <a:srgbClr val="008080">
                                  <a:alpha val="39999"/>
                                </a:srgbClr>
                              </a:soli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7B1397" w:rsidRPr="008179C9" w:rsidRDefault="007B1397" w:rsidP="008D4F0F">
                            <w:pPr>
                              <w:jc w:val="center"/>
                              <w:rPr>
                                <w:b/>
                              </w:rPr>
                            </w:pPr>
                          </w:p>
                          <w:p w:rsidR="007B1397" w:rsidRPr="008179C9" w:rsidRDefault="007B1397" w:rsidP="008D4F0F">
                            <w:pPr>
                              <w:jc w:val="center"/>
                              <w:rPr>
                                <w:rFonts w:ascii="Arial" w:hAnsi="Arial"/>
                                <w:b/>
                                <w:color w:val="00FF80"/>
                                <w:sz w:val="32"/>
                              </w:rPr>
                            </w:pPr>
                            <w:r w:rsidRPr="00842E07">
                              <w:rPr>
                                <w:rFonts w:ascii="Arial" w:hAnsi="Arial"/>
                                <w:b/>
                                <w:color w:val="00FF80"/>
                                <w:sz w:val="32"/>
                              </w:rPr>
                              <w:t>Chiffres clés</w:t>
                            </w:r>
                          </w:p>
                          <w:p w:rsidR="007B1397" w:rsidRPr="008179C9" w:rsidRDefault="007B1397" w:rsidP="008D4F0F">
                            <w:pPr>
                              <w:jc w:val="center"/>
                              <w:rPr>
                                <w:rFonts w:ascii="Arial" w:hAnsi="Arial"/>
                                <w:b/>
                                <w:color w:val="00FF80"/>
                              </w:rPr>
                            </w:pPr>
                          </w:p>
                          <w:p w:rsidR="007B1397" w:rsidRDefault="007B1397" w:rsidP="008D4F0F">
                            <w:pPr>
                              <w:jc w:val="center"/>
                              <w:rPr>
                                <w:rFonts w:ascii="Arial" w:hAnsi="Arial"/>
                                <w:b/>
                              </w:rPr>
                            </w:pPr>
                            <w:r>
                              <w:rPr>
                                <w:rFonts w:ascii="Arial" w:hAnsi="Arial"/>
                                <w:b/>
                              </w:rPr>
                              <w:t>Sur le titre 2 :</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color w:val="00FF80"/>
                                <w:sz w:val="32"/>
                              </w:rPr>
                              <w:t>53</w:t>
                            </w:r>
                            <w:r w:rsidRPr="008179C9">
                              <w:rPr>
                                <w:rFonts w:ascii="Arial" w:hAnsi="Arial"/>
                                <w:b/>
                                <w:color w:val="00FF80"/>
                                <w:sz w:val="32"/>
                              </w:rPr>
                              <w:t>%</w:t>
                            </w:r>
                            <w:r>
                              <w:rPr>
                                <w:rFonts w:ascii="Arial" w:hAnsi="Arial"/>
                                <w:b/>
                                <w:color w:val="00FF80"/>
                              </w:rPr>
                              <w:t xml:space="preserve"> </w:t>
                            </w:r>
                            <w:r w:rsidRPr="008179C9">
                              <w:rPr>
                                <w:rFonts w:ascii="Arial" w:hAnsi="Arial"/>
                                <w:b/>
                              </w:rPr>
                              <w:t>de femmes</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color w:val="00FF80"/>
                                <w:sz w:val="32"/>
                              </w:rPr>
                              <w:t>49</w:t>
                            </w:r>
                            <w:r w:rsidRPr="008179C9">
                              <w:rPr>
                                <w:rFonts w:ascii="Arial" w:hAnsi="Arial"/>
                                <w:b/>
                                <w:color w:val="00FF80"/>
                                <w:sz w:val="32"/>
                              </w:rPr>
                              <w:t>%</w:t>
                            </w:r>
                            <w:r>
                              <w:rPr>
                                <w:rFonts w:ascii="Arial" w:hAnsi="Arial"/>
                                <w:b/>
                              </w:rPr>
                              <w:t xml:space="preserve"> des agents de catégorie A sont des femmes</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color w:val="00FF80"/>
                                <w:sz w:val="32"/>
                              </w:rPr>
                              <w:t>59</w:t>
                            </w:r>
                            <w:r w:rsidRPr="008179C9">
                              <w:rPr>
                                <w:rFonts w:ascii="Arial" w:hAnsi="Arial"/>
                                <w:b/>
                                <w:color w:val="00FF80"/>
                                <w:sz w:val="32"/>
                              </w:rPr>
                              <w:t>%</w:t>
                            </w:r>
                            <w:r>
                              <w:rPr>
                                <w:rFonts w:ascii="Arial" w:hAnsi="Arial"/>
                                <w:b/>
                              </w:rPr>
                              <w:t xml:space="preserve"> des agents de catégorie B sont des femmes</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color w:val="00FF80"/>
                                <w:sz w:val="32"/>
                              </w:rPr>
                              <w:t>55</w:t>
                            </w:r>
                            <w:r w:rsidRPr="008179C9">
                              <w:rPr>
                                <w:rFonts w:ascii="Arial" w:hAnsi="Arial"/>
                                <w:b/>
                                <w:color w:val="00FF80"/>
                                <w:sz w:val="32"/>
                              </w:rPr>
                              <w:t>%</w:t>
                            </w:r>
                            <w:r>
                              <w:rPr>
                                <w:rFonts w:ascii="Arial" w:hAnsi="Arial"/>
                                <w:b/>
                              </w:rPr>
                              <w:t xml:space="preserve"> des agents de catégorie C sont des femmes</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rPr>
                              <w:t>En filière administrative il y a</w:t>
                            </w:r>
                          </w:p>
                          <w:p w:rsidR="007B1397" w:rsidRDefault="007B1397" w:rsidP="008D4F0F">
                            <w:pPr>
                              <w:jc w:val="center"/>
                              <w:rPr>
                                <w:rFonts w:ascii="Arial" w:hAnsi="Arial"/>
                                <w:b/>
                              </w:rPr>
                            </w:pPr>
                            <w:r>
                              <w:rPr>
                                <w:rFonts w:ascii="Arial" w:hAnsi="Arial"/>
                                <w:b/>
                                <w:color w:val="00FF80"/>
                                <w:sz w:val="32"/>
                              </w:rPr>
                              <w:t>75</w:t>
                            </w:r>
                            <w:r w:rsidRPr="008179C9">
                              <w:rPr>
                                <w:rFonts w:ascii="Arial" w:hAnsi="Arial"/>
                                <w:b/>
                                <w:color w:val="00FF80"/>
                                <w:sz w:val="32"/>
                              </w:rPr>
                              <w:t>%</w:t>
                            </w:r>
                            <w:r>
                              <w:rPr>
                                <w:rFonts w:ascii="Arial" w:hAnsi="Arial"/>
                                <w:b/>
                              </w:rPr>
                              <w:t xml:space="preserve"> de femmes</w:t>
                            </w:r>
                          </w:p>
                          <w:p w:rsidR="007B1397" w:rsidRDefault="007B1397" w:rsidP="008D4F0F">
                            <w:pPr>
                              <w:jc w:val="center"/>
                              <w:rPr>
                                <w:rFonts w:ascii="Arial" w:hAnsi="Arial"/>
                                <w:b/>
                              </w:rPr>
                            </w:pPr>
                          </w:p>
                          <w:p w:rsidR="007B1397" w:rsidRDefault="007B1397" w:rsidP="008D4F0F">
                            <w:pPr>
                              <w:jc w:val="center"/>
                              <w:rPr>
                                <w:rFonts w:ascii="Arial" w:hAnsi="Arial"/>
                                <w:b/>
                              </w:rPr>
                            </w:pPr>
                            <w:r>
                              <w:rPr>
                                <w:rFonts w:ascii="Arial" w:hAnsi="Arial"/>
                                <w:b/>
                                <w:color w:val="00FF80"/>
                                <w:sz w:val="32"/>
                              </w:rPr>
                              <w:t>61</w:t>
                            </w:r>
                            <w:r w:rsidRPr="0038139E">
                              <w:rPr>
                                <w:rFonts w:ascii="Arial" w:hAnsi="Arial"/>
                                <w:b/>
                                <w:color w:val="00FF80"/>
                                <w:sz w:val="32"/>
                              </w:rPr>
                              <w:t>%</w:t>
                            </w:r>
                            <w:r>
                              <w:rPr>
                                <w:rFonts w:ascii="Arial" w:hAnsi="Arial"/>
                                <w:b/>
                              </w:rPr>
                              <w:t xml:space="preserve"> des agents femmes ont reçu une formation en 2013, contre </w:t>
                            </w:r>
                            <w:r w:rsidRPr="00C82AA5">
                              <w:rPr>
                                <w:rFonts w:ascii="Arial" w:hAnsi="Arial"/>
                                <w:b/>
                                <w:color w:val="00FF80"/>
                                <w:sz w:val="32"/>
                              </w:rPr>
                              <w:t>45</w:t>
                            </w:r>
                            <w:r w:rsidRPr="0038139E">
                              <w:rPr>
                                <w:rFonts w:ascii="Arial" w:hAnsi="Arial"/>
                                <w:b/>
                                <w:color w:val="00FF80"/>
                                <w:sz w:val="32"/>
                              </w:rPr>
                              <w:t>%</w:t>
                            </w:r>
                            <w:r>
                              <w:rPr>
                                <w:rFonts w:ascii="Arial" w:hAnsi="Arial"/>
                                <w:b/>
                              </w:rPr>
                              <w:t xml:space="preserve"> des hommes</w:t>
                            </w:r>
                          </w:p>
                          <w:p w:rsidR="007B1397" w:rsidRDefault="007B1397" w:rsidP="008D4F0F">
                            <w:pPr>
                              <w:jc w:val="center"/>
                              <w:rPr>
                                <w:rFonts w:ascii="Arial" w:hAnsi="Arial"/>
                                <w:b/>
                              </w:rPr>
                            </w:pPr>
                          </w:p>
                          <w:p w:rsidR="007B1397" w:rsidRDefault="007B1397" w:rsidP="008D4F0F">
                            <w:pPr>
                              <w:jc w:val="center"/>
                              <w:rPr>
                                <w:rFonts w:ascii="Arial" w:hAnsi="Arial"/>
                                <w:b/>
                              </w:rPr>
                            </w:pPr>
                            <w:r>
                              <w:rPr>
                                <w:rFonts w:ascii="Arial" w:hAnsi="Arial"/>
                                <w:b/>
                                <w:color w:val="00FF80"/>
                                <w:sz w:val="32"/>
                              </w:rPr>
                              <w:t>38</w:t>
                            </w:r>
                            <w:r w:rsidRPr="00765178">
                              <w:rPr>
                                <w:rFonts w:ascii="Arial" w:hAnsi="Arial"/>
                                <w:b/>
                                <w:color w:val="00FF80"/>
                                <w:sz w:val="32"/>
                              </w:rPr>
                              <w:t>%</w:t>
                            </w:r>
                            <w:r>
                              <w:rPr>
                                <w:rFonts w:ascii="Arial" w:hAnsi="Arial"/>
                                <w:color w:val="00FF80"/>
                                <w:sz w:val="32"/>
                              </w:rPr>
                              <w:t xml:space="preserve"> </w:t>
                            </w:r>
                            <w:r>
                              <w:rPr>
                                <w:rFonts w:ascii="Arial" w:hAnsi="Arial"/>
                                <w:b/>
                              </w:rPr>
                              <w:t>des directeurs régionaux</w:t>
                            </w:r>
                            <w:r w:rsidRPr="00765178">
                              <w:rPr>
                                <w:rFonts w:ascii="Arial" w:hAnsi="Arial"/>
                                <w:b/>
                              </w:rPr>
                              <w:t xml:space="preserve"> des affaires culturelles sont des femmes</w:t>
                            </w:r>
                          </w:p>
                          <w:p w:rsidR="007B1397" w:rsidRDefault="007B1397" w:rsidP="008D4F0F">
                            <w:pPr>
                              <w:jc w:val="center"/>
                              <w:rPr>
                                <w:rFonts w:ascii="Arial" w:hAnsi="Arial"/>
                                <w:b/>
                              </w:rPr>
                            </w:pPr>
                          </w:p>
                          <w:p w:rsidR="007B1397" w:rsidRPr="00BC581D" w:rsidRDefault="007B1397" w:rsidP="008D4F0F">
                            <w:pPr>
                              <w:jc w:val="center"/>
                              <w:rPr>
                                <w:rFonts w:ascii="Arial" w:hAnsi="Arial"/>
                                <w:color w:val="00FF80"/>
                                <w:sz w:val="32"/>
                              </w:rPr>
                            </w:pPr>
                            <w:r>
                              <w:rPr>
                                <w:rFonts w:ascii="Arial" w:hAnsi="Arial"/>
                                <w:b/>
                                <w:color w:val="00FF80"/>
                                <w:sz w:val="32"/>
                              </w:rPr>
                              <w:t>52</w:t>
                            </w:r>
                            <w:r w:rsidRPr="00765178">
                              <w:rPr>
                                <w:rFonts w:ascii="Arial" w:hAnsi="Arial"/>
                                <w:b/>
                                <w:color w:val="00FF80"/>
                                <w:sz w:val="32"/>
                              </w:rPr>
                              <w:t>%</w:t>
                            </w:r>
                            <w:r>
                              <w:rPr>
                                <w:rFonts w:ascii="Arial" w:hAnsi="Arial"/>
                                <w:b/>
                              </w:rPr>
                              <w:t xml:space="preserve"> des postes d’encadrement d’administration centrale sont tenus par des femmes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F5C50" id="Rectangle 117" o:spid="_x0000_s1076" style="position:absolute;margin-left:270pt;margin-top:27.6pt;width:231.75pt;height:458.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" filled="f" fillcolor="teal" strokecolor="gray [1629]" strokeweight="1.5pt">
                <v:fill opacity="26214f"/>
                <v:shadow opacity="22938f" offset="0"/>
                <v:textbox inset=",7.2pt,,7.2pt">
                  <w:txbxContent>
                    <w:p w:rsidR="007B1397" w:rsidRPr="008179C9" w:rsidRDefault="007B1397" w:rsidP="008D4F0F">
                      <w:pPr>
                        <w:jc w:val="center"/>
                        <w:rPr>
                          <w:b/>
                        </w:rPr>
                      </w:pPr>
                    </w:p>
                    <w:p w:rsidR="007B1397" w:rsidRPr="008179C9" w:rsidRDefault="007B1397" w:rsidP="008D4F0F">
                      <w:pPr>
                        <w:jc w:val="center"/>
                        <w:rPr>
                          <w:rFonts w:ascii="Arial" w:hAnsi="Arial"/>
                          <w:b/>
                          <w:color w:val="00FF80"/>
                          <w:sz w:val="32"/>
                        </w:rPr>
                      </w:pPr>
                      <w:r w:rsidRPr="00842E07">
                        <w:rPr>
                          <w:rFonts w:ascii="Arial" w:hAnsi="Arial"/>
                          <w:b/>
                          <w:color w:val="00FF80"/>
                          <w:sz w:val="32"/>
                        </w:rPr>
                        <w:t>Chiffres clés</w:t>
                      </w:r>
                    </w:p>
                    <w:p w:rsidR="007B1397" w:rsidRPr="008179C9" w:rsidRDefault="007B1397" w:rsidP="008D4F0F">
                      <w:pPr>
                        <w:jc w:val="center"/>
                        <w:rPr>
                          <w:rFonts w:ascii="Arial" w:hAnsi="Arial"/>
                          <w:b/>
                          <w:color w:val="00FF80"/>
                        </w:rPr>
                      </w:pPr>
                    </w:p>
                    <w:p w:rsidR="007B1397" w:rsidRDefault="007B1397" w:rsidP="008D4F0F">
                      <w:pPr>
                        <w:jc w:val="center"/>
                        <w:rPr>
                          <w:rFonts w:ascii="Arial" w:hAnsi="Arial"/>
                          <w:b/>
                        </w:rPr>
                      </w:pPr>
                      <w:r>
                        <w:rPr>
                          <w:rFonts w:ascii="Arial" w:hAnsi="Arial"/>
                          <w:b/>
                        </w:rPr>
                        <w:t>Sur le titre 2 :</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color w:val="00FF80"/>
                          <w:sz w:val="32"/>
                        </w:rPr>
                        <w:t>53</w:t>
                      </w:r>
                      <w:r w:rsidRPr="008179C9">
                        <w:rPr>
                          <w:rFonts w:ascii="Arial" w:hAnsi="Arial"/>
                          <w:b/>
                          <w:color w:val="00FF80"/>
                          <w:sz w:val="32"/>
                        </w:rPr>
                        <w:t>%</w:t>
                      </w:r>
                      <w:r>
                        <w:rPr>
                          <w:rFonts w:ascii="Arial" w:hAnsi="Arial"/>
                          <w:b/>
                          <w:color w:val="00FF80"/>
                        </w:rPr>
                        <w:t xml:space="preserve"> </w:t>
                      </w:r>
                      <w:r w:rsidRPr="008179C9">
                        <w:rPr>
                          <w:rFonts w:ascii="Arial" w:hAnsi="Arial"/>
                          <w:b/>
                        </w:rPr>
                        <w:t>de femmes</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color w:val="00FF80"/>
                          <w:sz w:val="32"/>
                        </w:rPr>
                        <w:t>49</w:t>
                      </w:r>
                      <w:r w:rsidRPr="008179C9">
                        <w:rPr>
                          <w:rFonts w:ascii="Arial" w:hAnsi="Arial"/>
                          <w:b/>
                          <w:color w:val="00FF80"/>
                          <w:sz w:val="32"/>
                        </w:rPr>
                        <w:t>%</w:t>
                      </w:r>
                      <w:r>
                        <w:rPr>
                          <w:rFonts w:ascii="Arial" w:hAnsi="Arial"/>
                          <w:b/>
                        </w:rPr>
                        <w:t xml:space="preserve"> des agents de catégorie A sont des femmes</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color w:val="00FF80"/>
                          <w:sz w:val="32"/>
                        </w:rPr>
                        <w:t>59</w:t>
                      </w:r>
                      <w:r w:rsidRPr="008179C9">
                        <w:rPr>
                          <w:rFonts w:ascii="Arial" w:hAnsi="Arial"/>
                          <w:b/>
                          <w:color w:val="00FF80"/>
                          <w:sz w:val="32"/>
                        </w:rPr>
                        <w:t>%</w:t>
                      </w:r>
                      <w:r>
                        <w:rPr>
                          <w:rFonts w:ascii="Arial" w:hAnsi="Arial"/>
                          <w:b/>
                        </w:rPr>
                        <w:t xml:space="preserve"> des agents de catégorie B sont des femmes</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color w:val="00FF80"/>
                          <w:sz w:val="32"/>
                        </w:rPr>
                        <w:t>55</w:t>
                      </w:r>
                      <w:r w:rsidRPr="008179C9">
                        <w:rPr>
                          <w:rFonts w:ascii="Arial" w:hAnsi="Arial"/>
                          <w:b/>
                          <w:color w:val="00FF80"/>
                          <w:sz w:val="32"/>
                        </w:rPr>
                        <w:t>%</w:t>
                      </w:r>
                      <w:r>
                        <w:rPr>
                          <w:rFonts w:ascii="Arial" w:hAnsi="Arial"/>
                          <w:b/>
                        </w:rPr>
                        <w:t xml:space="preserve"> des agents de catégorie C sont des femmes</w:t>
                      </w:r>
                    </w:p>
                    <w:p w:rsidR="007B1397" w:rsidRPr="0038139E" w:rsidRDefault="007B1397" w:rsidP="008D4F0F">
                      <w:pPr>
                        <w:jc w:val="center"/>
                        <w:rPr>
                          <w:rFonts w:ascii="Arial" w:hAnsi="Arial"/>
                          <w:b/>
                          <w:sz w:val="16"/>
                        </w:rPr>
                      </w:pPr>
                    </w:p>
                    <w:p w:rsidR="007B1397" w:rsidRDefault="007B1397" w:rsidP="008D4F0F">
                      <w:pPr>
                        <w:jc w:val="center"/>
                        <w:rPr>
                          <w:rFonts w:ascii="Arial" w:hAnsi="Arial"/>
                          <w:b/>
                        </w:rPr>
                      </w:pPr>
                      <w:r>
                        <w:rPr>
                          <w:rFonts w:ascii="Arial" w:hAnsi="Arial"/>
                          <w:b/>
                        </w:rPr>
                        <w:t>En filière administrative il y a</w:t>
                      </w:r>
                    </w:p>
                    <w:p w:rsidR="007B1397" w:rsidRDefault="007B1397" w:rsidP="008D4F0F">
                      <w:pPr>
                        <w:jc w:val="center"/>
                        <w:rPr>
                          <w:rFonts w:ascii="Arial" w:hAnsi="Arial"/>
                          <w:b/>
                        </w:rPr>
                      </w:pPr>
                      <w:r>
                        <w:rPr>
                          <w:rFonts w:ascii="Arial" w:hAnsi="Arial"/>
                          <w:b/>
                          <w:color w:val="00FF80"/>
                          <w:sz w:val="32"/>
                        </w:rPr>
                        <w:t>75</w:t>
                      </w:r>
                      <w:r w:rsidRPr="008179C9">
                        <w:rPr>
                          <w:rFonts w:ascii="Arial" w:hAnsi="Arial"/>
                          <w:b/>
                          <w:color w:val="00FF80"/>
                          <w:sz w:val="32"/>
                        </w:rPr>
                        <w:t>%</w:t>
                      </w:r>
                      <w:r>
                        <w:rPr>
                          <w:rFonts w:ascii="Arial" w:hAnsi="Arial"/>
                          <w:b/>
                        </w:rPr>
                        <w:t xml:space="preserve"> de femmes</w:t>
                      </w:r>
                    </w:p>
                    <w:p w:rsidR="007B1397" w:rsidRDefault="007B1397" w:rsidP="008D4F0F">
                      <w:pPr>
                        <w:jc w:val="center"/>
                        <w:rPr>
                          <w:rFonts w:ascii="Arial" w:hAnsi="Arial"/>
                          <w:b/>
                        </w:rPr>
                      </w:pPr>
                    </w:p>
                    <w:p w:rsidR="007B1397" w:rsidRDefault="007B1397" w:rsidP="008D4F0F">
                      <w:pPr>
                        <w:jc w:val="center"/>
                        <w:rPr>
                          <w:rFonts w:ascii="Arial" w:hAnsi="Arial"/>
                          <w:b/>
                        </w:rPr>
                      </w:pPr>
                      <w:r>
                        <w:rPr>
                          <w:rFonts w:ascii="Arial" w:hAnsi="Arial"/>
                          <w:b/>
                          <w:color w:val="00FF80"/>
                          <w:sz w:val="32"/>
                        </w:rPr>
                        <w:t>61</w:t>
                      </w:r>
                      <w:r w:rsidRPr="0038139E">
                        <w:rPr>
                          <w:rFonts w:ascii="Arial" w:hAnsi="Arial"/>
                          <w:b/>
                          <w:color w:val="00FF80"/>
                          <w:sz w:val="32"/>
                        </w:rPr>
                        <w:t>%</w:t>
                      </w:r>
                      <w:r>
                        <w:rPr>
                          <w:rFonts w:ascii="Arial" w:hAnsi="Arial"/>
                          <w:b/>
                        </w:rPr>
                        <w:t xml:space="preserve"> des agents femmes ont reçu une formation en 2013, contre </w:t>
                      </w:r>
                      <w:r w:rsidRPr="00C82AA5">
                        <w:rPr>
                          <w:rFonts w:ascii="Arial" w:hAnsi="Arial"/>
                          <w:b/>
                          <w:color w:val="00FF80"/>
                          <w:sz w:val="32"/>
                        </w:rPr>
                        <w:t>45</w:t>
                      </w:r>
                      <w:r w:rsidRPr="0038139E">
                        <w:rPr>
                          <w:rFonts w:ascii="Arial" w:hAnsi="Arial"/>
                          <w:b/>
                          <w:color w:val="00FF80"/>
                          <w:sz w:val="32"/>
                        </w:rPr>
                        <w:t>%</w:t>
                      </w:r>
                      <w:r>
                        <w:rPr>
                          <w:rFonts w:ascii="Arial" w:hAnsi="Arial"/>
                          <w:b/>
                        </w:rPr>
                        <w:t xml:space="preserve"> des hommes</w:t>
                      </w:r>
                    </w:p>
                    <w:p w:rsidR="007B1397" w:rsidRDefault="007B1397" w:rsidP="008D4F0F">
                      <w:pPr>
                        <w:jc w:val="center"/>
                        <w:rPr>
                          <w:rFonts w:ascii="Arial" w:hAnsi="Arial"/>
                          <w:b/>
                        </w:rPr>
                      </w:pPr>
                    </w:p>
                    <w:p w:rsidR="007B1397" w:rsidRDefault="007B1397" w:rsidP="008D4F0F">
                      <w:pPr>
                        <w:jc w:val="center"/>
                        <w:rPr>
                          <w:rFonts w:ascii="Arial" w:hAnsi="Arial"/>
                          <w:b/>
                        </w:rPr>
                      </w:pPr>
                      <w:r>
                        <w:rPr>
                          <w:rFonts w:ascii="Arial" w:hAnsi="Arial"/>
                          <w:b/>
                          <w:color w:val="00FF80"/>
                          <w:sz w:val="32"/>
                        </w:rPr>
                        <w:t>38</w:t>
                      </w:r>
                      <w:r w:rsidRPr="00765178">
                        <w:rPr>
                          <w:rFonts w:ascii="Arial" w:hAnsi="Arial"/>
                          <w:b/>
                          <w:color w:val="00FF80"/>
                          <w:sz w:val="32"/>
                        </w:rPr>
                        <w:t>%</w:t>
                      </w:r>
                      <w:r>
                        <w:rPr>
                          <w:rFonts w:ascii="Arial" w:hAnsi="Arial"/>
                          <w:color w:val="00FF80"/>
                          <w:sz w:val="32"/>
                        </w:rPr>
                        <w:t xml:space="preserve"> </w:t>
                      </w:r>
                      <w:r>
                        <w:rPr>
                          <w:rFonts w:ascii="Arial" w:hAnsi="Arial"/>
                          <w:b/>
                        </w:rPr>
                        <w:t>des directeurs régionaux</w:t>
                      </w:r>
                      <w:r w:rsidRPr="00765178">
                        <w:rPr>
                          <w:rFonts w:ascii="Arial" w:hAnsi="Arial"/>
                          <w:b/>
                        </w:rPr>
                        <w:t xml:space="preserve"> des affaires culturelles sont des femmes</w:t>
                      </w:r>
                    </w:p>
                    <w:p w:rsidR="007B1397" w:rsidRDefault="007B1397" w:rsidP="008D4F0F">
                      <w:pPr>
                        <w:jc w:val="center"/>
                        <w:rPr>
                          <w:rFonts w:ascii="Arial" w:hAnsi="Arial"/>
                          <w:b/>
                        </w:rPr>
                      </w:pPr>
                    </w:p>
                    <w:p w:rsidR="007B1397" w:rsidRPr="00BC581D" w:rsidRDefault="007B1397" w:rsidP="008D4F0F">
                      <w:pPr>
                        <w:jc w:val="center"/>
                        <w:rPr>
                          <w:rFonts w:ascii="Arial" w:hAnsi="Arial"/>
                          <w:color w:val="00FF80"/>
                          <w:sz w:val="32"/>
                        </w:rPr>
                      </w:pPr>
                      <w:r>
                        <w:rPr>
                          <w:rFonts w:ascii="Arial" w:hAnsi="Arial"/>
                          <w:b/>
                          <w:color w:val="00FF80"/>
                          <w:sz w:val="32"/>
                        </w:rPr>
                        <w:t>52</w:t>
                      </w:r>
                      <w:r w:rsidRPr="00765178">
                        <w:rPr>
                          <w:rFonts w:ascii="Arial" w:hAnsi="Arial"/>
                          <w:b/>
                          <w:color w:val="00FF80"/>
                          <w:sz w:val="32"/>
                        </w:rPr>
                        <w:t>%</w:t>
                      </w:r>
                      <w:r>
                        <w:rPr>
                          <w:rFonts w:ascii="Arial" w:hAnsi="Arial"/>
                          <w:b/>
                        </w:rPr>
                        <w:t xml:space="preserve"> des postes d’encadrement d’administration centrale sont tenus par des femmes</w:t>
                      </w:r>
                    </w:p>
                  </w:txbxContent>
                </v:textbox>
                <w10:wrap type="tight"/>
              </v:rect>
            </w:pict>
          </mc:Fallback>
        </mc:AlternateContent>
      </w: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Default="008D4F0F" w:rsidP="008D4F0F">
      <w:pPr>
        <w:tabs>
          <w:tab w:val="left" w:pos="1220"/>
        </w:tabs>
        <w:rPr>
          <w:rFonts w:ascii="BlairMdITC TT-Medium" w:hAnsi="BlairMdITC TT-Medium"/>
          <w:b/>
          <w:color w:val="0080FF"/>
          <w:sz w:val="48"/>
        </w:rPr>
      </w:pPr>
    </w:p>
    <w:p w:rsidR="008D4F0F" w:rsidRPr="00330031" w:rsidRDefault="008D4F0F" w:rsidP="008D4F0F">
      <w:pPr>
        <w:rPr>
          <w:rFonts w:ascii="BlairMdITC TT-Medium" w:hAnsi="BlairMdITC TT-Medium"/>
          <w:sz w:val="48"/>
        </w:rPr>
      </w:pPr>
    </w:p>
    <w:p w:rsidR="008D4F0F" w:rsidRPr="00330031" w:rsidRDefault="008D4F0F" w:rsidP="008D4F0F">
      <w:pPr>
        <w:rPr>
          <w:rFonts w:ascii="BlairMdITC TT-Medium" w:hAnsi="BlairMdITC TT-Medium"/>
          <w:sz w:val="48"/>
        </w:rPr>
      </w:pPr>
    </w:p>
    <w:p w:rsidR="008D4F0F" w:rsidRPr="00330031" w:rsidRDefault="008D4F0F" w:rsidP="008D4F0F">
      <w:pPr>
        <w:rPr>
          <w:rFonts w:ascii="BlairMdITC TT-Medium" w:hAnsi="BlairMdITC TT-Medium"/>
          <w:sz w:val="48"/>
        </w:rPr>
      </w:pPr>
    </w:p>
    <w:p w:rsidR="008D4F0F" w:rsidRPr="00330031" w:rsidRDefault="008D4F0F" w:rsidP="008D4F0F">
      <w:pPr>
        <w:rPr>
          <w:rFonts w:ascii="BlairMdITC TT-Medium" w:hAnsi="BlairMdITC TT-Medium"/>
          <w:sz w:val="48"/>
        </w:rPr>
      </w:pPr>
    </w:p>
    <w:p w:rsidR="008D4F0F" w:rsidRDefault="008D4F0F" w:rsidP="008D4F0F">
      <w:pPr>
        <w:spacing w:after="160" w:line="259" w:lineRule="auto"/>
        <w:rPr>
          <w:rFonts w:ascii="BlairMdITC TT-Medium" w:hAnsi="BlairMdITC TT-Medium"/>
          <w:sz w:val="48"/>
        </w:rPr>
      </w:pPr>
      <w:r>
        <w:rPr>
          <w:rFonts w:ascii="BlairMdITC TT-Medium" w:hAnsi="BlairMdITC TT-Medium"/>
          <w:sz w:val="48"/>
        </w:rPr>
        <w:br w:type="page"/>
      </w:r>
    </w:p>
    <w:p w:rsidR="008D4F0F" w:rsidRDefault="008D4F0F" w:rsidP="008D4F0F">
      <w:pPr>
        <w:jc w:val="center"/>
        <w:rPr>
          <w:rFonts w:ascii="BlairMdITC TT-Medium" w:hAnsi="BlairMdITC TT-Medium"/>
          <w:sz w:val="48"/>
        </w:rPr>
      </w:pPr>
    </w:p>
    <w:p w:rsidR="008D4F0F" w:rsidRPr="007A4B95" w:rsidRDefault="008D4F0F" w:rsidP="008D4F0F">
      <w:pPr>
        <w:tabs>
          <w:tab w:val="left" w:pos="1220"/>
        </w:tabs>
        <w:rPr>
          <w:rFonts w:ascii="Florencesans Exp" w:hAnsi="Florencesans Exp"/>
          <w:b/>
          <w:color w:val="00FF80"/>
          <w:sz w:val="28"/>
        </w:rPr>
      </w:pPr>
      <w:r w:rsidRPr="007A4B95">
        <w:rPr>
          <w:rFonts w:ascii="Florencesans Exp" w:hAnsi="Florencesans Exp"/>
          <w:b/>
          <w:color w:val="00FF80"/>
          <w:sz w:val="28"/>
        </w:rPr>
        <w:t>3. A. ETAT DE LA DEMOGRAPHIE (DONNEES T2)</w:t>
      </w:r>
    </w:p>
    <w:p w:rsidR="008D4F0F" w:rsidRPr="004D74EE" w:rsidRDefault="008D4F0F" w:rsidP="008D4F0F">
      <w:pPr>
        <w:widowControl w:val="0"/>
        <w:autoSpaceDE w:val="0"/>
        <w:autoSpaceDN w:val="0"/>
        <w:adjustRightInd w:val="0"/>
        <w:jc w:val="both"/>
        <w:rPr>
          <w:rFonts w:cs="Times"/>
          <w:sz w:val="32"/>
        </w:rPr>
      </w:pPr>
    </w:p>
    <w:p w:rsidR="008D4F0F" w:rsidRPr="004D74EE" w:rsidRDefault="008D4F0F" w:rsidP="008D4F0F">
      <w:pPr>
        <w:widowControl w:val="0"/>
        <w:autoSpaceDE w:val="0"/>
        <w:autoSpaceDN w:val="0"/>
        <w:adjustRightInd w:val="0"/>
        <w:rPr>
          <w:rFonts w:ascii="BlairMdITC TT-Medium" w:hAnsi="BlairMdITC TT-Medium"/>
        </w:rPr>
      </w:pPr>
      <w:r>
        <w:rPr>
          <w:rFonts w:ascii="BlairMdITC TT-Medium" w:hAnsi="BlairMdITC TT-Medium"/>
        </w:rPr>
        <w:t xml:space="preserve">3. A. 1. </w:t>
      </w:r>
      <w:r w:rsidRPr="004D74EE">
        <w:rPr>
          <w:rFonts w:ascii="BlairMdITC TT-Medium" w:hAnsi="BlairMdITC TT-Medium"/>
        </w:rPr>
        <w:t>PROPORTION HOMMES/FEMMES PAR FILIERE ET CATEGORIE</w:t>
      </w:r>
    </w:p>
    <w:p w:rsidR="008D4F0F" w:rsidRDefault="008D4F0F" w:rsidP="008D4F0F">
      <w:pPr>
        <w:widowControl w:val="0"/>
        <w:autoSpaceDE w:val="0"/>
        <w:autoSpaceDN w:val="0"/>
        <w:adjustRightInd w:val="0"/>
        <w:rPr>
          <w:rFonts w:cs="Times New Roman"/>
          <w:sz w:val="22"/>
        </w:rPr>
      </w:pPr>
      <w:r>
        <w:rPr>
          <w:noProof/>
          <w:lang w:eastAsia="fr-FR"/>
        </w:rPr>
        <w:drawing>
          <wp:anchor distT="0" distB="0" distL="114300" distR="114300" simplePos="0" relativeHeight="251791360" behindDoc="0" locked="0" layoutInCell="1" allowOverlap="1" wp14:anchorId="6B150D3A" wp14:editId="21A94A6E">
            <wp:simplePos x="0" y="0"/>
            <wp:positionH relativeFrom="column">
              <wp:posOffset>556260</wp:posOffset>
            </wp:positionH>
            <wp:positionV relativeFrom="paragraph">
              <wp:posOffset>171450</wp:posOffset>
            </wp:positionV>
            <wp:extent cx="4641850" cy="2032000"/>
            <wp:effectExtent l="0" t="0" r="6350" b="6350"/>
            <wp:wrapTopAndBottom/>
            <wp:docPr id="125" name="Graphique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margin">
              <wp14:pctWidth>0</wp14:pctWidth>
            </wp14:sizeRelH>
            <wp14:sizeRelV relativeFrom="margin">
              <wp14:pctHeight>0</wp14:pctHeight>
            </wp14:sizeRelV>
          </wp:anchor>
        </w:drawing>
      </w:r>
    </w:p>
    <w:p w:rsidR="008D4F0F" w:rsidRDefault="008D4F0F" w:rsidP="008D4F0F">
      <w:pPr>
        <w:widowControl w:val="0"/>
        <w:autoSpaceDE w:val="0"/>
        <w:autoSpaceDN w:val="0"/>
        <w:adjustRightInd w:val="0"/>
        <w:jc w:val="center"/>
        <w:rPr>
          <w:rFonts w:cs="Times New Roman"/>
          <w:sz w:val="22"/>
        </w:rPr>
      </w:pPr>
    </w:p>
    <w:p w:rsidR="008D4F0F" w:rsidRPr="00CB5F30" w:rsidRDefault="008D4F0F" w:rsidP="008D4F0F">
      <w:pPr>
        <w:widowControl w:val="0"/>
        <w:autoSpaceDE w:val="0"/>
        <w:autoSpaceDN w:val="0"/>
        <w:adjustRightInd w:val="0"/>
        <w:jc w:val="both"/>
        <w:rPr>
          <w:rFonts w:ascii="Arial" w:hAnsi="Arial" w:cs="Times New Roman"/>
          <w:sz w:val="22"/>
        </w:rPr>
      </w:pPr>
    </w:p>
    <w:p w:rsidR="008D4F0F" w:rsidRPr="00865FE0" w:rsidRDefault="008D4F0F" w:rsidP="008D4F0F">
      <w:pPr>
        <w:widowControl w:val="0"/>
        <w:autoSpaceDE w:val="0"/>
        <w:autoSpaceDN w:val="0"/>
        <w:adjustRightInd w:val="0"/>
        <w:rPr>
          <w:rFonts w:cs="Times New Roman"/>
          <w:sz w:val="22"/>
        </w:rPr>
      </w:pPr>
      <w:r w:rsidRPr="00645896">
        <w:rPr>
          <w:noProof/>
          <w:lang w:eastAsia="fr-FR"/>
        </w:rPr>
        <w:drawing>
          <wp:anchor distT="0" distB="0" distL="114300" distR="114300" simplePos="0" relativeHeight="251792384" behindDoc="1" locked="0" layoutInCell="1" allowOverlap="1" wp14:anchorId="76992836" wp14:editId="6CA8A00B">
            <wp:simplePos x="0" y="0"/>
            <wp:positionH relativeFrom="margin">
              <wp:align>center</wp:align>
            </wp:positionH>
            <wp:positionV relativeFrom="paragraph">
              <wp:posOffset>238125</wp:posOffset>
            </wp:positionV>
            <wp:extent cx="7019925" cy="1333500"/>
            <wp:effectExtent l="0" t="0" r="9525" b="0"/>
            <wp:wrapTopAndBottom/>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701992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4F0F" w:rsidRDefault="008D4F0F" w:rsidP="008D4F0F">
      <w:pPr>
        <w:widowControl w:val="0"/>
        <w:autoSpaceDE w:val="0"/>
        <w:autoSpaceDN w:val="0"/>
        <w:adjustRightInd w:val="0"/>
        <w:rPr>
          <w:rFonts w:cs="Times New Roman"/>
          <w:sz w:val="22"/>
        </w:rPr>
      </w:pPr>
    </w:p>
    <w:p w:rsidR="008D4F0F" w:rsidRPr="00865FE0" w:rsidRDefault="008D4F0F" w:rsidP="008D4F0F">
      <w:pPr>
        <w:widowControl w:val="0"/>
        <w:autoSpaceDE w:val="0"/>
        <w:autoSpaceDN w:val="0"/>
        <w:adjustRightInd w:val="0"/>
        <w:rPr>
          <w:rFonts w:cs="Times New Roman"/>
          <w:sz w:val="22"/>
        </w:rPr>
      </w:pPr>
    </w:p>
    <w:tbl>
      <w:tblPr>
        <w:tblW w:w="7640" w:type="dxa"/>
        <w:jc w:val="center"/>
        <w:tblCellMar>
          <w:left w:w="70" w:type="dxa"/>
          <w:right w:w="70" w:type="dxa"/>
        </w:tblCellMar>
        <w:tblLook w:val="04A0" w:firstRow="1" w:lastRow="0" w:firstColumn="1" w:lastColumn="0" w:noHBand="0" w:noVBand="1"/>
      </w:tblPr>
      <w:tblGrid>
        <w:gridCol w:w="3440"/>
        <w:gridCol w:w="196"/>
        <w:gridCol w:w="1700"/>
        <w:gridCol w:w="240"/>
        <w:gridCol w:w="985"/>
        <w:gridCol w:w="240"/>
        <w:gridCol w:w="952"/>
      </w:tblGrid>
      <w:tr w:rsidR="008D4F0F" w:rsidRPr="00A623ED" w:rsidTr="00B75970">
        <w:trPr>
          <w:trHeight w:val="1005"/>
          <w:jc w:val="center"/>
        </w:trPr>
        <w:tc>
          <w:tcPr>
            <w:tcW w:w="3440" w:type="dxa"/>
            <w:tcBorders>
              <w:top w:val="nil"/>
              <w:left w:val="nil"/>
              <w:bottom w:val="nil"/>
              <w:right w:val="nil"/>
            </w:tcBorders>
            <w:shd w:val="clear" w:color="auto" w:fill="auto"/>
            <w:noWrap/>
            <w:vAlign w:val="bottom"/>
            <w:hideMark/>
          </w:tcPr>
          <w:p w:rsidR="008D4F0F" w:rsidRPr="00A623ED" w:rsidRDefault="008D4F0F" w:rsidP="00B75970">
            <w:pPr>
              <w:rPr>
                <w:rFonts w:ascii="Times New Roman" w:eastAsia="Times New Roman" w:hAnsi="Times New Roman" w:cs="Times New Roman"/>
                <w:sz w:val="20"/>
                <w:szCs w:val="20"/>
                <w:lang w:eastAsia="fr-FR"/>
              </w:rPr>
            </w:pP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A623ED" w:rsidRDefault="008D4F0F" w:rsidP="00B75970">
            <w:pPr>
              <w:jc w:val="cente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Part de la catégorie dans l'effectif total</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b/>
                <w:bCs/>
                <w:color w:val="FFFFFF"/>
                <w:sz w:val="20"/>
                <w:szCs w:val="20"/>
                <w:lang w:eastAsia="fr-FR"/>
              </w:rPr>
            </w:pPr>
          </w:p>
        </w:tc>
        <w:tc>
          <w:tcPr>
            <w:tcW w:w="920" w:type="dxa"/>
            <w:tcBorders>
              <w:top w:val="single" w:sz="4" w:space="0" w:color="808080"/>
              <w:left w:val="single" w:sz="4" w:space="0" w:color="808080"/>
              <w:bottom w:val="single" w:sz="4" w:space="0" w:color="808080"/>
              <w:right w:val="single" w:sz="4" w:space="0" w:color="808080"/>
            </w:tcBorders>
            <w:shd w:val="clear" w:color="000000" w:fill="00FF00"/>
            <w:noWrap/>
            <w:vAlign w:val="center"/>
            <w:hideMark/>
          </w:tcPr>
          <w:p w:rsidR="008D4F0F" w:rsidRPr="00A623ED" w:rsidRDefault="008D4F0F" w:rsidP="00B75970">
            <w:pPr>
              <w:jc w:val="cente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Hommes</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b/>
                <w:bCs/>
                <w:color w:val="FFFFFF"/>
                <w:sz w:val="20"/>
                <w:szCs w:val="20"/>
                <w:lang w:eastAsia="fr-FR"/>
              </w:rPr>
            </w:pPr>
          </w:p>
        </w:tc>
        <w:tc>
          <w:tcPr>
            <w:tcW w:w="920" w:type="dxa"/>
            <w:tcBorders>
              <w:top w:val="single" w:sz="4" w:space="0" w:color="808080"/>
              <w:left w:val="single" w:sz="4" w:space="0" w:color="808080"/>
              <w:bottom w:val="single" w:sz="4" w:space="0" w:color="808080"/>
              <w:right w:val="single" w:sz="4" w:space="0" w:color="808080"/>
            </w:tcBorders>
            <w:shd w:val="clear" w:color="000000" w:fill="00FF00"/>
            <w:noWrap/>
            <w:vAlign w:val="center"/>
            <w:hideMark/>
          </w:tcPr>
          <w:p w:rsidR="008D4F0F" w:rsidRPr="00A623ED" w:rsidRDefault="008D4F0F" w:rsidP="00B75970">
            <w:pPr>
              <w:jc w:val="cente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Femmes</w:t>
            </w:r>
          </w:p>
        </w:tc>
      </w:tr>
      <w:tr w:rsidR="008D4F0F" w:rsidRPr="00A623ED" w:rsidTr="00B75970">
        <w:trPr>
          <w:trHeight w:val="270"/>
          <w:jc w:val="center"/>
        </w:trPr>
        <w:tc>
          <w:tcPr>
            <w:tcW w:w="3440" w:type="dxa"/>
            <w:tcBorders>
              <w:top w:val="single" w:sz="4" w:space="0" w:color="808080"/>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Catégorie A +</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4%</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6%</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3%</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Catégorie A</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40%</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42%</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38%</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Catégorie B</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19%</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17%</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22%</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Catégorie C</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36%</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35%</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38%</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99FFCC"/>
            <w:noWrap/>
            <w:vAlign w:val="bottom"/>
            <w:hideMark/>
          </w:tcPr>
          <w:p w:rsidR="008D4F0F" w:rsidRPr="00A623ED" w:rsidRDefault="008D4F0F" w:rsidP="00B75970">
            <w:pPr>
              <w:rPr>
                <w:rFonts w:ascii="Arial" w:eastAsia="Times New Roman" w:hAnsi="Arial" w:cs="Arial"/>
                <w:b/>
                <w:bCs/>
                <w:color w:val="808080"/>
                <w:sz w:val="20"/>
                <w:szCs w:val="20"/>
                <w:lang w:eastAsia="fr-FR"/>
              </w:rPr>
            </w:pPr>
            <w:r w:rsidRPr="00A623ED">
              <w:rPr>
                <w:rFonts w:ascii="Arial" w:eastAsia="Times New Roman" w:hAnsi="Arial" w:cs="Arial"/>
                <w:b/>
                <w:bCs/>
                <w:color w:val="808080"/>
                <w:sz w:val="20"/>
                <w:szCs w:val="20"/>
                <w:lang w:eastAsia="fr-FR"/>
              </w:rPr>
              <w:t>Total</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000000" w:fill="99FFCC"/>
            <w:noWrap/>
            <w:vAlign w:val="bottom"/>
            <w:hideMark/>
          </w:tcPr>
          <w:p w:rsidR="008D4F0F" w:rsidRPr="00A623ED" w:rsidRDefault="008D4F0F" w:rsidP="00B75970">
            <w:pPr>
              <w:jc w:val="center"/>
              <w:rPr>
                <w:rFonts w:ascii="Arial" w:eastAsia="Times New Roman" w:hAnsi="Arial" w:cs="Arial"/>
                <w:b/>
                <w:bCs/>
                <w:color w:val="808080"/>
                <w:sz w:val="20"/>
                <w:szCs w:val="20"/>
                <w:lang w:eastAsia="fr-FR"/>
              </w:rPr>
            </w:pPr>
            <w:r w:rsidRPr="00A623ED">
              <w:rPr>
                <w:rFonts w:ascii="Arial" w:eastAsia="Times New Roman" w:hAnsi="Arial" w:cs="Arial"/>
                <w:b/>
                <w:bCs/>
                <w:color w:val="808080"/>
                <w:sz w:val="20"/>
                <w:szCs w:val="20"/>
                <w:lang w:eastAsia="fr-FR"/>
              </w:rPr>
              <w:t>100%</w:t>
            </w:r>
          </w:p>
        </w:tc>
        <w:tc>
          <w:tcPr>
            <w:tcW w:w="240" w:type="dxa"/>
            <w:tcBorders>
              <w:top w:val="nil"/>
              <w:left w:val="nil"/>
              <w:bottom w:val="nil"/>
              <w:right w:val="nil"/>
            </w:tcBorders>
            <w:shd w:val="clear" w:color="000000" w:fill="FFFFFF"/>
            <w:noWrap/>
            <w:vAlign w:val="bottom"/>
            <w:hideMark/>
          </w:tcPr>
          <w:p w:rsidR="008D4F0F" w:rsidRPr="00A623ED" w:rsidRDefault="008D4F0F" w:rsidP="00B75970">
            <w:pPr>
              <w:jc w:val="center"/>
              <w:rPr>
                <w:rFonts w:ascii="Arial" w:eastAsia="Times New Roman" w:hAnsi="Arial" w:cs="Arial"/>
                <w:b/>
                <w:bCs/>
                <w:sz w:val="20"/>
                <w:szCs w:val="20"/>
                <w:lang w:eastAsia="fr-FR"/>
              </w:rPr>
            </w:pPr>
            <w:r w:rsidRPr="00A623ED">
              <w:rPr>
                <w:rFonts w:ascii="Arial" w:eastAsia="Times New Roman" w:hAnsi="Arial" w:cs="Arial"/>
                <w:b/>
                <w:bCs/>
                <w:sz w:val="20"/>
                <w:szCs w:val="20"/>
                <w:lang w:eastAsia="fr-FR"/>
              </w:rPr>
              <w:t> </w:t>
            </w:r>
          </w:p>
        </w:tc>
        <w:tc>
          <w:tcPr>
            <w:tcW w:w="920" w:type="dxa"/>
            <w:tcBorders>
              <w:top w:val="nil"/>
              <w:left w:val="single" w:sz="4" w:space="0" w:color="808080"/>
              <w:bottom w:val="single" w:sz="4" w:space="0" w:color="808080"/>
              <w:right w:val="single" w:sz="4" w:space="0" w:color="808080"/>
            </w:tcBorders>
            <w:shd w:val="clear" w:color="000000" w:fill="99FFCC"/>
            <w:noWrap/>
            <w:vAlign w:val="bottom"/>
            <w:hideMark/>
          </w:tcPr>
          <w:p w:rsidR="008D4F0F" w:rsidRPr="00A623ED" w:rsidRDefault="008D4F0F" w:rsidP="00B75970">
            <w:pPr>
              <w:jc w:val="center"/>
              <w:rPr>
                <w:rFonts w:ascii="Arial" w:eastAsia="Times New Roman" w:hAnsi="Arial" w:cs="Arial"/>
                <w:b/>
                <w:bCs/>
                <w:color w:val="808080"/>
                <w:sz w:val="20"/>
                <w:szCs w:val="20"/>
                <w:lang w:eastAsia="fr-FR"/>
              </w:rPr>
            </w:pPr>
            <w:r w:rsidRPr="00A623ED">
              <w:rPr>
                <w:rFonts w:ascii="Arial" w:eastAsia="Times New Roman" w:hAnsi="Arial" w:cs="Arial"/>
                <w:b/>
                <w:bCs/>
                <w:color w:val="808080"/>
                <w:sz w:val="20"/>
                <w:szCs w:val="20"/>
                <w:lang w:eastAsia="fr-FR"/>
              </w:rPr>
              <w:t>47%</w:t>
            </w:r>
          </w:p>
        </w:tc>
        <w:tc>
          <w:tcPr>
            <w:tcW w:w="240" w:type="dxa"/>
            <w:tcBorders>
              <w:top w:val="nil"/>
              <w:left w:val="nil"/>
              <w:bottom w:val="nil"/>
              <w:right w:val="nil"/>
            </w:tcBorders>
            <w:shd w:val="clear" w:color="000000" w:fill="FFFFFF"/>
            <w:noWrap/>
            <w:vAlign w:val="bottom"/>
            <w:hideMark/>
          </w:tcPr>
          <w:p w:rsidR="008D4F0F" w:rsidRPr="00A623ED" w:rsidRDefault="008D4F0F" w:rsidP="00B75970">
            <w:pPr>
              <w:jc w:val="center"/>
              <w:rPr>
                <w:rFonts w:ascii="Arial" w:eastAsia="Times New Roman" w:hAnsi="Arial" w:cs="Arial"/>
                <w:b/>
                <w:bCs/>
                <w:sz w:val="20"/>
                <w:szCs w:val="20"/>
                <w:lang w:eastAsia="fr-FR"/>
              </w:rPr>
            </w:pPr>
            <w:r w:rsidRPr="00A623ED">
              <w:rPr>
                <w:rFonts w:ascii="Arial" w:eastAsia="Times New Roman" w:hAnsi="Arial" w:cs="Arial"/>
                <w:b/>
                <w:bCs/>
                <w:sz w:val="20"/>
                <w:szCs w:val="20"/>
                <w:lang w:eastAsia="fr-FR"/>
              </w:rPr>
              <w:t> </w:t>
            </w:r>
          </w:p>
        </w:tc>
        <w:tc>
          <w:tcPr>
            <w:tcW w:w="920" w:type="dxa"/>
            <w:tcBorders>
              <w:top w:val="nil"/>
              <w:left w:val="single" w:sz="4" w:space="0" w:color="808080"/>
              <w:bottom w:val="single" w:sz="4" w:space="0" w:color="808080"/>
              <w:right w:val="single" w:sz="4" w:space="0" w:color="808080"/>
            </w:tcBorders>
            <w:shd w:val="clear" w:color="000000" w:fill="99FFCC"/>
            <w:noWrap/>
            <w:vAlign w:val="bottom"/>
            <w:hideMark/>
          </w:tcPr>
          <w:p w:rsidR="008D4F0F" w:rsidRPr="00A623ED" w:rsidRDefault="008D4F0F" w:rsidP="00B75970">
            <w:pPr>
              <w:jc w:val="center"/>
              <w:rPr>
                <w:rFonts w:ascii="Arial" w:eastAsia="Times New Roman" w:hAnsi="Arial" w:cs="Arial"/>
                <w:b/>
                <w:bCs/>
                <w:color w:val="808080"/>
                <w:sz w:val="20"/>
                <w:szCs w:val="20"/>
                <w:lang w:eastAsia="fr-FR"/>
              </w:rPr>
            </w:pPr>
            <w:r w:rsidRPr="00A623ED">
              <w:rPr>
                <w:rFonts w:ascii="Arial" w:eastAsia="Times New Roman" w:hAnsi="Arial" w:cs="Arial"/>
                <w:b/>
                <w:bCs/>
                <w:color w:val="808080"/>
                <w:sz w:val="20"/>
                <w:szCs w:val="20"/>
                <w:lang w:eastAsia="fr-FR"/>
              </w:rPr>
              <w:t>53%</w:t>
            </w:r>
          </w:p>
        </w:tc>
      </w:tr>
      <w:tr w:rsidR="008D4F0F" w:rsidRPr="00A623ED" w:rsidTr="00B75970">
        <w:trPr>
          <w:trHeight w:val="270"/>
          <w:jc w:val="center"/>
        </w:trPr>
        <w:tc>
          <w:tcPr>
            <w:tcW w:w="344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24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92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24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92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r>
      <w:tr w:rsidR="008D4F0F" w:rsidRPr="00A623ED" w:rsidTr="00B75970">
        <w:trPr>
          <w:trHeight w:val="270"/>
          <w:jc w:val="center"/>
        </w:trPr>
        <w:tc>
          <w:tcPr>
            <w:tcW w:w="344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24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92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24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92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r>
      <w:tr w:rsidR="008D4F0F" w:rsidRPr="00A623ED" w:rsidTr="00B75970">
        <w:trPr>
          <w:trHeight w:val="1005"/>
          <w:jc w:val="center"/>
        </w:trPr>
        <w:tc>
          <w:tcPr>
            <w:tcW w:w="3440" w:type="dxa"/>
            <w:tcBorders>
              <w:top w:val="nil"/>
              <w:left w:val="nil"/>
              <w:bottom w:val="nil"/>
              <w:right w:val="nil"/>
            </w:tcBorders>
            <w:shd w:val="clear" w:color="auto" w:fill="auto"/>
            <w:noWrap/>
            <w:vAlign w:val="bottom"/>
            <w:hideMark/>
          </w:tcPr>
          <w:p w:rsidR="008D4F0F" w:rsidRPr="00A623ED" w:rsidRDefault="008D4F0F" w:rsidP="00B75970">
            <w:pPr>
              <w:rPr>
                <w:rFonts w:ascii="Arial" w:eastAsia="Times New Roman" w:hAnsi="Arial" w:cs="Arial"/>
                <w:sz w:val="20"/>
                <w:szCs w:val="20"/>
                <w:lang w:eastAsia="fr-FR"/>
              </w:rPr>
            </w:pP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A623ED" w:rsidRDefault="008D4F0F" w:rsidP="00B75970">
            <w:pPr>
              <w:jc w:val="cente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Part de la filière dans l'effectif total</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b/>
                <w:bCs/>
                <w:color w:val="FFFFFF"/>
                <w:sz w:val="20"/>
                <w:szCs w:val="20"/>
                <w:lang w:eastAsia="fr-FR"/>
              </w:rPr>
            </w:pPr>
          </w:p>
        </w:tc>
        <w:tc>
          <w:tcPr>
            <w:tcW w:w="920" w:type="dxa"/>
            <w:tcBorders>
              <w:top w:val="single" w:sz="4" w:space="0" w:color="808080"/>
              <w:left w:val="single" w:sz="4" w:space="0" w:color="808080"/>
              <w:bottom w:val="single" w:sz="4" w:space="0" w:color="808080"/>
              <w:right w:val="single" w:sz="4" w:space="0" w:color="808080"/>
            </w:tcBorders>
            <w:shd w:val="clear" w:color="000000" w:fill="00FF00"/>
            <w:noWrap/>
            <w:vAlign w:val="center"/>
            <w:hideMark/>
          </w:tcPr>
          <w:p w:rsidR="008D4F0F" w:rsidRPr="00A623ED" w:rsidRDefault="008D4F0F" w:rsidP="00B75970">
            <w:pPr>
              <w:jc w:val="cente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Hommes</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b/>
                <w:bCs/>
                <w:color w:val="FFFFFF"/>
                <w:sz w:val="20"/>
                <w:szCs w:val="20"/>
                <w:lang w:eastAsia="fr-FR"/>
              </w:rPr>
            </w:pPr>
          </w:p>
        </w:tc>
        <w:tc>
          <w:tcPr>
            <w:tcW w:w="920" w:type="dxa"/>
            <w:tcBorders>
              <w:top w:val="single" w:sz="4" w:space="0" w:color="808080"/>
              <w:left w:val="single" w:sz="4" w:space="0" w:color="808080"/>
              <w:bottom w:val="single" w:sz="4" w:space="0" w:color="808080"/>
              <w:right w:val="single" w:sz="4" w:space="0" w:color="808080"/>
            </w:tcBorders>
            <w:shd w:val="clear" w:color="000000" w:fill="00FF00"/>
            <w:noWrap/>
            <w:vAlign w:val="center"/>
            <w:hideMark/>
          </w:tcPr>
          <w:p w:rsidR="008D4F0F" w:rsidRPr="00A623ED" w:rsidRDefault="008D4F0F" w:rsidP="00B75970">
            <w:pPr>
              <w:jc w:val="cente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Femmes</w:t>
            </w:r>
          </w:p>
        </w:tc>
      </w:tr>
      <w:tr w:rsidR="008D4F0F" w:rsidRPr="00A623ED" w:rsidTr="00B75970">
        <w:trPr>
          <w:trHeight w:val="270"/>
          <w:jc w:val="center"/>
        </w:trPr>
        <w:tc>
          <w:tcPr>
            <w:tcW w:w="3440" w:type="dxa"/>
            <w:tcBorders>
              <w:top w:val="single" w:sz="4" w:space="0" w:color="808080"/>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Filère administrative</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28%</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25%</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75%</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Filière scientifique</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20%</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41%</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59%</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Filère technique et enseignement</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23%</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68%</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32%</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Filière acc surv mag</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17%</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61%</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39%</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BFBFBF"/>
            <w:noWrap/>
            <w:vAlign w:val="bottom"/>
            <w:hideMark/>
          </w:tcPr>
          <w:p w:rsidR="008D4F0F" w:rsidRPr="00A623ED" w:rsidRDefault="008D4F0F" w:rsidP="00B75970">
            <w:pPr>
              <w:rPr>
                <w:rFonts w:ascii="Arial" w:eastAsia="Times New Roman" w:hAnsi="Arial" w:cs="Arial"/>
                <w:b/>
                <w:bCs/>
                <w:color w:val="FFFFFF"/>
                <w:sz w:val="20"/>
                <w:szCs w:val="20"/>
                <w:lang w:eastAsia="fr-FR"/>
              </w:rPr>
            </w:pPr>
            <w:r w:rsidRPr="00A623ED">
              <w:rPr>
                <w:rFonts w:ascii="Arial" w:eastAsia="Times New Roman" w:hAnsi="Arial" w:cs="Arial"/>
                <w:b/>
                <w:bCs/>
                <w:color w:val="FFFFFF"/>
                <w:sz w:val="20"/>
                <w:szCs w:val="20"/>
                <w:lang w:eastAsia="fr-FR"/>
              </w:rPr>
              <w:t>Agents non titulaires</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13%</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47%</w:t>
            </w:r>
          </w:p>
        </w:tc>
        <w:tc>
          <w:tcPr>
            <w:tcW w:w="240" w:type="dxa"/>
            <w:tcBorders>
              <w:top w:val="nil"/>
              <w:left w:val="nil"/>
              <w:bottom w:val="nil"/>
              <w:right w:val="nil"/>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p>
        </w:tc>
        <w:tc>
          <w:tcPr>
            <w:tcW w:w="920" w:type="dxa"/>
            <w:tcBorders>
              <w:top w:val="nil"/>
              <w:left w:val="single" w:sz="4" w:space="0" w:color="808080"/>
              <w:bottom w:val="single" w:sz="4" w:space="0" w:color="808080"/>
              <w:right w:val="single" w:sz="4" w:space="0" w:color="808080"/>
            </w:tcBorders>
            <w:shd w:val="clear" w:color="auto" w:fill="auto"/>
            <w:noWrap/>
            <w:vAlign w:val="bottom"/>
            <w:hideMark/>
          </w:tcPr>
          <w:p w:rsidR="008D4F0F" w:rsidRPr="00A623ED" w:rsidRDefault="008D4F0F" w:rsidP="00B75970">
            <w:pPr>
              <w:jc w:val="center"/>
              <w:rPr>
                <w:rFonts w:ascii="Arial" w:eastAsia="Times New Roman" w:hAnsi="Arial" w:cs="Arial"/>
                <w:sz w:val="20"/>
                <w:szCs w:val="20"/>
                <w:lang w:eastAsia="fr-FR"/>
              </w:rPr>
            </w:pPr>
            <w:r w:rsidRPr="00A623ED">
              <w:rPr>
                <w:rFonts w:ascii="Arial" w:eastAsia="Times New Roman" w:hAnsi="Arial" w:cs="Arial"/>
                <w:sz w:val="20"/>
                <w:szCs w:val="20"/>
                <w:lang w:eastAsia="fr-FR"/>
              </w:rPr>
              <w:t>53%</w:t>
            </w:r>
          </w:p>
        </w:tc>
      </w:tr>
      <w:tr w:rsidR="008D4F0F" w:rsidRPr="00A623ED" w:rsidTr="00B75970">
        <w:trPr>
          <w:trHeight w:val="270"/>
          <w:jc w:val="center"/>
        </w:trPr>
        <w:tc>
          <w:tcPr>
            <w:tcW w:w="3440" w:type="dxa"/>
            <w:tcBorders>
              <w:top w:val="nil"/>
              <w:left w:val="single" w:sz="4" w:space="0" w:color="808080"/>
              <w:bottom w:val="single" w:sz="4" w:space="0" w:color="808080"/>
              <w:right w:val="single" w:sz="4" w:space="0" w:color="808080"/>
            </w:tcBorders>
            <w:shd w:val="clear" w:color="000000" w:fill="99FFCC"/>
            <w:noWrap/>
            <w:vAlign w:val="bottom"/>
            <w:hideMark/>
          </w:tcPr>
          <w:p w:rsidR="008D4F0F" w:rsidRPr="00A623ED" w:rsidRDefault="008D4F0F" w:rsidP="00B75970">
            <w:pPr>
              <w:rPr>
                <w:rFonts w:ascii="Arial" w:eastAsia="Times New Roman" w:hAnsi="Arial" w:cs="Arial"/>
                <w:b/>
                <w:bCs/>
                <w:color w:val="808080"/>
                <w:sz w:val="20"/>
                <w:szCs w:val="20"/>
                <w:lang w:eastAsia="fr-FR"/>
              </w:rPr>
            </w:pPr>
            <w:r w:rsidRPr="00A623ED">
              <w:rPr>
                <w:rFonts w:ascii="Arial" w:eastAsia="Times New Roman" w:hAnsi="Arial" w:cs="Arial"/>
                <w:b/>
                <w:bCs/>
                <w:color w:val="808080"/>
                <w:sz w:val="20"/>
                <w:szCs w:val="20"/>
                <w:lang w:eastAsia="fr-FR"/>
              </w:rPr>
              <w:t>Total</w:t>
            </w:r>
          </w:p>
        </w:tc>
        <w:tc>
          <w:tcPr>
            <w:tcW w:w="180" w:type="dxa"/>
            <w:tcBorders>
              <w:top w:val="nil"/>
              <w:left w:val="nil"/>
              <w:bottom w:val="nil"/>
              <w:right w:val="nil"/>
            </w:tcBorders>
            <w:shd w:val="clear" w:color="000000" w:fill="FFFFFF"/>
            <w:noWrap/>
            <w:vAlign w:val="bottom"/>
            <w:hideMark/>
          </w:tcPr>
          <w:p w:rsidR="008D4F0F" w:rsidRPr="00A623ED" w:rsidRDefault="008D4F0F" w:rsidP="00B75970">
            <w:pPr>
              <w:rPr>
                <w:rFonts w:ascii="Arial" w:eastAsia="Times New Roman" w:hAnsi="Arial" w:cs="Arial"/>
                <w:sz w:val="20"/>
                <w:szCs w:val="20"/>
                <w:lang w:eastAsia="fr-FR"/>
              </w:rPr>
            </w:pPr>
            <w:r w:rsidRPr="00A623ED">
              <w:rPr>
                <w:rFonts w:ascii="Arial" w:eastAsia="Times New Roman" w:hAnsi="Arial" w:cs="Arial"/>
                <w:sz w:val="20"/>
                <w:szCs w:val="20"/>
                <w:lang w:eastAsia="fr-FR"/>
              </w:rPr>
              <w:t> </w:t>
            </w:r>
          </w:p>
        </w:tc>
        <w:tc>
          <w:tcPr>
            <w:tcW w:w="1700" w:type="dxa"/>
            <w:tcBorders>
              <w:top w:val="nil"/>
              <w:left w:val="single" w:sz="4" w:space="0" w:color="808080"/>
              <w:bottom w:val="single" w:sz="4" w:space="0" w:color="808080"/>
              <w:right w:val="single" w:sz="4" w:space="0" w:color="808080"/>
            </w:tcBorders>
            <w:shd w:val="clear" w:color="000000" w:fill="99FFCC"/>
            <w:noWrap/>
            <w:vAlign w:val="bottom"/>
            <w:hideMark/>
          </w:tcPr>
          <w:p w:rsidR="008D4F0F" w:rsidRPr="00A623ED" w:rsidRDefault="008D4F0F" w:rsidP="00B75970">
            <w:pPr>
              <w:jc w:val="center"/>
              <w:rPr>
                <w:rFonts w:ascii="Arial" w:eastAsia="Times New Roman" w:hAnsi="Arial" w:cs="Arial"/>
                <w:b/>
                <w:bCs/>
                <w:color w:val="808080"/>
                <w:sz w:val="20"/>
                <w:szCs w:val="20"/>
                <w:lang w:eastAsia="fr-FR"/>
              </w:rPr>
            </w:pPr>
            <w:r w:rsidRPr="00A623ED">
              <w:rPr>
                <w:rFonts w:ascii="Arial" w:eastAsia="Times New Roman" w:hAnsi="Arial" w:cs="Arial"/>
                <w:b/>
                <w:bCs/>
                <w:color w:val="808080"/>
                <w:sz w:val="20"/>
                <w:szCs w:val="20"/>
                <w:lang w:eastAsia="fr-FR"/>
              </w:rPr>
              <w:t>100%</w:t>
            </w:r>
          </w:p>
        </w:tc>
        <w:tc>
          <w:tcPr>
            <w:tcW w:w="240" w:type="dxa"/>
            <w:tcBorders>
              <w:top w:val="nil"/>
              <w:left w:val="nil"/>
              <w:bottom w:val="nil"/>
              <w:right w:val="nil"/>
            </w:tcBorders>
            <w:shd w:val="clear" w:color="000000" w:fill="FFFFFF"/>
            <w:noWrap/>
            <w:vAlign w:val="bottom"/>
            <w:hideMark/>
          </w:tcPr>
          <w:p w:rsidR="008D4F0F" w:rsidRPr="00A623ED" w:rsidRDefault="008D4F0F" w:rsidP="00B75970">
            <w:pPr>
              <w:jc w:val="center"/>
              <w:rPr>
                <w:rFonts w:ascii="Arial" w:eastAsia="Times New Roman" w:hAnsi="Arial" w:cs="Arial"/>
                <w:b/>
                <w:bCs/>
                <w:sz w:val="20"/>
                <w:szCs w:val="20"/>
                <w:lang w:eastAsia="fr-FR"/>
              </w:rPr>
            </w:pPr>
            <w:r w:rsidRPr="00A623ED">
              <w:rPr>
                <w:rFonts w:ascii="Arial" w:eastAsia="Times New Roman" w:hAnsi="Arial" w:cs="Arial"/>
                <w:b/>
                <w:bCs/>
                <w:sz w:val="20"/>
                <w:szCs w:val="20"/>
                <w:lang w:eastAsia="fr-FR"/>
              </w:rPr>
              <w:t> </w:t>
            </w:r>
          </w:p>
        </w:tc>
        <w:tc>
          <w:tcPr>
            <w:tcW w:w="920" w:type="dxa"/>
            <w:tcBorders>
              <w:top w:val="nil"/>
              <w:left w:val="single" w:sz="4" w:space="0" w:color="808080"/>
              <w:bottom w:val="single" w:sz="4" w:space="0" w:color="808080"/>
              <w:right w:val="single" w:sz="4" w:space="0" w:color="808080"/>
            </w:tcBorders>
            <w:shd w:val="clear" w:color="000000" w:fill="99FFCC"/>
            <w:noWrap/>
            <w:vAlign w:val="bottom"/>
            <w:hideMark/>
          </w:tcPr>
          <w:p w:rsidR="008D4F0F" w:rsidRPr="00A623ED" w:rsidRDefault="008D4F0F" w:rsidP="00B75970">
            <w:pPr>
              <w:jc w:val="center"/>
              <w:rPr>
                <w:rFonts w:ascii="Arial" w:eastAsia="Times New Roman" w:hAnsi="Arial" w:cs="Arial"/>
                <w:b/>
                <w:bCs/>
                <w:color w:val="808080"/>
                <w:sz w:val="20"/>
                <w:szCs w:val="20"/>
                <w:lang w:eastAsia="fr-FR"/>
              </w:rPr>
            </w:pPr>
            <w:r w:rsidRPr="00A623ED">
              <w:rPr>
                <w:rFonts w:ascii="Arial" w:eastAsia="Times New Roman" w:hAnsi="Arial" w:cs="Arial"/>
                <w:b/>
                <w:bCs/>
                <w:color w:val="808080"/>
                <w:sz w:val="20"/>
                <w:szCs w:val="20"/>
                <w:lang w:eastAsia="fr-FR"/>
              </w:rPr>
              <w:t>47%</w:t>
            </w:r>
          </w:p>
        </w:tc>
        <w:tc>
          <w:tcPr>
            <w:tcW w:w="240" w:type="dxa"/>
            <w:tcBorders>
              <w:top w:val="nil"/>
              <w:left w:val="nil"/>
              <w:bottom w:val="nil"/>
              <w:right w:val="nil"/>
            </w:tcBorders>
            <w:shd w:val="clear" w:color="000000" w:fill="FFFFFF"/>
            <w:noWrap/>
            <w:vAlign w:val="bottom"/>
            <w:hideMark/>
          </w:tcPr>
          <w:p w:rsidR="008D4F0F" w:rsidRPr="00A623ED" w:rsidRDefault="008D4F0F" w:rsidP="00B75970">
            <w:pPr>
              <w:jc w:val="center"/>
              <w:rPr>
                <w:rFonts w:ascii="Arial" w:eastAsia="Times New Roman" w:hAnsi="Arial" w:cs="Arial"/>
                <w:b/>
                <w:bCs/>
                <w:sz w:val="20"/>
                <w:szCs w:val="20"/>
                <w:lang w:eastAsia="fr-FR"/>
              </w:rPr>
            </w:pPr>
            <w:r w:rsidRPr="00A623ED">
              <w:rPr>
                <w:rFonts w:ascii="Arial" w:eastAsia="Times New Roman" w:hAnsi="Arial" w:cs="Arial"/>
                <w:b/>
                <w:bCs/>
                <w:sz w:val="20"/>
                <w:szCs w:val="20"/>
                <w:lang w:eastAsia="fr-FR"/>
              </w:rPr>
              <w:t> </w:t>
            </w:r>
          </w:p>
        </w:tc>
        <w:tc>
          <w:tcPr>
            <w:tcW w:w="920" w:type="dxa"/>
            <w:tcBorders>
              <w:top w:val="nil"/>
              <w:left w:val="single" w:sz="4" w:space="0" w:color="808080"/>
              <w:bottom w:val="single" w:sz="4" w:space="0" w:color="808080"/>
              <w:right w:val="single" w:sz="4" w:space="0" w:color="808080"/>
            </w:tcBorders>
            <w:shd w:val="clear" w:color="000000" w:fill="99FFCC"/>
            <w:noWrap/>
            <w:vAlign w:val="bottom"/>
            <w:hideMark/>
          </w:tcPr>
          <w:p w:rsidR="008D4F0F" w:rsidRPr="00A623ED" w:rsidRDefault="008D4F0F" w:rsidP="00B75970">
            <w:pPr>
              <w:jc w:val="center"/>
              <w:rPr>
                <w:rFonts w:ascii="Arial" w:eastAsia="Times New Roman" w:hAnsi="Arial" w:cs="Arial"/>
                <w:b/>
                <w:bCs/>
                <w:color w:val="808080"/>
                <w:sz w:val="20"/>
                <w:szCs w:val="20"/>
                <w:lang w:eastAsia="fr-FR"/>
              </w:rPr>
            </w:pPr>
            <w:r w:rsidRPr="00A623ED">
              <w:rPr>
                <w:rFonts w:ascii="Arial" w:eastAsia="Times New Roman" w:hAnsi="Arial" w:cs="Arial"/>
                <w:b/>
                <w:bCs/>
                <w:color w:val="808080"/>
                <w:sz w:val="20"/>
                <w:szCs w:val="20"/>
                <w:lang w:eastAsia="fr-FR"/>
              </w:rPr>
              <w:t>53%</w:t>
            </w:r>
          </w:p>
        </w:tc>
      </w:tr>
    </w:tbl>
    <w:p w:rsidR="008D4F0F" w:rsidRPr="00865FE0" w:rsidRDefault="008D4F0F" w:rsidP="008D4F0F">
      <w:pPr>
        <w:widowControl w:val="0"/>
        <w:autoSpaceDE w:val="0"/>
        <w:autoSpaceDN w:val="0"/>
        <w:adjustRightInd w:val="0"/>
        <w:jc w:val="both"/>
        <w:rPr>
          <w:rFonts w:cs="Times"/>
          <w:sz w:val="22"/>
        </w:rPr>
      </w:pPr>
    </w:p>
    <w:p w:rsidR="008D4F0F" w:rsidRPr="00865FE0" w:rsidRDefault="008D4F0F" w:rsidP="008D4F0F">
      <w:pPr>
        <w:widowControl w:val="0"/>
        <w:autoSpaceDE w:val="0"/>
        <w:autoSpaceDN w:val="0"/>
        <w:adjustRightInd w:val="0"/>
        <w:jc w:val="both"/>
        <w:rPr>
          <w:rFonts w:cs="Times"/>
          <w:sz w:val="22"/>
        </w:rPr>
      </w:pPr>
      <w:r>
        <w:rPr>
          <w:noProof/>
          <w:lang w:eastAsia="fr-FR"/>
        </w:rPr>
        <w:lastRenderedPageBreak/>
        <w:drawing>
          <wp:inline distT="0" distB="0" distL="0" distR="0" wp14:anchorId="1C10ACBA" wp14:editId="46BF103F">
            <wp:extent cx="6116320" cy="3594100"/>
            <wp:effectExtent l="0" t="0" r="0" b="6350"/>
            <wp:docPr id="212" name="Graphique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8D4F0F" w:rsidRPr="00865FE0" w:rsidRDefault="008D4F0F" w:rsidP="008D4F0F">
      <w:pPr>
        <w:widowControl w:val="0"/>
        <w:autoSpaceDE w:val="0"/>
        <w:autoSpaceDN w:val="0"/>
        <w:adjustRightInd w:val="0"/>
        <w:jc w:val="both"/>
        <w:rPr>
          <w:rFonts w:cs="Times"/>
          <w:sz w:val="22"/>
        </w:rPr>
      </w:pPr>
    </w:p>
    <w:p w:rsidR="008D4F0F" w:rsidRPr="00865FE0" w:rsidRDefault="008D4F0F" w:rsidP="008D4F0F">
      <w:pPr>
        <w:widowControl w:val="0"/>
        <w:autoSpaceDE w:val="0"/>
        <w:autoSpaceDN w:val="0"/>
        <w:adjustRightInd w:val="0"/>
        <w:jc w:val="both"/>
        <w:rPr>
          <w:rFonts w:cs="Times"/>
          <w:sz w:val="22"/>
        </w:rPr>
      </w:pPr>
    </w:p>
    <w:p w:rsidR="008D4F0F" w:rsidRPr="00865FE0" w:rsidRDefault="008D4F0F" w:rsidP="008D4F0F">
      <w:pPr>
        <w:widowControl w:val="0"/>
        <w:autoSpaceDE w:val="0"/>
        <w:autoSpaceDN w:val="0"/>
        <w:adjustRightInd w:val="0"/>
        <w:jc w:val="both"/>
        <w:rPr>
          <w:rFonts w:cs="Times"/>
          <w:sz w:val="22"/>
        </w:rPr>
      </w:pPr>
    </w:p>
    <w:p w:rsidR="008D4F0F" w:rsidRPr="00865FE0" w:rsidRDefault="008D4F0F" w:rsidP="008D4F0F">
      <w:pPr>
        <w:widowControl w:val="0"/>
        <w:autoSpaceDE w:val="0"/>
        <w:autoSpaceDN w:val="0"/>
        <w:adjustRightInd w:val="0"/>
        <w:jc w:val="both"/>
        <w:rPr>
          <w:rFonts w:cs="Times"/>
          <w:sz w:val="22"/>
        </w:rPr>
      </w:pPr>
    </w:p>
    <w:p w:rsidR="008D4F0F" w:rsidRDefault="008D4F0F" w:rsidP="008D4F0F">
      <w:pPr>
        <w:spacing w:after="160" w:line="259" w:lineRule="auto"/>
        <w:rPr>
          <w:rFonts w:cs="Times"/>
          <w:sz w:val="22"/>
        </w:rPr>
      </w:pPr>
      <w:r>
        <w:rPr>
          <w:rFonts w:cs="Times"/>
          <w:sz w:val="22"/>
        </w:rPr>
        <w:br w:type="page"/>
      </w:r>
    </w:p>
    <w:p w:rsidR="008D4F0F" w:rsidRDefault="008D4F0F" w:rsidP="008D4F0F">
      <w:pPr>
        <w:widowControl w:val="0"/>
        <w:autoSpaceDE w:val="0"/>
        <w:autoSpaceDN w:val="0"/>
        <w:adjustRightInd w:val="0"/>
        <w:rPr>
          <w:rFonts w:ascii="BlairMdITC TT-Medium" w:hAnsi="BlairMdITC TT-Medium"/>
        </w:rPr>
      </w:pPr>
    </w:p>
    <w:p w:rsidR="008D4F0F" w:rsidRPr="007A4B95" w:rsidRDefault="008D4F0F" w:rsidP="008D4F0F">
      <w:pPr>
        <w:widowControl w:val="0"/>
        <w:autoSpaceDE w:val="0"/>
        <w:autoSpaceDN w:val="0"/>
        <w:adjustRightInd w:val="0"/>
        <w:jc w:val="both"/>
        <w:rPr>
          <w:rFonts w:ascii="Florencesans Exp" w:hAnsi="Florencesans Exp"/>
        </w:rPr>
      </w:pPr>
      <w:r w:rsidRPr="007A4B95">
        <w:rPr>
          <w:rFonts w:ascii="Florencesans Exp" w:hAnsi="Florencesans Exp"/>
        </w:rPr>
        <w:t>3. A. 2. PYRAMIDE DES AGES DES EFFECTIFS ET HOMMES/FEMMES</w:t>
      </w:r>
    </w:p>
    <w:p w:rsidR="008D4F0F" w:rsidRDefault="008D4F0F" w:rsidP="008D4F0F">
      <w:pPr>
        <w:widowControl w:val="0"/>
        <w:autoSpaceDE w:val="0"/>
        <w:autoSpaceDN w:val="0"/>
        <w:adjustRightInd w:val="0"/>
        <w:jc w:val="center"/>
        <w:rPr>
          <w:rFonts w:cs="Times New Roman"/>
          <w:sz w:val="22"/>
        </w:rPr>
      </w:pPr>
      <w:r>
        <w:rPr>
          <w:rFonts w:cs="Times New Roman"/>
          <w:noProof/>
          <w:sz w:val="22"/>
          <w:lang w:eastAsia="fr-FR"/>
        </w:rPr>
        <w:drawing>
          <wp:anchor distT="0" distB="0" distL="114300" distR="114300" simplePos="0" relativeHeight="251794432" behindDoc="0" locked="0" layoutInCell="1" allowOverlap="1" wp14:anchorId="2ADF0EF7" wp14:editId="4A4DD78C">
            <wp:simplePos x="0" y="0"/>
            <wp:positionH relativeFrom="margin">
              <wp:align>left</wp:align>
            </wp:positionH>
            <wp:positionV relativeFrom="paragraph">
              <wp:posOffset>2666365</wp:posOffset>
            </wp:positionV>
            <wp:extent cx="6153150" cy="4161155"/>
            <wp:effectExtent l="0" t="0" r="0" b="0"/>
            <wp:wrapSquare wrapText="bothSides"/>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53150" cy="416115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93408" behindDoc="0" locked="0" layoutInCell="1" allowOverlap="1" wp14:anchorId="2752EA15" wp14:editId="32EAE166">
            <wp:simplePos x="0" y="0"/>
            <wp:positionH relativeFrom="margin">
              <wp:align>center</wp:align>
            </wp:positionH>
            <wp:positionV relativeFrom="paragraph">
              <wp:posOffset>170815</wp:posOffset>
            </wp:positionV>
            <wp:extent cx="5848350" cy="2489200"/>
            <wp:effectExtent l="0" t="0" r="0" b="6350"/>
            <wp:wrapSquare wrapText="bothSides"/>
            <wp:docPr id="214" name="Graphique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14:sizeRelH relativeFrom="margin">
              <wp14:pctWidth>0</wp14:pctWidth>
            </wp14:sizeRelH>
            <wp14:sizeRelV relativeFrom="margin">
              <wp14:pctHeight>0</wp14:pctHeight>
            </wp14:sizeRelV>
          </wp:anchor>
        </w:drawing>
      </w:r>
    </w:p>
    <w:p w:rsidR="008D4F0F" w:rsidRPr="00865FE0" w:rsidRDefault="008D4F0F" w:rsidP="008D4F0F">
      <w:pPr>
        <w:widowControl w:val="0"/>
        <w:autoSpaceDE w:val="0"/>
        <w:autoSpaceDN w:val="0"/>
        <w:adjustRightInd w:val="0"/>
        <w:jc w:val="center"/>
        <w:rPr>
          <w:rFonts w:cs="Times New Roman"/>
          <w:sz w:val="22"/>
        </w:rPr>
      </w:pPr>
    </w:p>
    <w:p w:rsidR="008D4F0F" w:rsidRDefault="008D4F0F" w:rsidP="008D4F0F">
      <w:pPr>
        <w:widowControl w:val="0"/>
        <w:autoSpaceDE w:val="0"/>
        <w:autoSpaceDN w:val="0"/>
        <w:adjustRightInd w:val="0"/>
        <w:jc w:val="both"/>
        <w:rPr>
          <w:rFonts w:cs="Times New Roman"/>
          <w:sz w:val="22"/>
        </w:rPr>
      </w:pPr>
    </w:p>
    <w:p w:rsidR="008D4F0F" w:rsidRPr="008D4F0F" w:rsidRDefault="008D4F0F" w:rsidP="008D4F0F">
      <w:pPr>
        <w:widowControl w:val="0"/>
        <w:autoSpaceDE w:val="0"/>
        <w:autoSpaceDN w:val="0"/>
        <w:adjustRightInd w:val="0"/>
        <w:jc w:val="both"/>
        <w:rPr>
          <w:rFonts w:ascii="Arial" w:eastAsia="Cambria" w:hAnsi="Arial" w:cs="Times New Roman"/>
          <w:sz w:val="22"/>
          <w:szCs w:val="22"/>
        </w:rPr>
      </w:pPr>
      <w:r w:rsidRPr="008D4F0F">
        <w:rPr>
          <w:rFonts w:ascii="Arial" w:eastAsia="Cambria" w:hAnsi="Arial" w:cs="Times New Roman"/>
          <w:sz w:val="22"/>
          <w:szCs w:val="22"/>
        </w:rPr>
        <w:t xml:space="preserve">La pyramide des âges reflète la politique des recrutements passés et permet d’analyser la structure par </w:t>
      </w:r>
      <w:r w:rsidR="009A1A03">
        <w:rPr>
          <w:rFonts w:ascii="Arial" w:eastAsia="Cambria" w:hAnsi="Arial" w:cs="Times New Roman"/>
          <w:sz w:val="22"/>
          <w:szCs w:val="22"/>
        </w:rPr>
        <w:t>genre</w:t>
      </w:r>
      <w:r w:rsidRPr="008D4F0F">
        <w:rPr>
          <w:rFonts w:ascii="Arial" w:eastAsia="Cambria" w:hAnsi="Arial" w:cs="Times New Roman"/>
          <w:sz w:val="22"/>
          <w:szCs w:val="22"/>
        </w:rPr>
        <w:t xml:space="preserve"> et âge des effectifs. Cet exercice est utile pour évaluer les départs à la retraite et prévoir les types et les volumes de recrutements nécessaires.</w:t>
      </w:r>
    </w:p>
    <w:p w:rsidR="008D4F0F" w:rsidRPr="008D4F0F" w:rsidRDefault="008D4F0F" w:rsidP="008D4F0F">
      <w:pPr>
        <w:widowControl w:val="0"/>
        <w:autoSpaceDE w:val="0"/>
        <w:autoSpaceDN w:val="0"/>
        <w:adjustRightInd w:val="0"/>
        <w:jc w:val="both"/>
        <w:rPr>
          <w:rFonts w:ascii="Arial" w:eastAsia="Cambria" w:hAnsi="Arial" w:cs="Times New Roman"/>
          <w:sz w:val="22"/>
          <w:szCs w:val="22"/>
        </w:rPr>
      </w:pPr>
    </w:p>
    <w:p w:rsidR="008D4F0F" w:rsidRPr="008D4F0F" w:rsidRDefault="008D4F0F" w:rsidP="008D4F0F">
      <w:pPr>
        <w:widowControl w:val="0"/>
        <w:autoSpaceDE w:val="0"/>
        <w:autoSpaceDN w:val="0"/>
        <w:adjustRightInd w:val="0"/>
        <w:jc w:val="both"/>
        <w:rPr>
          <w:rFonts w:ascii="Arial" w:eastAsia="Cambria" w:hAnsi="Arial" w:cs="Times New Roman"/>
          <w:sz w:val="22"/>
          <w:szCs w:val="22"/>
        </w:rPr>
      </w:pPr>
      <w:r w:rsidRPr="008D4F0F">
        <w:rPr>
          <w:rFonts w:ascii="Arial" w:eastAsia="Cambria" w:hAnsi="Arial" w:cs="Times New Roman"/>
          <w:sz w:val="22"/>
          <w:szCs w:val="22"/>
        </w:rPr>
        <w:t xml:space="preserve">L’âge moyen des agents du ministère de la culture et de la communication s’élève à 48,6 ans en 2013 contre 41 ans pour l’ensemble des agents de la fonction publique d’Etat. Cette moyenne est parmi la plus élevée des agents de la fonction publique. </w:t>
      </w:r>
    </w:p>
    <w:p w:rsidR="008D4F0F" w:rsidRPr="008D4F0F" w:rsidRDefault="008D4F0F" w:rsidP="008D4F0F">
      <w:pPr>
        <w:widowControl w:val="0"/>
        <w:autoSpaceDE w:val="0"/>
        <w:autoSpaceDN w:val="0"/>
        <w:adjustRightInd w:val="0"/>
        <w:jc w:val="both"/>
        <w:rPr>
          <w:rFonts w:ascii="Arial" w:eastAsia="Cambria" w:hAnsi="Arial" w:cs="Times New Roman"/>
          <w:sz w:val="22"/>
          <w:szCs w:val="22"/>
        </w:rPr>
      </w:pPr>
    </w:p>
    <w:p w:rsidR="008D4F0F" w:rsidRDefault="008D4F0F" w:rsidP="008D4F0F">
      <w:pPr>
        <w:widowControl w:val="0"/>
        <w:autoSpaceDE w:val="0"/>
        <w:autoSpaceDN w:val="0"/>
        <w:adjustRightInd w:val="0"/>
        <w:jc w:val="both"/>
        <w:rPr>
          <w:rFonts w:ascii="Arial" w:eastAsia="Cambria" w:hAnsi="Arial" w:cs="Times New Roman"/>
          <w:sz w:val="22"/>
          <w:szCs w:val="22"/>
        </w:rPr>
      </w:pPr>
      <w:r w:rsidRPr="008D4F0F">
        <w:rPr>
          <w:rFonts w:ascii="Arial" w:eastAsia="Cambria" w:hAnsi="Arial" w:cs="Times New Roman"/>
          <w:sz w:val="22"/>
          <w:szCs w:val="22"/>
        </w:rPr>
        <w:t>La part des agents qui ont 60 ans ou plus représente 12% de la population du ministère. Le ministère verra ses départs à la retraite encore nombreux dans les trois à quatre prochaines années.</w:t>
      </w:r>
    </w:p>
    <w:p w:rsidR="008D4F0F" w:rsidRPr="008D4F0F" w:rsidRDefault="008D4F0F" w:rsidP="008D4F0F">
      <w:pPr>
        <w:widowControl w:val="0"/>
        <w:autoSpaceDE w:val="0"/>
        <w:autoSpaceDN w:val="0"/>
        <w:adjustRightInd w:val="0"/>
        <w:jc w:val="both"/>
        <w:rPr>
          <w:rFonts w:ascii="Arial" w:hAnsi="Arial" w:cs="Times New Roman"/>
          <w:sz w:val="22"/>
          <w:szCs w:val="22"/>
        </w:rPr>
      </w:pPr>
    </w:p>
    <w:p w:rsidR="008D4F0F" w:rsidRPr="007A4B95" w:rsidRDefault="008D4F0F" w:rsidP="008D4F0F">
      <w:pPr>
        <w:widowControl w:val="0"/>
        <w:autoSpaceDE w:val="0"/>
        <w:autoSpaceDN w:val="0"/>
        <w:adjustRightInd w:val="0"/>
        <w:jc w:val="both"/>
        <w:rPr>
          <w:rFonts w:ascii="Florencesans Exp" w:hAnsi="Florencesans Exp"/>
        </w:rPr>
      </w:pPr>
      <w:r w:rsidRPr="007A4B95">
        <w:rPr>
          <w:rFonts w:ascii="Florencesans Exp" w:hAnsi="Florencesans Exp"/>
        </w:rPr>
        <w:lastRenderedPageBreak/>
        <w:t xml:space="preserve">3. A. 3. REPARTITION PAR TRANCHE D'AGE ET PAR </w:t>
      </w:r>
      <w:r w:rsidR="009A1A03">
        <w:rPr>
          <w:rFonts w:ascii="Florencesans Exp" w:hAnsi="Florencesans Exp"/>
        </w:rPr>
        <w:t>GENRE</w:t>
      </w:r>
    </w:p>
    <w:p w:rsidR="008D4F0F" w:rsidRDefault="008D4F0F" w:rsidP="008D4F0F">
      <w:pPr>
        <w:widowControl w:val="0"/>
        <w:autoSpaceDE w:val="0"/>
        <w:autoSpaceDN w:val="0"/>
        <w:adjustRightInd w:val="0"/>
        <w:rPr>
          <w:rFonts w:ascii="BlairMdITC TT-Medium" w:hAnsi="BlairMdITC TT-Medium"/>
        </w:rPr>
      </w:pPr>
    </w:p>
    <w:p w:rsidR="008D4F0F" w:rsidRPr="00312DD3" w:rsidRDefault="008D4F0F" w:rsidP="008D4F0F">
      <w:pPr>
        <w:widowControl w:val="0"/>
        <w:autoSpaceDE w:val="0"/>
        <w:autoSpaceDN w:val="0"/>
        <w:adjustRightInd w:val="0"/>
        <w:rPr>
          <w:rFonts w:ascii="BlairMdITC TT-Medium" w:hAnsi="BlairMdITC TT-Medium"/>
        </w:rPr>
      </w:pPr>
    </w:p>
    <w:tbl>
      <w:tblPr>
        <w:tblW w:w="9440" w:type="dxa"/>
        <w:jc w:val="center"/>
        <w:tblCellMar>
          <w:left w:w="70" w:type="dxa"/>
          <w:right w:w="70" w:type="dxa"/>
        </w:tblCellMar>
        <w:tblLook w:val="04A0" w:firstRow="1" w:lastRow="0" w:firstColumn="1" w:lastColumn="0" w:noHBand="0" w:noVBand="1"/>
      </w:tblPr>
      <w:tblGrid>
        <w:gridCol w:w="1640"/>
        <w:gridCol w:w="200"/>
        <w:gridCol w:w="1258"/>
        <w:gridCol w:w="1142"/>
        <w:gridCol w:w="200"/>
        <w:gridCol w:w="1258"/>
        <w:gridCol w:w="1142"/>
        <w:gridCol w:w="200"/>
        <w:gridCol w:w="1200"/>
        <w:gridCol w:w="1200"/>
      </w:tblGrid>
      <w:tr w:rsidR="008D4F0F" w:rsidRPr="00C460D0" w:rsidTr="00B75970">
        <w:trPr>
          <w:trHeight w:val="260"/>
          <w:jc w:val="center"/>
        </w:trPr>
        <w:tc>
          <w:tcPr>
            <w:tcW w:w="1640" w:type="dxa"/>
            <w:vMerge w:val="restart"/>
            <w:tcBorders>
              <w:top w:val="single" w:sz="4" w:space="0" w:color="969696"/>
              <w:left w:val="single" w:sz="4" w:space="0" w:color="969696"/>
              <w:bottom w:val="single" w:sz="4" w:space="0" w:color="969696"/>
              <w:right w:val="single" w:sz="4" w:space="0" w:color="969696"/>
            </w:tcBorders>
            <w:shd w:val="clear" w:color="000000" w:fill="00FF00"/>
            <w:noWrap/>
            <w:vAlign w:val="center"/>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Tranches d'âge</w:t>
            </w:r>
          </w:p>
        </w:tc>
        <w:tc>
          <w:tcPr>
            <w:tcW w:w="200" w:type="dxa"/>
            <w:tcBorders>
              <w:top w:val="nil"/>
              <w:left w:val="nil"/>
              <w:bottom w:val="nil"/>
              <w:right w:val="nil"/>
            </w:tcBorders>
            <w:shd w:val="clear" w:color="auto" w:fill="auto"/>
            <w:noWrap/>
            <w:vAlign w:val="center"/>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2400" w:type="dxa"/>
            <w:gridSpan w:val="2"/>
            <w:tcBorders>
              <w:top w:val="single" w:sz="4" w:space="0" w:color="969696"/>
              <w:left w:val="single" w:sz="4" w:space="0" w:color="969696"/>
              <w:bottom w:val="single" w:sz="4" w:space="0" w:color="969696"/>
              <w:right w:val="single" w:sz="4" w:space="0" w:color="969696"/>
            </w:tcBorders>
            <w:shd w:val="clear" w:color="000000" w:fill="00FF00"/>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Hommes</w:t>
            </w:r>
          </w:p>
        </w:tc>
        <w:tc>
          <w:tcPr>
            <w:tcW w:w="200" w:type="dxa"/>
            <w:tcBorders>
              <w:top w:val="nil"/>
              <w:left w:val="nil"/>
              <w:bottom w:val="nil"/>
              <w:right w:val="nil"/>
            </w:tcBorders>
            <w:shd w:val="clear" w:color="auto" w:fill="auto"/>
            <w:noWrap/>
            <w:vAlign w:val="center"/>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2400" w:type="dxa"/>
            <w:gridSpan w:val="2"/>
            <w:tcBorders>
              <w:top w:val="single" w:sz="4" w:space="0" w:color="969696"/>
              <w:left w:val="single" w:sz="4" w:space="0" w:color="969696"/>
              <w:bottom w:val="single" w:sz="4" w:space="0" w:color="969696"/>
              <w:right w:val="single" w:sz="4" w:space="0" w:color="969696"/>
            </w:tcBorders>
            <w:shd w:val="clear" w:color="000000" w:fill="00FF00"/>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Femmes</w:t>
            </w:r>
          </w:p>
        </w:tc>
        <w:tc>
          <w:tcPr>
            <w:tcW w:w="200" w:type="dxa"/>
            <w:tcBorders>
              <w:top w:val="nil"/>
              <w:left w:val="nil"/>
              <w:bottom w:val="nil"/>
              <w:right w:val="nil"/>
            </w:tcBorders>
            <w:shd w:val="clear" w:color="auto" w:fill="auto"/>
            <w:noWrap/>
            <w:vAlign w:val="center"/>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00" w:type="dxa"/>
            <w:vMerge w:val="restart"/>
            <w:tcBorders>
              <w:top w:val="single" w:sz="4" w:space="0" w:color="969696"/>
              <w:left w:val="single" w:sz="4" w:space="0" w:color="969696"/>
              <w:bottom w:val="single" w:sz="4" w:space="0" w:color="969696"/>
              <w:right w:val="single" w:sz="4" w:space="0" w:color="969696"/>
            </w:tcBorders>
            <w:shd w:val="clear" w:color="000000" w:fill="00FF00"/>
            <w:noWrap/>
            <w:vAlign w:val="center"/>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Total</w:t>
            </w:r>
          </w:p>
        </w:tc>
        <w:tc>
          <w:tcPr>
            <w:tcW w:w="1200" w:type="dxa"/>
            <w:vMerge w:val="restart"/>
            <w:tcBorders>
              <w:top w:val="single" w:sz="4" w:space="0" w:color="969696"/>
              <w:left w:val="single" w:sz="4" w:space="0" w:color="969696"/>
              <w:bottom w:val="single" w:sz="4" w:space="0" w:color="969696"/>
              <w:right w:val="single" w:sz="4" w:space="0" w:color="969696"/>
            </w:tcBorders>
            <w:shd w:val="clear" w:color="000000" w:fill="00FF00"/>
            <w:noWrap/>
            <w:vAlign w:val="center"/>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w:t>
            </w:r>
          </w:p>
        </w:tc>
      </w:tr>
      <w:tr w:rsidR="008D4F0F" w:rsidRPr="00C460D0" w:rsidTr="00B75970">
        <w:trPr>
          <w:trHeight w:val="260"/>
          <w:jc w:val="center"/>
        </w:trPr>
        <w:tc>
          <w:tcPr>
            <w:tcW w:w="1640" w:type="dxa"/>
            <w:vMerge/>
            <w:tcBorders>
              <w:top w:val="single" w:sz="4" w:space="0" w:color="969696"/>
              <w:left w:val="single" w:sz="4" w:space="0" w:color="969696"/>
              <w:bottom w:val="single" w:sz="4" w:space="0" w:color="969696"/>
              <w:right w:val="single" w:sz="4" w:space="0" w:color="969696"/>
            </w:tcBorders>
            <w:vAlign w:val="center"/>
            <w:hideMark/>
          </w:tcPr>
          <w:p w:rsidR="008D4F0F" w:rsidRPr="00C460D0" w:rsidRDefault="008D4F0F" w:rsidP="00B75970">
            <w:pPr>
              <w:rPr>
                <w:rFonts w:ascii="Arial" w:eastAsia="Times New Roman" w:hAnsi="Arial" w:cs="Arial"/>
                <w:b/>
                <w:bCs/>
                <w:color w:val="FFFFFF"/>
                <w:sz w:val="20"/>
                <w:szCs w:val="20"/>
                <w:lang w:eastAsia="fr-FR"/>
              </w:rPr>
            </w:pPr>
          </w:p>
        </w:tc>
        <w:tc>
          <w:tcPr>
            <w:tcW w:w="200" w:type="dxa"/>
            <w:tcBorders>
              <w:top w:val="nil"/>
              <w:left w:val="nil"/>
              <w:bottom w:val="nil"/>
              <w:right w:val="nil"/>
            </w:tcBorders>
            <w:shd w:val="clear" w:color="auto" w:fill="auto"/>
            <w:noWrap/>
            <w:vAlign w:val="center"/>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A6A6A6"/>
                <w:sz w:val="20"/>
                <w:szCs w:val="20"/>
                <w:lang w:eastAsia="fr-FR"/>
              </w:rPr>
            </w:pPr>
            <w:r w:rsidRPr="00C460D0">
              <w:rPr>
                <w:rFonts w:ascii="Arial" w:eastAsia="Times New Roman" w:hAnsi="Arial" w:cs="Arial"/>
                <w:b/>
                <w:bCs/>
                <w:color w:val="A6A6A6"/>
                <w:sz w:val="20"/>
                <w:szCs w:val="20"/>
                <w:lang w:eastAsia="fr-FR"/>
              </w:rPr>
              <w:t>ETP</w:t>
            </w:r>
          </w:p>
        </w:tc>
        <w:tc>
          <w:tcPr>
            <w:tcW w:w="1142" w:type="dxa"/>
            <w:tcBorders>
              <w:top w:val="nil"/>
              <w:left w:val="nil"/>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A6A6A6"/>
                <w:sz w:val="20"/>
                <w:szCs w:val="20"/>
                <w:lang w:eastAsia="fr-FR"/>
              </w:rPr>
            </w:pPr>
            <w:r w:rsidRPr="00C460D0">
              <w:rPr>
                <w:rFonts w:ascii="Arial" w:eastAsia="Times New Roman" w:hAnsi="Arial" w:cs="Arial"/>
                <w:b/>
                <w:bCs/>
                <w:color w:val="A6A6A6"/>
                <w:sz w:val="20"/>
                <w:szCs w:val="20"/>
                <w:lang w:eastAsia="fr-FR"/>
              </w:rPr>
              <w:t>%</w:t>
            </w:r>
          </w:p>
        </w:tc>
        <w:tc>
          <w:tcPr>
            <w:tcW w:w="200" w:type="dxa"/>
            <w:tcBorders>
              <w:top w:val="nil"/>
              <w:left w:val="nil"/>
              <w:bottom w:val="nil"/>
              <w:right w:val="nil"/>
            </w:tcBorders>
            <w:shd w:val="clear" w:color="auto" w:fill="auto"/>
            <w:noWrap/>
            <w:vAlign w:val="center"/>
            <w:hideMark/>
          </w:tcPr>
          <w:p w:rsidR="008D4F0F" w:rsidRPr="00C460D0" w:rsidRDefault="008D4F0F" w:rsidP="00B75970">
            <w:pPr>
              <w:jc w:val="center"/>
              <w:rPr>
                <w:rFonts w:ascii="Arial" w:eastAsia="Times New Roman" w:hAnsi="Arial" w:cs="Arial"/>
                <w:b/>
                <w:bCs/>
                <w:color w:val="A6A6A6"/>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A6A6A6"/>
                <w:sz w:val="20"/>
                <w:szCs w:val="20"/>
                <w:lang w:eastAsia="fr-FR"/>
              </w:rPr>
            </w:pPr>
            <w:r w:rsidRPr="00C460D0">
              <w:rPr>
                <w:rFonts w:ascii="Arial" w:eastAsia="Times New Roman" w:hAnsi="Arial" w:cs="Arial"/>
                <w:b/>
                <w:bCs/>
                <w:color w:val="A6A6A6"/>
                <w:sz w:val="20"/>
                <w:szCs w:val="20"/>
                <w:lang w:eastAsia="fr-FR"/>
              </w:rPr>
              <w:t>ETP</w:t>
            </w:r>
          </w:p>
        </w:tc>
        <w:tc>
          <w:tcPr>
            <w:tcW w:w="1142" w:type="dxa"/>
            <w:tcBorders>
              <w:top w:val="nil"/>
              <w:left w:val="nil"/>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A6A6A6"/>
                <w:sz w:val="20"/>
                <w:szCs w:val="20"/>
                <w:lang w:eastAsia="fr-FR"/>
              </w:rPr>
            </w:pPr>
            <w:r w:rsidRPr="00C460D0">
              <w:rPr>
                <w:rFonts w:ascii="Arial" w:eastAsia="Times New Roman" w:hAnsi="Arial" w:cs="Arial"/>
                <w:b/>
                <w:bCs/>
                <w:color w:val="A6A6A6"/>
                <w:sz w:val="20"/>
                <w:szCs w:val="20"/>
                <w:lang w:eastAsia="fr-FR"/>
              </w:rPr>
              <w:t>%</w:t>
            </w:r>
          </w:p>
        </w:tc>
        <w:tc>
          <w:tcPr>
            <w:tcW w:w="200" w:type="dxa"/>
            <w:tcBorders>
              <w:top w:val="nil"/>
              <w:left w:val="nil"/>
              <w:bottom w:val="nil"/>
              <w:right w:val="nil"/>
            </w:tcBorders>
            <w:shd w:val="clear" w:color="auto" w:fill="auto"/>
            <w:noWrap/>
            <w:vAlign w:val="center"/>
            <w:hideMark/>
          </w:tcPr>
          <w:p w:rsidR="008D4F0F" w:rsidRPr="00C460D0" w:rsidRDefault="008D4F0F" w:rsidP="00B75970">
            <w:pPr>
              <w:jc w:val="center"/>
              <w:rPr>
                <w:rFonts w:ascii="Arial" w:eastAsia="Times New Roman" w:hAnsi="Arial" w:cs="Arial"/>
                <w:b/>
                <w:bCs/>
                <w:color w:val="A6A6A6"/>
                <w:sz w:val="20"/>
                <w:szCs w:val="20"/>
                <w:lang w:eastAsia="fr-FR"/>
              </w:rPr>
            </w:pPr>
          </w:p>
        </w:tc>
        <w:tc>
          <w:tcPr>
            <w:tcW w:w="1200" w:type="dxa"/>
            <w:vMerge/>
            <w:tcBorders>
              <w:top w:val="single" w:sz="4" w:space="0" w:color="969696"/>
              <w:left w:val="single" w:sz="4" w:space="0" w:color="969696"/>
              <w:bottom w:val="single" w:sz="4" w:space="0" w:color="969696"/>
              <w:right w:val="single" w:sz="4" w:space="0" w:color="969696"/>
            </w:tcBorders>
            <w:vAlign w:val="center"/>
            <w:hideMark/>
          </w:tcPr>
          <w:p w:rsidR="008D4F0F" w:rsidRPr="00C460D0" w:rsidRDefault="008D4F0F" w:rsidP="00B75970">
            <w:pPr>
              <w:rPr>
                <w:rFonts w:ascii="Arial" w:eastAsia="Times New Roman" w:hAnsi="Arial" w:cs="Arial"/>
                <w:b/>
                <w:bCs/>
                <w:color w:val="FFFFFF"/>
                <w:sz w:val="20"/>
                <w:szCs w:val="20"/>
                <w:lang w:eastAsia="fr-FR"/>
              </w:rPr>
            </w:pPr>
          </w:p>
        </w:tc>
        <w:tc>
          <w:tcPr>
            <w:tcW w:w="1200" w:type="dxa"/>
            <w:vMerge/>
            <w:tcBorders>
              <w:top w:val="single" w:sz="4" w:space="0" w:color="969696"/>
              <w:left w:val="single" w:sz="4" w:space="0" w:color="969696"/>
              <w:bottom w:val="single" w:sz="4" w:space="0" w:color="969696"/>
              <w:right w:val="single" w:sz="4" w:space="0" w:color="969696"/>
            </w:tcBorders>
            <w:vAlign w:val="center"/>
            <w:hideMark/>
          </w:tcPr>
          <w:p w:rsidR="008D4F0F" w:rsidRPr="00C460D0" w:rsidRDefault="008D4F0F" w:rsidP="00B75970">
            <w:pPr>
              <w:rPr>
                <w:rFonts w:ascii="Arial" w:eastAsia="Times New Roman" w:hAnsi="Arial" w:cs="Arial"/>
                <w:b/>
                <w:bCs/>
                <w:color w:val="FFFFFF"/>
                <w:sz w:val="20"/>
                <w:szCs w:val="20"/>
                <w:lang w:eastAsia="fr-FR"/>
              </w:rPr>
            </w:pP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&lt; 25 ans</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13</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30%</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29</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70%</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41</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0%</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 xml:space="preserve">de 25 à 29 ans </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115</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30%</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262</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70%</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377</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de 30 à 34 ans</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222</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36%</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387</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64%</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610</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6%</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de 35 à 39 ans</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407</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46%</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488</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54%</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895</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8%</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de 40 à 44 ans</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698</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46%</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818</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54%</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1516</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14%</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de 45 à 49 ans</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815</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45%</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978</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55%</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1793</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17%</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de 50 à 54 ans</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978</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47%</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1082</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53%</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2060</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19%</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de 55 à 59 ans</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1090</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51%</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1032</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49%</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2122</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20%</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de 60 à 64 ans</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625</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51%</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598</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49%</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1223</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11%</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BFBFBF"/>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r w:rsidRPr="00C460D0">
              <w:rPr>
                <w:rFonts w:ascii="Arial" w:eastAsia="Times New Roman" w:hAnsi="Arial" w:cs="Arial"/>
                <w:b/>
                <w:bCs/>
                <w:color w:val="FFFFFF"/>
                <w:sz w:val="20"/>
                <w:szCs w:val="20"/>
                <w:lang w:eastAsia="fr-FR"/>
              </w:rPr>
              <w:t>65 et +</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FFFFFF"/>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80</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65%</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43</w:t>
            </w:r>
          </w:p>
        </w:tc>
        <w:tc>
          <w:tcPr>
            <w:tcW w:w="1142"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35%</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122</w:t>
            </w:r>
          </w:p>
        </w:tc>
        <w:tc>
          <w:tcPr>
            <w:tcW w:w="1200" w:type="dxa"/>
            <w:tcBorders>
              <w:top w:val="nil"/>
              <w:left w:val="nil"/>
              <w:bottom w:val="single" w:sz="4" w:space="0" w:color="969696"/>
              <w:right w:val="single" w:sz="4" w:space="0" w:color="969696"/>
            </w:tcBorders>
            <w:shd w:val="clear" w:color="auto" w:fill="auto"/>
            <w:noWrap/>
            <w:vAlign w:val="bottom"/>
            <w:hideMark/>
          </w:tcPr>
          <w:p w:rsidR="008D4F0F" w:rsidRPr="00C460D0" w:rsidRDefault="008D4F0F" w:rsidP="00B75970">
            <w:pPr>
              <w:jc w:val="center"/>
              <w:rPr>
                <w:rFonts w:ascii="Arial" w:eastAsia="Times New Roman" w:hAnsi="Arial" w:cs="Arial"/>
                <w:sz w:val="20"/>
                <w:szCs w:val="20"/>
                <w:lang w:eastAsia="fr-FR"/>
              </w:rPr>
            </w:pPr>
            <w:r w:rsidRPr="00C460D0">
              <w:rPr>
                <w:rFonts w:ascii="Arial" w:eastAsia="Times New Roman" w:hAnsi="Arial" w:cs="Arial"/>
                <w:sz w:val="20"/>
                <w:szCs w:val="20"/>
                <w:lang w:eastAsia="fr-FR"/>
              </w:rPr>
              <w:t>1%</w:t>
            </w:r>
          </w:p>
        </w:tc>
      </w:tr>
      <w:tr w:rsidR="008D4F0F" w:rsidRPr="00C460D0" w:rsidTr="00B75970">
        <w:trPr>
          <w:trHeight w:val="260"/>
          <w:jc w:val="center"/>
        </w:trPr>
        <w:tc>
          <w:tcPr>
            <w:tcW w:w="1640" w:type="dxa"/>
            <w:tcBorders>
              <w:top w:val="nil"/>
              <w:left w:val="single" w:sz="4" w:space="0" w:color="969696"/>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r w:rsidRPr="00C460D0">
              <w:rPr>
                <w:rFonts w:ascii="Arial" w:eastAsia="Times New Roman" w:hAnsi="Arial" w:cs="Arial"/>
                <w:b/>
                <w:bCs/>
                <w:color w:val="808080"/>
                <w:sz w:val="20"/>
                <w:szCs w:val="20"/>
                <w:lang w:eastAsia="fr-FR"/>
              </w:rPr>
              <w:t>Total</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r w:rsidRPr="00C460D0">
              <w:rPr>
                <w:rFonts w:ascii="Arial" w:eastAsia="Times New Roman" w:hAnsi="Arial" w:cs="Arial"/>
                <w:b/>
                <w:bCs/>
                <w:color w:val="808080"/>
                <w:sz w:val="20"/>
                <w:szCs w:val="20"/>
                <w:lang w:eastAsia="fr-FR"/>
              </w:rPr>
              <w:t>5044</w:t>
            </w:r>
          </w:p>
        </w:tc>
        <w:tc>
          <w:tcPr>
            <w:tcW w:w="1142" w:type="dxa"/>
            <w:tcBorders>
              <w:top w:val="nil"/>
              <w:left w:val="nil"/>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r w:rsidRPr="00C460D0">
              <w:rPr>
                <w:rFonts w:ascii="Arial" w:eastAsia="Times New Roman" w:hAnsi="Arial" w:cs="Arial"/>
                <w:b/>
                <w:bCs/>
                <w:color w:val="808080"/>
                <w:sz w:val="20"/>
                <w:szCs w:val="20"/>
                <w:lang w:eastAsia="fr-FR"/>
              </w:rPr>
              <w:t>47%</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p>
        </w:tc>
        <w:tc>
          <w:tcPr>
            <w:tcW w:w="1258" w:type="dxa"/>
            <w:tcBorders>
              <w:top w:val="nil"/>
              <w:left w:val="single" w:sz="4" w:space="0" w:color="969696"/>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r w:rsidRPr="00C460D0">
              <w:rPr>
                <w:rFonts w:ascii="Arial" w:eastAsia="Times New Roman" w:hAnsi="Arial" w:cs="Arial"/>
                <w:b/>
                <w:bCs/>
                <w:color w:val="808080"/>
                <w:sz w:val="20"/>
                <w:szCs w:val="20"/>
                <w:lang w:eastAsia="fr-FR"/>
              </w:rPr>
              <w:t>5716</w:t>
            </w:r>
          </w:p>
        </w:tc>
        <w:tc>
          <w:tcPr>
            <w:tcW w:w="1142" w:type="dxa"/>
            <w:tcBorders>
              <w:top w:val="nil"/>
              <w:left w:val="nil"/>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r w:rsidRPr="00C460D0">
              <w:rPr>
                <w:rFonts w:ascii="Arial" w:eastAsia="Times New Roman" w:hAnsi="Arial" w:cs="Arial"/>
                <w:b/>
                <w:bCs/>
                <w:color w:val="808080"/>
                <w:sz w:val="20"/>
                <w:szCs w:val="20"/>
                <w:lang w:eastAsia="fr-FR"/>
              </w:rPr>
              <w:t>53%</w:t>
            </w:r>
          </w:p>
        </w:tc>
        <w:tc>
          <w:tcPr>
            <w:tcW w:w="200" w:type="dxa"/>
            <w:tcBorders>
              <w:top w:val="nil"/>
              <w:left w:val="nil"/>
              <w:bottom w:val="nil"/>
              <w:right w:val="nil"/>
            </w:tcBorders>
            <w:shd w:val="clear" w:color="auto" w:fill="auto"/>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p>
        </w:tc>
        <w:tc>
          <w:tcPr>
            <w:tcW w:w="1200" w:type="dxa"/>
            <w:tcBorders>
              <w:top w:val="nil"/>
              <w:left w:val="single" w:sz="4" w:space="0" w:color="969696"/>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r w:rsidRPr="00C460D0">
              <w:rPr>
                <w:rFonts w:ascii="Arial" w:eastAsia="Times New Roman" w:hAnsi="Arial" w:cs="Arial"/>
                <w:b/>
                <w:bCs/>
                <w:color w:val="808080"/>
                <w:sz w:val="20"/>
                <w:szCs w:val="20"/>
                <w:lang w:eastAsia="fr-FR"/>
              </w:rPr>
              <w:t>10760</w:t>
            </w:r>
          </w:p>
        </w:tc>
        <w:tc>
          <w:tcPr>
            <w:tcW w:w="1200" w:type="dxa"/>
            <w:tcBorders>
              <w:top w:val="nil"/>
              <w:left w:val="nil"/>
              <w:bottom w:val="single" w:sz="4" w:space="0" w:color="969696"/>
              <w:right w:val="single" w:sz="4" w:space="0" w:color="969696"/>
            </w:tcBorders>
            <w:shd w:val="clear" w:color="000000" w:fill="99FFCC"/>
            <w:noWrap/>
            <w:vAlign w:val="bottom"/>
            <w:hideMark/>
          </w:tcPr>
          <w:p w:rsidR="008D4F0F" w:rsidRPr="00C460D0" w:rsidRDefault="008D4F0F" w:rsidP="00B75970">
            <w:pPr>
              <w:jc w:val="center"/>
              <w:rPr>
                <w:rFonts w:ascii="Arial" w:eastAsia="Times New Roman" w:hAnsi="Arial" w:cs="Arial"/>
                <w:b/>
                <w:bCs/>
                <w:color w:val="808080"/>
                <w:sz w:val="20"/>
                <w:szCs w:val="20"/>
                <w:lang w:eastAsia="fr-FR"/>
              </w:rPr>
            </w:pPr>
            <w:r w:rsidRPr="00C460D0">
              <w:rPr>
                <w:rFonts w:ascii="Arial" w:eastAsia="Times New Roman" w:hAnsi="Arial" w:cs="Arial"/>
                <w:b/>
                <w:bCs/>
                <w:color w:val="808080"/>
                <w:sz w:val="20"/>
                <w:szCs w:val="20"/>
                <w:lang w:eastAsia="fr-FR"/>
              </w:rPr>
              <w:t>100%</w:t>
            </w:r>
          </w:p>
        </w:tc>
      </w:tr>
    </w:tbl>
    <w:p w:rsidR="008D4F0F" w:rsidRPr="00BA0F8C" w:rsidRDefault="008D4F0F" w:rsidP="008D4F0F">
      <w:pPr>
        <w:widowControl w:val="0"/>
        <w:autoSpaceDE w:val="0"/>
        <w:autoSpaceDN w:val="0"/>
        <w:adjustRightInd w:val="0"/>
        <w:rPr>
          <w:rFonts w:cs="Times New Roman"/>
          <w:color w:val="FFFFFF" w:themeColor="background1"/>
          <w:sz w:val="22"/>
        </w:rPr>
      </w:pPr>
    </w:p>
    <w:p w:rsidR="008D4F0F" w:rsidRPr="00CB5F30" w:rsidRDefault="008D4F0F" w:rsidP="008D4F0F">
      <w:pPr>
        <w:widowControl w:val="0"/>
        <w:autoSpaceDE w:val="0"/>
        <w:autoSpaceDN w:val="0"/>
        <w:adjustRightInd w:val="0"/>
        <w:jc w:val="both"/>
        <w:rPr>
          <w:rFonts w:ascii="Arial" w:hAnsi="Arial" w:cs="Times New Roman"/>
          <w:sz w:val="22"/>
        </w:rPr>
      </w:pPr>
      <w:r w:rsidRPr="00CB5F30">
        <w:rPr>
          <w:rFonts w:ascii="Arial" w:hAnsi="Arial" w:cs="Times New Roman"/>
          <w:sz w:val="22"/>
        </w:rPr>
        <w:t>Le ministère de la culture et de la communication compte plus d’agents féminins que d’agents masculins. La proportion de femmes est de 53%, ce qui est proche du taux moyen de féminisation de l’ensemble de la fonction publique de l’Etat (emplois civils). Les femmes sont en moyenne plus jeunes que les hommes (47,8 ans pour les femmes et 49,6 ans pour les hommes).</w:t>
      </w:r>
    </w:p>
    <w:p w:rsidR="008D4F0F" w:rsidRPr="00CB5F30" w:rsidRDefault="008D4F0F" w:rsidP="008D4F0F">
      <w:pPr>
        <w:widowControl w:val="0"/>
        <w:autoSpaceDE w:val="0"/>
        <w:autoSpaceDN w:val="0"/>
        <w:adjustRightInd w:val="0"/>
        <w:jc w:val="both"/>
        <w:rPr>
          <w:rFonts w:ascii="Arial" w:hAnsi="Arial" w:cs="Times New Roman"/>
          <w:sz w:val="22"/>
        </w:rPr>
      </w:pPr>
    </w:p>
    <w:p w:rsidR="008D4F0F" w:rsidRPr="00CB5F30" w:rsidRDefault="008D4F0F" w:rsidP="008D4F0F">
      <w:pPr>
        <w:widowControl w:val="0"/>
        <w:autoSpaceDE w:val="0"/>
        <w:autoSpaceDN w:val="0"/>
        <w:adjustRightInd w:val="0"/>
        <w:jc w:val="both"/>
        <w:rPr>
          <w:rFonts w:ascii="Arial" w:hAnsi="Arial" w:cs="Times New Roman"/>
          <w:sz w:val="22"/>
        </w:rPr>
      </w:pPr>
      <w:r w:rsidRPr="00CB5F30">
        <w:rPr>
          <w:rFonts w:ascii="Arial" w:hAnsi="Arial" w:cs="Times New Roman"/>
          <w:sz w:val="22"/>
        </w:rPr>
        <w:t xml:space="preserve">La proportion de femmes par tranche d’âges est plus importante jusqu’à </w:t>
      </w:r>
      <w:r>
        <w:rPr>
          <w:rFonts w:ascii="Arial" w:hAnsi="Arial" w:cs="Times New Roman"/>
          <w:sz w:val="22"/>
        </w:rPr>
        <w:t>54</w:t>
      </w:r>
      <w:r w:rsidRPr="00CB5F30">
        <w:rPr>
          <w:rFonts w:ascii="Arial" w:hAnsi="Arial" w:cs="Times New Roman"/>
          <w:sz w:val="22"/>
        </w:rPr>
        <w:t xml:space="preserve"> ans. Dans les tranches d’âge supérieures, les proportions s’inversent.</w:t>
      </w:r>
    </w:p>
    <w:p w:rsidR="008D4F0F" w:rsidRPr="00865FE0" w:rsidRDefault="008D4F0F" w:rsidP="008D4F0F">
      <w:pPr>
        <w:widowControl w:val="0"/>
        <w:autoSpaceDE w:val="0"/>
        <w:autoSpaceDN w:val="0"/>
        <w:adjustRightInd w:val="0"/>
        <w:jc w:val="center"/>
        <w:rPr>
          <w:rFonts w:cs="Times"/>
          <w:sz w:val="22"/>
        </w:rPr>
      </w:pPr>
    </w:p>
    <w:p w:rsidR="008D4F0F" w:rsidRDefault="008D4F0F" w:rsidP="008D4F0F">
      <w:pPr>
        <w:widowControl w:val="0"/>
        <w:autoSpaceDE w:val="0"/>
        <w:autoSpaceDN w:val="0"/>
        <w:adjustRightInd w:val="0"/>
        <w:rPr>
          <w:rFonts w:ascii="BlairMdITC TT-Medium" w:hAnsi="BlairMdITC TT-Medium"/>
        </w:rPr>
      </w:pPr>
      <w:r>
        <w:rPr>
          <w:noProof/>
          <w:lang w:eastAsia="fr-FR"/>
        </w:rPr>
        <w:drawing>
          <wp:anchor distT="0" distB="0" distL="114300" distR="114300" simplePos="0" relativeHeight="251795456" behindDoc="0" locked="0" layoutInCell="1" allowOverlap="1" wp14:anchorId="77D5E19D" wp14:editId="633D42E3">
            <wp:simplePos x="0" y="0"/>
            <wp:positionH relativeFrom="margin">
              <wp:align>left</wp:align>
            </wp:positionH>
            <wp:positionV relativeFrom="paragraph">
              <wp:posOffset>285115</wp:posOffset>
            </wp:positionV>
            <wp:extent cx="6116320" cy="3530600"/>
            <wp:effectExtent l="0" t="0" r="0" b="0"/>
            <wp:wrapSquare wrapText="bothSides"/>
            <wp:docPr id="215" name="Graphique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V relativeFrom="margin">
              <wp14:pctHeight>0</wp14:pctHeight>
            </wp14:sizeRelV>
          </wp:anchor>
        </w:drawing>
      </w:r>
    </w:p>
    <w:p w:rsidR="008D4F0F" w:rsidRDefault="008D4F0F" w:rsidP="008D4F0F">
      <w:pPr>
        <w:widowControl w:val="0"/>
        <w:autoSpaceDE w:val="0"/>
        <w:autoSpaceDN w:val="0"/>
        <w:adjustRightInd w:val="0"/>
        <w:rPr>
          <w:rFonts w:ascii="BlairMdITC TT-Medium" w:hAnsi="BlairMdITC TT-Medium"/>
        </w:rPr>
      </w:pPr>
    </w:p>
    <w:p w:rsidR="008D4F0F" w:rsidRDefault="008D4F0F" w:rsidP="008D4F0F">
      <w:pPr>
        <w:widowControl w:val="0"/>
        <w:autoSpaceDE w:val="0"/>
        <w:autoSpaceDN w:val="0"/>
        <w:adjustRightInd w:val="0"/>
        <w:rPr>
          <w:rFonts w:ascii="BlairMdITC TT-Medium" w:hAnsi="BlairMdITC TT-Medium"/>
        </w:rPr>
      </w:pPr>
    </w:p>
    <w:p w:rsidR="008D4F0F" w:rsidRDefault="008D4F0F" w:rsidP="008D4F0F">
      <w:pPr>
        <w:spacing w:after="160" w:line="259" w:lineRule="auto"/>
        <w:rPr>
          <w:rFonts w:ascii="BlairMdITC TT-Medium" w:hAnsi="BlairMdITC TT-Medium"/>
        </w:rPr>
      </w:pPr>
      <w:r>
        <w:rPr>
          <w:rFonts w:ascii="BlairMdITC TT-Medium" w:hAnsi="BlairMdITC TT-Medium"/>
        </w:rPr>
        <w:br w:type="page"/>
      </w:r>
    </w:p>
    <w:p w:rsidR="008D4F0F" w:rsidRPr="00865FE0" w:rsidRDefault="008D4F0F" w:rsidP="008D4F0F">
      <w:pPr>
        <w:widowControl w:val="0"/>
        <w:autoSpaceDE w:val="0"/>
        <w:autoSpaceDN w:val="0"/>
        <w:adjustRightInd w:val="0"/>
        <w:rPr>
          <w:rFonts w:cs="Times"/>
          <w:sz w:val="22"/>
        </w:rPr>
      </w:pPr>
    </w:p>
    <w:p w:rsidR="008D4F0F" w:rsidRPr="007A4B95" w:rsidRDefault="008D4F0F" w:rsidP="008D4F0F">
      <w:pPr>
        <w:tabs>
          <w:tab w:val="left" w:pos="1220"/>
        </w:tabs>
        <w:ind w:left="851" w:hanging="851"/>
        <w:rPr>
          <w:rFonts w:ascii="Florencesans Exp" w:hAnsi="Florencesans Exp"/>
          <w:b/>
          <w:color w:val="00FF80"/>
          <w:sz w:val="28"/>
        </w:rPr>
      </w:pPr>
      <w:r w:rsidRPr="007A4B95">
        <w:rPr>
          <w:rFonts w:ascii="Florencesans Exp" w:hAnsi="Florencesans Exp"/>
          <w:b/>
          <w:color w:val="00FF80"/>
          <w:sz w:val="28"/>
        </w:rPr>
        <w:t>3. B. PART DES FEMMES DANS L’ENCADREMENT SUPERIEUR (DONNEES T2 ET T3)</w:t>
      </w:r>
    </w:p>
    <w:p w:rsidR="008D4F0F" w:rsidRDefault="008D4F0F" w:rsidP="008D4F0F">
      <w:pPr>
        <w:widowControl w:val="0"/>
        <w:autoSpaceDE w:val="0"/>
        <w:autoSpaceDN w:val="0"/>
        <w:adjustRightInd w:val="0"/>
        <w:rPr>
          <w:rFonts w:cs="Times"/>
          <w:sz w:val="22"/>
        </w:rPr>
      </w:pPr>
    </w:p>
    <w:p w:rsidR="008D4F0F" w:rsidRPr="007A4B95" w:rsidRDefault="008D4F0F" w:rsidP="008D4F0F">
      <w:pPr>
        <w:widowControl w:val="0"/>
        <w:autoSpaceDE w:val="0"/>
        <w:autoSpaceDN w:val="0"/>
        <w:adjustRightInd w:val="0"/>
        <w:ind w:left="1134" w:hanging="1134"/>
        <w:jc w:val="both"/>
        <w:rPr>
          <w:rFonts w:ascii="Florencesans Exp" w:hAnsi="Florencesans Exp"/>
        </w:rPr>
      </w:pPr>
      <w:r w:rsidRPr="007A4B95">
        <w:rPr>
          <w:rFonts w:ascii="Florencesans Exp" w:hAnsi="Florencesans Exp"/>
        </w:rPr>
        <w:t>3. B. 1. PART DES FEMMES DANS LES POSTES DE DIRECTION DU MINISTERE DE LA CULTURE ET DE LA COMMUNICATION</w:t>
      </w:r>
    </w:p>
    <w:p w:rsidR="008D4F0F" w:rsidRPr="00421707" w:rsidRDefault="008D4F0F" w:rsidP="008D4F0F">
      <w:pPr>
        <w:widowControl w:val="0"/>
        <w:autoSpaceDE w:val="0"/>
        <w:autoSpaceDN w:val="0"/>
        <w:adjustRightInd w:val="0"/>
        <w:rPr>
          <w:rFonts w:cs="Times"/>
          <w:sz w:val="18"/>
          <w:szCs w:val="18"/>
        </w:rPr>
      </w:pPr>
    </w:p>
    <w:tbl>
      <w:tblPr>
        <w:tblW w:w="8670" w:type="dxa"/>
        <w:jc w:val="center"/>
        <w:tblCellMar>
          <w:left w:w="70" w:type="dxa"/>
          <w:right w:w="70" w:type="dxa"/>
        </w:tblCellMar>
        <w:tblLook w:val="04A0" w:firstRow="1" w:lastRow="0" w:firstColumn="1" w:lastColumn="0" w:noHBand="0" w:noVBand="1"/>
      </w:tblPr>
      <w:tblGrid>
        <w:gridCol w:w="3961"/>
        <w:gridCol w:w="1176"/>
        <w:gridCol w:w="1176"/>
        <w:gridCol w:w="1176"/>
        <w:gridCol w:w="1181"/>
      </w:tblGrid>
      <w:tr w:rsidR="008D4F0F" w:rsidRPr="00823CD0" w:rsidTr="00B75970">
        <w:trPr>
          <w:trHeight w:val="260"/>
          <w:jc w:val="center"/>
        </w:trPr>
        <w:tc>
          <w:tcPr>
            <w:tcW w:w="3961"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4708" w:type="dxa"/>
            <w:gridSpan w:val="4"/>
            <w:tcBorders>
              <w:top w:val="single" w:sz="4" w:space="0" w:color="A6A6A6"/>
              <w:left w:val="single" w:sz="4" w:space="0" w:color="A6A6A6"/>
              <w:bottom w:val="single" w:sz="4" w:space="0" w:color="A6A6A6"/>
              <w:right w:val="single" w:sz="4" w:space="0" w:color="A6A6A6"/>
            </w:tcBorders>
            <w:shd w:val="clear" w:color="000000" w:fill="00FF00"/>
            <w:noWrap/>
            <w:vAlign w:val="bottom"/>
            <w:hideMark/>
          </w:tcPr>
          <w:p w:rsidR="008D4F0F" w:rsidRPr="00823CD0" w:rsidRDefault="008D4F0F" w:rsidP="00B75970">
            <w:pPr>
              <w:jc w:val="cente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Nombre de postes de direction</w:t>
            </w:r>
          </w:p>
        </w:tc>
      </w:tr>
      <w:tr w:rsidR="008D4F0F" w:rsidRPr="00823CD0" w:rsidTr="00B75970">
        <w:trPr>
          <w:trHeight w:val="521"/>
          <w:jc w:val="center"/>
        </w:trPr>
        <w:tc>
          <w:tcPr>
            <w:tcW w:w="3961" w:type="dxa"/>
            <w:tcBorders>
              <w:top w:val="nil"/>
              <w:left w:val="nil"/>
              <w:bottom w:val="nil"/>
              <w:right w:val="nil"/>
            </w:tcBorders>
            <w:shd w:val="clear" w:color="auto" w:fill="auto"/>
            <w:noWrap/>
            <w:vAlign w:val="bottom"/>
            <w:hideMark/>
          </w:tcPr>
          <w:p w:rsidR="008D4F0F" w:rsidRPr="00823CD0" w:rsidRDefault="008D4F0F" w:rsidP="00B75970">
            <w:pPr>
              <w:jc w:val="center"/>
              <w:rPr>
                <w:rFonts w:ascii="Calibri" w:eastAsia="Times New Roman" w:hAnsi="Calibri" w:cs="Calibri"/>
                <w:b/>
                <w:bCs/>
                <w:color w:val="FFFFFF"/>
                <w:sz w:val="22"/>
                <w:szCs w:val="22"/>
                <w:lang w:eastAsia="fr-FR"/>
              </w:rPr>
            </w:pPr>
          </w:p>
        </w:tc>
        <w:tc>
          <w:tcPr>
            <w:tcW w:w="1176" w:type="dxa"/>
            <w:tcBorders>
              <w:top w:val="nil"/>
              <w:left w:val="single" w:sz="4" w:space="0" w:color="A6A6A6"/>
              <w:bottom w:val="single" w:sz="4" w:space="0" w:color="A6A6A6"/>
              <w:right w:val="single" w:sz="4" w:space="0" w:color="A6A6A6"/>
            </w:tcBorders>
            <w:shd w:val="clear" w:color="000000" w:fill="99FFCC"/>
            <w:vAlign w:val="center"/>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Femmes</w:t>
            </w:r>
          </w:p>
        </w:tc>
        <w:tc>
          <w:tcPr>
            <w:tcW w:w="1176" w:type="dxa"/>
            <w:tcBorders>
              <w:top w:val="nil"/>
              <w:left w:val="nil"/>
              <w:bottom w:val="single" w:sz="4" w:space="0" w:color="A6A6A6"/>
              <w:right w:val="single" w:sz="4" w:space="0" w:color="A6A6A6"/>
            </w:tcBorders>
            <w:shd w:val="clear" w:color="000000" w:fill="99FFCC"/>
            <w:vAlign w:val="center"/>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Hommes</w:t>
            </w:r>
          </w:p>
        </w:tc>
        <w:tc>
          <w:tcPr>
            <w:tcW w:w="1176" w:type="dxa"/>
            <w:tcBorders>
              <w:top w:val="nil"/>
              <w:left w:val="nil"/>
              <w:bottom w:val="single" w:sz="4" w:space="0" w:color="A6A6A6"/>
              <w:right w:val="single" w:sz="4" w:space="0" w:color="A6A6A6"/>
            </w:tcBorders>
            <w:shd w:val="clear" w:color="000000" w:fill="99FFCC"/>
            <w:vAlign w:val="center"/>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Total</w:t>
            </w:r>
          </w:p>
        </w:tc>
        <w:tc>
          <w:tcPr>
            <w:tcW w:w="1179" w:type="dxa"/>
            <w:tcBorders>
              <w:top w:val="nil"/>
              <w:left w:val="nil"/>
              <w:bottom w:val="single" w:sz="4" w:space="0" w:color="A6A6A6"/>
              <w:right w:val="single" w:sz="4" w:space="0" w:color="A6A6A6"/>
            </w:tcBorders>
            <w:shd w:val="clear" w:color="000000" w:fill="99FFCC"/>
            <w:vAlign w:val="center"/>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Part des femmes</w:t>
            </w:r>
          </w:p>
        </w:tc>
      </w:tr>
      <w:tr w:rsidR="008D4F0F" w:rsidRPr="00823CD0" w:rsidTr="00B75970">
        <w:trPr>
          <w:trHeight w:val="161"/>
          <w:jc w:val="center"/>
        </w:trPr>
        <w:tc>
          <w:tcPr>
            <w:tcW w:w="3961" w:type="dxa"/>
            <w:tcBorders>
              <w:top w:val="nil"/>
              <w:left w:val="nil"/>
              <w:bottom w:val="nil"/>
              <w:right w:val="nil"/>
            </w:tcBorders>
            <w:shd w:val="clear" w:color="auto" w:fill="auto"/>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9"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r>
      <w:tr w:rsidR="008D4F0F" w:rsidRPr="00823CD0" w:rsidTr="00B75970">
        <w:trPr>
          <w:trHeight w:val="260"/>
          <w:jc w:val="center"/>
        </w:trPr>
        <w:tc>
          <w:tcPr>
            <w:tcW w:w="8670" w:type="dxa"/>
            <w:gridSpan w:val="5"/>
            <w:tcBorders>
              <w:top w:val="single" w:sz="4" w:space="0" w:color="A6A6A6"/>
              <w:left w:val="single" w:sz="4" w:space="0" w:color="A6A6A6"/>
              <w:bottom w:val="single" w:sz="4" w:space="0" w:color="A6A6A6"/>
              <w:right w:val="single" w:sz="4" w:space="0" w:color="A6A6A6"/>
            </w:tcBorders>
            <w:shd w:val="clear" w:color="000000" w:fill="00FF00"/>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Postes de directeurs d'administration centrale, chef de l'inspection générale</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BFBFBF"/>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Directeurs généraux et Secrétaire général</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1</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3</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4</w:t>
            </w:r>
          </w:p>
        </w:tc>
        <w:tc>
          <w:tcPr>
            <w:tcW w:w="1179"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25%</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BFBFBF"/>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 xml:space="preserve">Autre </w:t>
            </w:r>
            <w:r w:rsidRPr="00823CD0">
              <w:rPr>
                <w:rFonts w:ascii="Calibri" w:eastAsia="Times New Roman" w:hAnsi="Calibri" w:cs="Calibri"/>
                <w:b/>
                <w:bCs/>
                <w:color w:val="00FF00"/>
                <w:sz w:val="22"/>
                <w:szCs w:val="22"/>
                <w:lang w:eastAsia="fr-FR"/>
              </w:rPr>
              <w:t>*</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2</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5</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7</w:t>
            </w:r>
          </w:p>
        </w:tc>
        <w:tc>
          <w:tcPr>
            <w:tcW w:w="1179"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29%</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823CD0" w:rsidRDefault="008D4F0F" w:rsidP="00B75970">
            <w:pP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Total</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3</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8</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11</w:t>
            </w:r>
          </w:p>
        </w:tc>
        <w:tc>
          <w:tcPr>
            <w:tcW w:w="1179"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27%</w:t>
            </w:r>
          </w:p>
        </w:tc>
      </w:tr>
      <w:tr w:rsidR="008D4F0F" w:rsidRPr="00823CD0" w:rsidTr="00B75970">
        <w:trPr>
          <w:trHeight w:val="161"/>
          <w:jc w:val="center"/>
        </w:trPr>
        <w:tc>
          <w:tcPr>
            <w:tcW w:w="3961" w:type="dxa"/>
            <w:tcBorders>
              <w:top w:val="nil"/>
              <w:left w:val="nil"/>
              <w:bottom w:val="nil"/>
              <w:right w:val="nil"/>
            </w:tcBorders>
            <w:shd w:val="clear" w:color="auto" w:fill="auto"/>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9"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r>
      <w:tr w:rsidR="008D4F0F" w:rsidRPr="00823CD0" w:rsidTr="00B75970">
        <w:trPr>
          <w:trHeight w:val="260"/>
          <w:jc w:val="center"/>
        </w:trPr>
        <w:tc>
          <w:tcPr>
            <w:tcW w:w="8670" w:type="dxa"/>
            <w:gridSpan w:val="5"/>
            <w:tcBorders>
              <w:top w:val="single" w:sz="4" w:space="0" w:color="A6A6A6"/>
              <w:left w:val="single" w:sz="4" w:space="0" w:color="A6A6A6"/>
              <w:bottom w:val="single" w:sz="4" w:space="0" w:color="A6A6A6"/>
              <w:right w:val="single" w:sz="4" w:space="0" w:color="A6A6A6"/>
            </w:tcBorders>
            <w:shd w:val="clear" w:color="000000" w:fill="00FF00"/>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Postes d'encadrements d'administration centrale (hors postes de directeurs)</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BFBFBF"/>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Chefs de service</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6</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3</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9</w:t>
            </w:r>
          </w:p>
        </w:tc>
        <w:tc>
          <w:tcPr>
            <w:tcW w:w="1179"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67%</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BFBFBF"/>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Sous-directeurs</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9</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11</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20</w:t>
            </w:r>
          </w:p>
        </w:tc>
        <w:tc>
          <w:tcPr>
            <w:tcW w:w="1179"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45%</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823CD0" w:rsidRDefault="008D4F0F" w:rsidP="00B75970">
            <w:pP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Total</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15</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14</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29</w:t>
            </w:r>
          </w:p>
        </w:tc>
        <w:tc>
          <w:tcPr>
            <w:tcW w:w="1179"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52%</w:t>
            </w:r>
          </w:p>
        </w:tc>
      </w:tr>
      <w:tr w:rsidR="008D4F0F" w:rsidRPr="00823CD0" w:rsidTr="00B75970">
        <w:trPr>
          <w:trHeight w:val="161"/>
          <w:jc w:val="center"/>
        </w:trPr>
        <w:tc>
          <w:tcPr>
            <w:tcW w:w="3961" w:type="dxa"/>
            <w:tcBorders>
              <w:top w:val="nil"/>
              <w:left w:val="nil"/>
              <w:bottom w:val="nil"/>
              <w:right w:val="nil"/>
            </w:tcBorders>
            <w:shd w:val="clear" w:color="auto" w:fill="auto"/>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6"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c>
          <w:tcPr>
            <w:tcW w:w="1179" w:type="dxa"/>
            <w:tcBorders>
              <w:top w:val="nil"/>
              <w:left w:val="nil"/>
              <w:bottom w:val="nil"/>
              <w:right w:val="nil"/>
            </w:tcBorders>
            <w:shd w:val="clear" w:color="auto" w:fill="auto"/>
            <w:noWrap/>
            <w:vAlign w:val="bottom"/>
            <w:hideMark/>
          </w:tcPr>
          <w:p w:rsidR="008D4F0F" w:rsidRPr="00823CD0" w:rsidRDefault="008D4F0F" w:rsidP="00B75970">
            <w:pPr>
              <w:rPr>
                <w:rFonts w:ascii="Times New Roman" w:eastAsia="Times New Roman" w:hAnsi="Times New Roman" w:cs="Times New Roman"/>
                <w:sz w:val="20"/>
                <w:szCs w:val="20"/>
                <w:lang w:eastAsia="fr-FR"/>
              </w:rPr>
            </w:pPr>
          </w:p>
        </w:tc>
      </w:tr>
      <w:tr w:rsidR="008D4F0F" w:rsidRPr="00823CD0" w:rsidTr="00B75970">
        <w:trPr>
          <w:trHeight w:val="260"/>
          <w:jc w:val="center"/>
        </w:trPr>
        <w:tc>
          <w:tcPr>
            <w:tcW w:w="8670" w:type="dxa"/>
            <w:gridSpan w:val="5"/>
            <w:tcBorders>
              <w:top w:val="single" w:sz="4" w:space="0" w:color="A6A6A6"/>
              <w:left w:val="single" w:sz="4" w:space="0" w:color="A6A6A6"/>
              <w:bottom w:val="single" w:sz="4" w:space="0" w:color="A6A6A6"/>
              <w:right w:val="single" w:sz="4" w:space="0" w:color="A6A6A6"/>
            </w:tcBorders>
            <w:shd w:val="clear" w:color="000000" w:fill="00FF00"/>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Directions régionales des affaires culturelles (DRAC)</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BFBFBF"/>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Directeurs régionaux</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8</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13</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21</w:t>
            </w:r>
          </w:p>
        </w:tc>
        <w:tc>
          <w:tcPr>
            <w:tcW w:w="1179"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38%</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BFBFBF"/>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Directeurs régionaux adjoints</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15</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10</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25</w:t>
            </w:r>
          </w:p>
        </w:tc>
        <w:tc>
          <w:tcPr>
            <w:tcW w:w="1179"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60%</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BFBFBF"/>
            <w:noWrap/>
            <w:vAlign w:val="bottom"/>
            <w:hideMark/>
          </w:tcPr>
          <w:p w:rsidR="008D4F0F" w:rsidRPr="00823CD0" w:rsidRDefault="008D4F0F" w:rsidP="00B75970">
            <w:pPr>
              <w:rPr>
                <w:rFonts w:ascii="Calibri" w:eastAsia="Times New Roman" w:hAnsi="Calibri" w:cs="Calibri"/>
                <w:b/>
                <w:bCs/>
                <w:color w:val="FFFFFF"/>
                <w:sz w:val="22"/>
                <w:szCs w:val="22"/>
                <w:lang w:eastAsia="fr-FR"/>
              </w:rPr>
            </w:pPr>
            <w:r w:rsidRPr="00823CD0">
              <w:rPr>
                <w:rFonts w:ascii="Calibri" w:eastAsia="Times New Roman" w:hAnsi="Calibri" w:cs="Calibri"/>
                <w:b/>
                <w:bCs/>
                <w:color w:val="FFFFFF"/>
                <w:sz w:val="22"/>
                <w:szCs w:val="22"/>
                <w:lang w:eastAsia="fr-FR"/>
              </w:rPr>
              <w:t>Secrétaires généraux</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15</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9</w:t>
            </w:r>
          </w:p>
        </w:tc>
        <w:tc>
          <w:tcPr>
            <w:tcW w:w="1176"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24</w:t>
            </w:r>
          </w:p>
        </w:tc>
        <w:tc>
          <w:tcPr>
            <w:tcW w:w="1179" w:type="dxa"/>
            <w:tcBorders>
              <w:top w:val="nil"/>
              <w:left w:val="nil"/>
              <w:bottom w:val="single" w:sz="4" w:space="0" w:color="A6A6A6"/>
              <w:right w:val="single" w:sz="4" w:space="0" w:color="A6A6A6"/>
            </w:tcBorders>
            <w:shd w:val="clear" w:color="auto" w:fill="auto"/>
            <w:noWrap/>
            <w:vAlign w:val="bottom"/>
            <w:hideMark/>
          </w:tcPr>
          <w:p w:rsidR="008D4F0F" w:rsidRPr="00823CD0" w:rsidRDefault="008D4F0F" w:rsidP="00B75970">
            <w:pPr>
              <w:jc w:val="center"/>
              <w:rPr>
                <w:rFonts w:ascii="Calibri" w:eastAsia="Times New Roman" w:hAnsi="Calibri" w:cs="Calibri"/>
                <w:color w:val="000000"/>
                <w:sz w:val="22"/>
                <w:szCs w:val="22"/>
                <w:lang w:eastAsia="fr-FR"/>
              </w:rPr>
            </w:pPr>
            <w:r w:rsidRPr="00823CD0">
              <w:rPr>
                <w:rFonts w:ascii="Calibri" w:eastAsia="Times New Roman" w:hAnsi="Calibri" w:cs="Calibri"/>
                <w:color w:val="000000"/>
                <w:sz w:val="22"/>
                <w:szCs w:val="22"/>
                <w:lang w:eastAsia="fr-FR"/>
              </w:rPr>
              <w:t>62%</w:t>
            </w:r>
          </w:p>
        </w:tc>
      </w:tr>
      <w:tr w:rsidR="008D4F0F" w:rsidRPr="00823CD0" w:rsidTr="00B75970">
        <w:trPr>
          <w:trHeight w:val="260"/>
          <w:jc w:val="center"/>
        </w:trPr>
        <w:tc>
          <w:tcPr>
            <w:tcW w:w="3961"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823CD0" w:rsidRDefault="008D4F0F" w:rsidP="00B75970">
            <w:pP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Total</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38</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32</w:t>
            </w:r>
          </w:p>
        </w:tc>
        <w:tc>
          <w:tcPr>
            <w:tcW w:w="1176"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70</w:t>
            </w:r>
          </w:p>
        </w:tc>
        <w:tc>
          <w:tcPr>
            <w:tcW w:w="1179" w:type="dxa"/>
            <w:tcBorders>
              <w:top w:val="nil"/>
              <w:left w:val="nil"/>
              <w:bottom w:val="single" w:sz="4" w:space="0" w:color="A6A6A6"/>
              <w:right w:val="single" w:sz="4" w:space="0" w:color="A6A6A6"/>
            </w:tcBorders>
            <w:shd w:val="clear" w:color="000000" w:fill="99FFCC"/>
            <w:noWrap/>
            <w:vAlign w:val="bottom"/>
            <w:hideMark/>
          </w:tcPr>
          <w:p w:rsidR="008D4F0F" w:rsidRPr="00823CD0" w:rsidRDefault="008D4F0F" w:rsidP="00B75970">
            <w:pPr>
              <w:jc w:val="center"/>
              <w:rPr>
                <w:rFonts w:ascii="Calibri" w:eastAsia="Times New Roman" w:hAnsi="Calibri" w:cs="Calibri"/>
                <w:b/>
                <w:bCs/>
                <w:color w:val="808080"/>
                <w:sz w:val="22"/>
                <w:szCs w:val="22"/>
                <w:lang w:eastAsia="fr-FR"/>
              </w:rPr>
            </w:pPr>
            <w:r w:rsidRPr="00823CD0">
              <w:rPr>
                <w:rFonts w:ascii="Calibri" w:eastAsia="Times New Roman" w:hAnsi="Calibri" w:cs="Calibri"/>
                <w:b/>
                <w:bCs/>
                <w:color w:val="808080"/>
                <w:sz w:val="22"/>
                <w:szCs w:val="22"/>
                <w:lang w:eastAsia="fr-FR"/>
              </w:rPr>
              <w:t>54 %</w:t>
            </w:r>
          </w:p>
        </w:tc>
      </w:tr>
      <w:tr w:rsidR="008D4F0F" w:rsidRPr="00823CD0" w:rsidTr="00B75970">
        <w:trPr>
          <w:trHeight w:val="485"/>
          <w:jc w:val="center"/>
        </w:trPr>
        <w:tc>
          <w:tcPr>
            <w:tcW w:w="8670" w:type="dxa"/>
            <w:gridSpan w:val="5"/>
            <w:tcBorders>
              <w:top w:val="nil"/>
              <w:left w:val="nil"/>
              <w:bottom w:val="nil"/>
              <w:right w:val="nil"/>
            </w:tcBorders>
            <w:shd w:val="clear" w:color="auto" w:fill="auto"/>
            <w:vAlign w:val="center"/>
            <w:hideMark/>
          </w:tcPr>
          <w:p w:rsidR="008D4F0F" w:rsidRPr="00823CD0" w:rsidRDefault="008D4F0F" w:rsidP="00B75970">
            <w:pPr>
              <w:rPr>
                <w:rFonts w:ascii="Arial" w:eastAsia="Times New Roman" w:hAnsi="Arial" w:cs="Arial"/>
                <w:color w:val="000000"/>
                <w:sz w:val="18"/>
                <w:szCs w:val="18"/>
                <w:lang w:eastAsia="fr-FR"/>
              </w:rPr>
            </w:pPr>
            <w:r w:rsidRPr="00823CD0">
              <w:rPr>
                <w:rFonts w:ascii="Arial" w:eastAsia="Times New Roman" w:hAnsi="Arial" w:cs="Arial"/>
                <w:color w:val="00FF00"/>
                <w:sz w:val="18"/>
                <w:szCs w:val="18"/>
                <w:lang w:eastAsia="fr-FR"/>
              </w:rPr>
              <w:t>*</w:t>
            </w:r>
            <w:r w:rsidRPr="00823CD0">
              <w:rPr>
                <w:rFonts w:ascii="Arial" w:eastAsia="Times New Roman" w:hAnsi="Arial" w:cs="Arial"/>
                <w:color w:val="000000"/>
                <w:sz w:val="18"/>
                <w:szCs w:val="18"/>
                <w:lang w:eastAsia="fr-FR"/>
              </w:rPr>
              <w:t xml:space="preserve"> DG adjoints, secrétaire général adjoint, délégué général à la langue française, chef de l'inspection générale des affaires culturelles</w:t>
            </w:r>
          </w:p>
        </w:tc>
      </w:tr>
    </w:tbl>
    <w:p w:rsidR="008D4F0F" w:rsidRDefault="008D4F0F" w:rsidP="008D4F0F">
      <w:pPr>
        <w:widowControl w:val="0"/>
        <w:autoSpaceDE w:val="0"/>
        <w:autoSpaceDN w:val="0"/>
        <w:adjustRightInd w:val="0"/>
        <w:rPr>
          <w:rFonts w:cs="Times"/>
          <w:sz w:val="22"/>
        </w:rPr>
      </w:pPr>
    </w:p>
    <w:p w:rsidR="008D4F0F" w:rsidRPr="007A4B95" w:rsidRDefault="008D4F0F" w:rsidP="008D4F0F">
      <w:pPr>
        <w:widowControl w:val="0"/>
        <w:autoSpaceDE w:val="0"/>
        <w:autoSpaceDN w:val="0"/>
        <w:adjustRightInd w:val="0"/>
        <w:ind w:left="1134" w:hanging="1134"/>
        <w:rPr>
          <w:rFonts w:ascii="Florencesans Exp" w:hAnsi="Florencesans Exp"/>
        </w:rPr>
      </w:pPr>
      <w:r w:rsidRPr="007A4B95">
        <w:rPr>
          <w:rFonts w:ascii="Florencesans Exp" w:hAnsi="Florencesans Exp"/>
        </w:rPr>
        <w:t>3. B. 2. PART DES FEMMES DANS LES POSTES DE DIRECTION DES SERVICES A COMPETENCE NATIONALE</w:t>
      </w:r>
    </w:p>
    <w:p w:rsidR="008D4F0F" w:rsidRPr="00421707" w:rsidRDefault="008D4F0F" w:rsidP="008D4F0F">
      <w:pPr>
        <w:widowControl w:val="0"/>
        <w:autoSpaceDE w:val="0"/>
        <w:autoSpaceDN w:val="0"/>
        <w:adjustRightInd w:val="0"/>
        <w:rPr>
          <w:rFonts w:cs="Times"/>
          <w:sz w:val="18"/>
          <w:szCs w:val="18"/>
        </w:rPr>
      </w:pPr>
    </w:p>
    <w:tbl>
      <w:tblPr>
        <w:tblW w:w="8618" w:type="dxa"/>
        <w:jc w:val="center"/>
        <w:tblCellMar>
          <w:left w:w="70" w:type="dxa"/>
          <w:right w:w="70" w:type="dxa"/>
        </w:tblCellMar>
        <w:tblLook w:val="04A0" w:firstRow="1" w:lastRow="0" w:firstColumn="1" w:lastColumn="0" w:noHBand="0" w:noVBand="1"/>
      </w:tblPr>
      <w:tblGrid>
        <w:gridCol w:w="3939"/>
        <w:gridCol w:w="1169"/>
        <w:gridCol w:w="1169"/>
        <w:gridCol w:w="1169"/>
        <w:gridCol w:w="1172"/>
      </w:tblGrid>
      <w:tr w:rsidR="008D4F0F" w:rsidRPr="00823CD0" w:rsidTr="00B75970">
        <w:trPr>
          <w:trHeight w:val="206"/>
          <w:jc w:val="center"/>
        </w:trPr>
        <w:tc>
          <w:tcPr>
            <w:tcW w:w="3939" w:type="dxa"/>
            <w:tcBorders>
              <w:top w:val="nil"/>
              <w:left w:val="nil"/>
              <w:bottom w:val="nil"/>
              <w:right w:val="nil"/>
            </w:tcBorders>
            <w:shd w:val="clear" w:color="000000" w:fill="FFFFFF"/>
            <w:vAlign w:val="bottom"/>
            <w:hideMark/>
          </w:tcPr>
          <w:p w:rsidR="008D4F0F" w:rsidRPr="00823CD0" w:rsidRDefault="008D4F0F" w:rsidP="00B75970">
            <w:pPr>
              <w:rPr>
                <w:rFonts w:ascii="Liberation Sans" w:eastAsia="Times New Roman" w:hAnsi="Liberation Sans" w:cs="Liberation Sans"/>
                <w:color w:val="000000"/>
                <w:sz w:val="22"/>
                <w:szCs w:val="22"/>
                <w:lang w:eastAsia="fr-FR"/>
              </w:rPr>
            </w:pPr>
            <w:r w:rsidRPr="00823CD0">
              <w:rPr>
                <w:rFonts w:ascii="Liberation Sans" w:eastAsia="Times New Roman" w:hAnsi="Liberation Sans" w:cs="Liberation Sans"/>
                <w:color w:val="000000"/>
                <w:sz w:val="22"/>
                <w:szCs w:val="22"/>
                <w:lang w:eastAsia="fr-FR"/>
              </w:rPr>
              <w:t> </w:t>
            </w:r>
          </w:p>
        </w:tc>
        <w:tc>
          <w:tcPr>
            <w:tcW w:w="4679" w:type="dxa"/>
            <w:gridSpan w:val="4"/>
            <w:tcBorders>
              <w:top w:val="single" w:sz="4" w:space="0" w:color="808080"/>
              <w:left w:val="single" w:sz="4" w:space="0" w:color="808080"/>
              <w:bottom w:val="single" w:sz="4" w:space="0" w:color="808080"/>
              <w:right w:val="single" w:sz="4" w:space="0" w:color="808080"/>
            </w:tcBorders>
            <w:shd w:val="clear" w:color="000000" w:fill="00FF80"/>
            <w:vAlign w:val="center"/>
            <w:hideMark/>
          </w:tcPr>
          <w:p w:rsidR="008D4F0F" w:rsidRPr="00823CD0" w:rsidRDefault="008D4F0F" w:rsidP="00B75970">
            <w:pPr>
              <w:jc w:val="center"/>
              <w:rPr>
                <w:rFonts w:ascii="Arial" w:eastAsia="Times New Roman" w:hAnsi="Arial" w:cs="Arial"/>
                <w:b/>
                <w:bCs/>
                <w:color w:val="FFFFFF"/>
                <w:sz w:val="20"/>
                <w:szCs w:val="20"/>
                <w:lang w:eastAsia="fr-FR"/>
              </w:rPr>
            </w:pPr>
            <w:r w:rsidRPr="00823CD0">
              <w:rPr>
                <w:rFonts w:ascii="Arial" w:eastAsia="Times New Roman" w:hAnsi="Arial" w:cs="Arial"/>
                <w:b/>
                <w:bCs/>
                <w:color w:val="FFFFFF"/>
                <w:sz w:val="20"/>
                <w:szCs w:val="20"/>
                <w:lang w:eastAsia="fr-FR"/>
              </w:rPr>
              <w:t>Nombre de postes de direction</w:t>
            </w:r>
          </w:p>
        </w:tc>
      </w:tr>
      <w:tr w:rsidR="008D4F0F" w:rsidRPr="00823CD0" w:rsidTr="00B75970">
        <w:trPr>
          <w:trHeight w:val="371"/>
          <w:jc w:val="center"/>
        </w:trPr>
        <w:tc>
          <w:tcPr>
            <w:tcW w:w="3939" w:type="dxa"/>
            <w:tcBorders>
              <w:top w:val="nil"/>
              <w:left w:val="nil"/>
              <w:bottom w:val="nil"/>
              <w:right w:val="nil"/>
            </w:tcBorders>
            <w:shd w:val="clear" w:color="000000" w:fill="FFFFFF"/>
            <w:vAlign w:val="bottom"/>
            <w:hideMark/>
          </w:tcPr>
          <w:p w:rsidR="008D4F0F" w:rsidRPr="00823CD0" w:rsidRDefault="008D4F0F" w:rsidP="00B75970">
            <w:pPr>
              <w:rPr>
                <w:rFonts w:ascii="Liberation Sans" w:eastAsia="Times New Roman" w:hAnsi="Liberation Sans" w:cs="Liberation Sans"/>
                <w:color w:val="000000"/>
                <w:sz w:val="22"/>
                <w:szCs w:val="22"/>
                <w:lang w:eastAsia="fr-FR"/>
              </w:rPr>
            </w:pPr>
            <w:r w:rsidRPr="00823CD0">
              <w:rPr>
                <w:rFonts w:ascii="Liberation Sans" w:eastAsia="Times New Roman" w:hAnsi="Liberation Sans" w:cs="Liberation Sans"/>
                <w:color w:val="000000"/>
                <w:sz w:val="22"/>
                <w:szCs w:val="22"/>
                <w:lang w:eastAsia="fr-FR"/>
              </w:rPr>
              <w:t> </w:t>
            </w:r>
          </w:p>
        </w:tc>
        <w:tc>
          <w:tcPr>
            <w:tcW w:w="1169"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823CD0" w:rsidRDefault="008D4F0F" w:rsidP="00B75970">
            <w:pPr>
              <w:jc w:val="center"/>
              <w:rPr>
                <w:rFonts w:ascii="Arial" w:eastAsia="Times New Roman" w:hAnsi="Arial" w:cs="Arial"/>
                <w:b/>
                <w:bCs/>
                <w:color w:val="808080"/>
                <w:sz w:val="20"/>
                <w:szCs w:val="20"/>
                <w:lang w:eastAsia="fr-FR"/>
              </w:rPr>
            </w:pPr>
            <w:r w:rsidRPr="00823CD0">
              <w:rPr>
                <w:rFonts w:ascii="Arial" w:eastAsia="Times New Roman" w:hAnsi="Arial" w:cs="Arial"/>
                <w:b/>
                <w:bCs/>
                <w:color w:val="808080"/>
                <w:sz w:val="20"/>
                <w:szCs w:val="20"/>
                <w:lang w:eastAsia="fr-FR"/>
              </w:rPr>
              <w:t>Femmes</w:t>
            </w:r>
          </w:p>
        </w:tc>
        <w:tc>
          <w:tcPr>
            <w:tcW w:w="1169" w:type="dxa"/>
            <w:tcBorders>
              <w:top w:val="nil"/>
              <w:left w:val="nil"/>
              <w:bottom w:val="single" w:sz="4" w:space="0" w:color="808080"/>
              <w:right w:val="single" w:sz="4" w:space="0" w:color="808080"/>
            </w:tcBorders>
            <w:shd w:val="clear" w:color="000000" w:fill="99FFCC"/>
            <w:vAlign w:val="center"/>
            <w:hideMark/>
          </w:tcPr>
          <w:p w:rsidR="008D4F0F" w:rsidRPr="00823CD0" w:rsidRDefault="008D4F0F" w:rsidP="00B75970">
            <w:pPr>
              <w:jc w:val="center"/>
              <w:rPr>
                <w:rFonts w:ascii="Arial" w:eastAsia="Times New Roman" w:hAnsi="Arial" w:cs="Arial"/>
                <w:b/>
                <w:bCs/>
                <w:color w:val="808080"/>
                <w:sz w:val="20"/>
                <w:szCs w:val="20"/>
                <w:lang w:eastAsia="fr-FR"/>
              </w:rPr>
            </w:pPr>
            <w:r w:rsidRPr="00823CD0">
              <w:rPr>
                <w:rFonts w:ascii="Arial" w:eastAsia="Times New Roman" w:hAnsi="Arial" w:cs="Arial"/>
                <w:b/>
                <w:bCs/>
                <w:color w:val="808080"/>
                <w:sz w:val="20"/>
                <w:szCs w:val="20"/>
                <w:lang w:eastAsia="fr-FR"/>
              </w:rPr>
              <w:t>Hommes</w:t>
            </w:r>
          </w:p>
        </w:tc>
        <w:tc>
          <w:tcPr>
            <w:tcW w:w="1169" w:type="dxa"/>
            <w:tcBorders>
              <w:top w:val="nil"/>
              <w:left w:val="nil"/>
              <w:bottom w:val="single" w:sz="4" w:space="0" w:color="808080"/>
              <w:right w:val="single" w:sz="4" w:space="0" w:color="808080"/>
            </w:tcBorders>
            <w:shd w:val="clear" w:color="000000" w:fill="99FFCC"/>
            <w:vAlign w:val="center"/>
            <w:hideMark/>
          </w:tcPr>
          <w:p w:rsidR="008D4F0F" w:rsidRPr="00823CD0" w:rsidRDefault="008D4F0F" w:rsidP="00B75970">
            <w:pPr>
              <w:jc w:val="center"/>
              <w:rPr>
                <w:rFonts w:ascii="Arial" w:eastAsia="Times New Roman" w:hAnsi="Arial" w:cs="Arial"/>
                <w:b/>
                <w:bCs/>
                <w:color w:val="808080"/>
                <w:sz w:val="20"/>
                <w:szCs w:val="20"/>
                <w:lang w:eastAsia="fr-FR"/>
              </w:rPr>
            </w:pPr>
            <w:r w:rsidRPr="00823CD0">
              <w:rPr>
                <w:rFonts w:ascii="Arial" w:eastAsia="Times New Roman" w:hAnsi="Arial" w:cs="Arial"/>
                <w:b/>
                <w:bCs/>
                <w:color w:val="808080"/>
                <w:sz w:val="20"/>
                <w:szCs w:val="20"/>
                <w:lang w:eastAsia="fr-FR"/>
              </w:rPr>
              <w:t>Total</w:t>
            </w:r>
          </w:p>
        </w:tc>
        <w:tc>
          <w:tcPr>
            <w:tcW w:w="1172" w:type="dxa"/>
            <w:tcBorders>
              <w:top w:val="nil"/>
              <w:left w:val="nil"/>
              <w:bottom w:val="single" w:sz="4" w:space="0" w:color="808080"/>
              <w:right w:val="single" w:sz="4" w:space="0" w:color="808080"/>
            </w:tcBorders>
            <w:shd w:val="clear" w:color="000000" w:fill="99FFCC"/>
            <w:vAlign w:val="center"/>
            <w:hideMark/>
          </w:tcPr>
          <w:p w:rsidR="008D4F0F" w:rsidRPr="00823CD0" w:rsidRDefault="008D4F0F" w:rsidP="00B75970">
            <w:pPr>
              <w:jc w:val="center"/>
              <w:rPr>
                <w:rFonts w:ascii="Arial" w:eastAsia="Times New Roman" w:hAnsi="Arial" w:cs="Arial"/>
                <w:b/>
                <w:bCs/>
                <w:color w:val="808080"/>
                <w:sz w:val="20"/>
                <w:szCs w:val="20"/>
                <w:lang w:eastAsia="fr-FR"/>
              </w:rPr>
            </w:pPr>
            <w:r w:rsidRPr="00823CD0">
              <w:rPr>
                <w:rFonts w:ascii="Arial" w:eastAsia="Times New Roman" w:hAnsi="Arial" w:cs="Arial"/>
                <w:b/>
                <w:bCs/>
                <w:color w:val="808080"/>
                <w:sz w:val="20"/>
                <w:szCs w:val="20"/>
                <w:lang w:eastAsia="fr-FR"/>
              </w:rPr>
              <w:t>Part des femmes</w:t>
            </w:r>
          </w:p>
        </w:tc>
      </w:tr>
      <w:tr w:rsidR="008D4F0F" w:rsidRPr="00823CD0" w:rsidTr="00B75970">
        <w:trPr>
          <w:trHeight w:val="342"/>
          <w:jc w:val="center"/>
        </w:trPr>
        <w:tc>
          <w:tcPr>
            <w:tcW w:w="3939" w:type="dxa"/>
            <w:tcBorders>
              <w:top w:val="single" w:sz="4" w:space="0" w:color="808080"/>
              <w:left w:val="single" w:sz="4" w:space="0" w:color="808080"/>
              <w:bottom w:val="single" w:sz="4" w:space="0" w:color="808080"/>
              <w:right w:val="single" w:sz="4" w:space="0" w:color="808080"/>
            </w:tcBorders>
            <w:shd w:val="clear" w:color="000000" w:fill="BFBFBF"/>
            <w:vAlign w:val="center"/>
            <w:hideMark/>
          </w:tcPr>
          <w:p w:rsidR="008D4F0F" w:rsidRPr="00823CD0" w:rsidRDefault="008D4F0F" w:rsidP="00B75970">
            <w:pPr>
              <w:rPr>
                <w:rFonts w:ascii="Arial" w:eastAsia="Times New Roman" w:hAnsi="Arial" w:cs="Arial"/>
                <w:b/>
                <w:bCs/>
                <w:color w:val="FFFFFF"/>
                <w:sz w:val="20"/>
                <w:szCs w:val="20"/>
                <w:lang w:eastAsia="fr-FR"/>
              </w:rPr>
            </w:pPr>
            <w:r w:rsidRPr="00823CD0">
              <w:rPr>
                <w:rFonts w:ascii="Arial" w:eastAsia="Times New Roman" w:hAnsi="Arial" w:cs="Arial"/>
                <w:b/>
                <w:bCs/>
                <w:color w:val="FFFFFF"/>
                <w:sz w:val="20"/>
                <w:szCs w:val="20"/>
                <w:lang w:eastAsia="fr-FR"/>
              </w:rPr>
              <w:t>Directeurs généraux, directeurs</w:t>
            </w:r>
          </w:p>
        </w:tc>
        <w:tc>
          <w:tcPr>
            <w:tcW w:w="1169" w:type="dxa"/>
            <w:tcBorders>
              <w:top w:val="nil"/>
              <w:left w:val="nil"/>
              <w:bottom w:val="single" w:sz="4" w:space="0" w:color="808080"/>
              <w:right w:val="single" w:sz="4" w:space="0" w:color="808080"/>
            </w:tcBorders>
            <w:shd w:val="clear" w:color="000000" w:fill="FFFFFF"/>
            <w:vAlign w:val="center"/>
            <w:hideMark/>
          </w:tcPr>
          <w:p w:rsidR="008D4F0F" w:rsidRPr="00823CD0" w:rsidRDefault="008D4F0F" w:rsidP="00B75970">
            <w:pPr>
              <w:jc w:val="center"/>
              <w:rPr>
                <w:rFonts w:ascii="Arial" w:eastAsia="Times New Roman" w:hAnsi="Arial" w:cs="Arial"/>
                <w:color w:val="000000"/>
                <w:sz w:val="20"/>
                <w:szCs w:val="20"/>
                <w:lang w:eastAsia="fr-FR"/>
              </w:rPr>
            </w:pPr>
            <w:r w:rsidRPr="00823CD0">
              <w:rPr>
                <w:rFonts w:ascii="Arial" w:eastAsia="Times New Roman" w:hAnsi="Arial" w:cs="Arial"/>
                <w:color w:val="000000"/>
                <w:sz w:val="20"/>
                <w:szCs w:val="20"/>
                <w:lang w:eastAsia="fr-FR"/>
              </w:rPr>
              <w:t>5</w:t>
            </w:r>
          </w:p>
        </w:tc>
        <w:tc>
          <w:tcPr>
            <w:tcW w:w="1169" w:type="dxa"/>
            <w:tcBorders>
              <w:top w:val="nil"/>
              <w:left w:val="nil"/>
              <w:bottom w:val="single" w:sz="4" w:space="0" w:color="808080"/>
              <w:right w:val="single" w:sz="4" w:space="0" w:color="808080"/>
            </w:tcBorders>
            <w:shd w:val="clear" w:color="000000" w:fill="FFFFFF"/>
            <w:vAlign w:val="center"/>
            <w:hideMark/>
          </w:tcPr>
          <w:p w:rsidR="008D4F0F" w:rsidRPr="00823CD0" w:rsidRDefault="008D4F0F" w:rsidP="00B75970">
            <w:pPr>
              <w:jc w:val="center"/>
              <w:rPr>
                <w:rFonts w:ascii="Arial" w:eastAsia="Times New Roman" w:hAnsi="Arial" w:cs="Arial"/>
                <w:color w:val="000000"/>
                <w:sz w:val="20"/>
                <w:szCs w:val="20"/>
                <w:lang w:eastAsia="fr-FR"/>
              </w:rPr>
            </w:pPr>
            <w:r w:rsidRPr="00823CD0">
              <w:rPr>
                <w:rFonts w:ascii="Arial" w:eastAsia="Times New Roman" w:hAnsi="Arial" w:cs="Arial"/>
                <w:color w:val="000000"/>
                <w:sz w:val="20"/>
                <w:szCs w:val="20"/>
                <w:lang w:eastAsia="fr-FR"/>
              </w:rPr>
              <w:t>13</w:t>
            </w:r>
          </w:p>
        </w:tc>
        <w:tc>
          <w:tcPr>
            <w:tcW w:w="1169" w:type="dxa"/>
            <w:tcBorders>
              <w:top w:val="nil"/>
              <w:left w:val="nil"/>
              <w:bottom w:val="single" w:sz="4" w:space="0" w:color="808080"/>
              <w:right w:val="single" w:sz="4" w:space="0" w:color="808080"/>
            </w:tcBorders>
            <w:shd w:val="clear" w:color="000000" w:fill="FFFFFF"/>
            <w:vAlign w:val="center"/>
            <w:hideMark/>
          </w:tcPr>
          <w:p w:rsidR="008D4F0F" w:rsidRPr="00823CD0" w:rsidRDefault="008D4F0F" w:rsidP="00B75970">
            <w:pPr>
              <w:jc w:val="center"/>
              <w:rPr>
                <w:rFonts w:ascii="Arial" w:eastAsia="Times New Roman" w:hAnsi="Arial" w:cs="Arial"/>
                <w:color w:val="000000"/>
                <w:sz w:val="20"/>
                <w:szCs w:val="20"/>
                <w:lang w:eastAsia="fr-FR"/>
              </w:rPr>
            </w:pPr>
            <w:r w:rsidRPr="00823CD0">
              <w:rPr>
                <w:rFonts w:ascii="Arial" w:eastAsia="Times New Roman" w:hAnsi="Arial" w:cs="Arial"/>
                <w:color w:val="000000"/>
                <w:sz w:val="20"/>
                <w:szCs w:val="20"/>
                <w:lang w:eastAsia="fr-FR"/>
              </w:rPr>
              <w:t>18</w:t>
            </w:r>
          </w:p>
        </w:tc>
        <w:tc>
          <w:tcPr>
            <w:tcW w:w="1172" w:type="dxa"/>
            <w:tcBorders>
              <w:top w:val="nil"/>
              <w:left w:val="nil"/>
              <w:bottom w:val="single" w:sz="4" w:space="0" w:color="808080"/>
              <w:right w:val="single" w:sz="4" w:space="0" w:color="808080"/>
            </w:tcBorders>
            <w:shd w:val="clear" w:color="000000" w:fill="FFFFFF"/>
            <w:vAlign w:val="center"/>
            <w:hideMark/>
          </w:tcPr>
          <w:p w:rsidR="008D4F0F" w:rsidRPr="00823CD0" w:rsidRDefault="008D4F0F" w:rsidP="00B75970">
            <w:pPr>
              <w:jc w:val="center"/>
              <w:rPr>
                <w:rFonts w:ascii="Arial" w:eastAsia="Times New Roman" w:hAnsi="Arial" w:cs="Arial"/>
                <w:color w:val="000000"/>
                <w:sz w:val="20"/>
                <w:szCs w:val="20"/>
                <w:lang w:eastAsia="fr-FR"/>
              </w:rPr>
            </w:pPr>
            <w:r w:rsidRPr="00823CD0">
              <w:rPr>
                <w:rFonts w:ascii="Arial" w:eastAsia="Times New Roman" w:hAnsi="Arial" w:cs="Arial"/>
                <w:color w:val="000000"/>
                <w:sz w:val="20"/>
                <w:szCs w:val="20"/>
                <w:lang w:eastAsia="fr-FR"/>
              </w:rPr>
              <w:t>28%</w:t>
            </w:r>
          </w:p>
        </w:tc>
      </w:tr>
    </w:tbl>
    <w:p w:rsidR="008D4F0F" w:rsidRDefault="008D4F0F" w:rsidP="008D4F0F">
      <w:pPr>
        <w:widowControl w:val="0"/>
        <w:autoSpaceDE w:val="0"/>
        <w:autoSpaceDN w:val="0"/>
        <w:adjustRightInd w:val="0"/>
        <w:rPr>
          <w:rFonts w:cs="Times"/>
          <w:sz w:val="22"/>
        </w:rPr>
      </w:pPr>
    </w:p>
    <w:p w:rsidR="008D4F0F" w:rsidRPr="007A4B95" w:rsidRDefault="008D4F0F" w:rsidP="008D4F0F">
      <w:pPr>
        <w:widowControl w:val="0"/>
        <w:autoSpaceDE w:val="0"/>
        <w:autoSpaceDN w:val="0"/>
        <w:adjustRightInd w:val="0"/>
        <w:ind w:left="1134" w:hanging="1134"/>
        <w:jc w:val="both"/>
        <w:rPr>
          <w:rFonts w:ascii="Florencesans Exp" w:hAnsi="Florencesans Exp"/>
        </w:rPr>
      </w:pPr>
      <w:r w:rsidRPr="007A4B95">
        <w:rPr>
          <w:rFonts w:ascii="Florencesans Exp" w:hAnsi="Florencesans Exp"/>
        </w:rPr>
        <w:t>3. B. 3. PART DES FEMMES DANS LES POSTES DE DIRECTION DES ETABLISSEMENTS PUBLICS DU MINISTERE DE LA CULTURE ET DE LA COMMUNICATION</w:t>
      </w:r>
    </w:p>
    <w:p w:rsidR="008D4F0F" w:rsidRPr="00421707" w:rsidRDefault="008D4F0F" w:rsidP="008D4F0F">
      <w:pPr>
        <w:widowControl w:val="0"/>
        <w:autoSpaceDE w:val="0"/>
        <w:autoSpaceDN w:val="0"/>
        <w:adjustRightInd w:val="0"/>
        <w:rPr>
          <w:rFonts w:cs="Times"/>
          <w:sz w:val="18"/>
          <w:szCs w:val="18"/>
        </w:rPr>
      </w:pPr>
    </w:p>
    <w:tbl>
      <w:tblPr>
        <w:tblW w:w="8350" w:type="dxa"/>
        <w:jc w:val="center"/>
        <w:tblCellMar>
          <w:left w:w="70" w:type="dxa"/>
          <w:right w:w="70" w:type="dxa"/>
        </w:tblCellMar>
        <w:tblLook w:val="04A0" w:firstRow="1" w:lastRow="0" w:firstColumn="1" w:lastColumn="0" w:noHBand="0" w:noVBand="1"/>
      </w:tblPr>
      <w:tblGrid>
        <w:gridCol w:w="3886"/>
        <w:gridCol w:w="1115"/>
        <w:gridCol w:w="1115"/>
        <w:gridCol w:w="1115"/>
        <w:gridCol w:w="1119"/>
      </w:tblGrid>
      <w:tr w:rsidR="008D4F0F" w:rsidRPr="00421707" w:rsidTr="00B75970">
        <w:trPr>
          <w:trHeight w:val="240"/>
          <w:jc w:val="center"/>
        </w:trPr>
        <w:tc>
          <w:tcPr>
            <w:tcW w:w="3886" w:type="dxa"/>
            <w:tcBorders>
              <w:top w:val="nil"/>
              <w:left w:val="nil"/>
              <w:bottom w:val="nil"/>
              <w:right w:val="nil"/>
            </w:tcBorders>
            <w:shd w:val="clear" w:color="000000" w:fill="FFFFFF"/>
            <w:vAlign w:val="bottom"/>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4463" w:type="dxa"/>
            <w:gridSpan w:val="4"/>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421707" w:rsidRDefault="008D4F0F" w:rsidP="00B75970">
            <w:pPr>
              <w:jc w:val="center"/>
              <w:rPr>
                <w:rFonts w:ascii="Arial" w:eastAsia="Times New Roman" w:hAnsi="Arial" w:cs="Arial"/>
                <w:b/>
                <w:bCs/>
                <w:color w:val="FFFFFF"/>
                <w:sz w:val="20"/>
                <w:szCs w:val="20"/>
                <w:lang w:eastAsia="fr-FR"/>
              </w:rPr>
            </w:pPr>
            <w:r w:rsidRPr="00421707">
              <w:rPr>
                <w:rFonts w:ascii="Arial" w:eastAsia="Times New Roman" w:hAnsi="Arial" w:cs="Arial"/>
                <w:b/>
                <w:bCs/>
                <w:color w:val="FFFFFF"/>
                <w:sz w:val="20"/>
                <w:szCs w:val="20"/>
                <w:lang w:eastAsia="fr-FR"/>
              </w:rPr>
              <w:t>Nombre de postes de direction</w:t>
            </w:r>
          </w:p>
        </w:tc>
      </w:tr>
      <w:tr w:rsidR="008D4F0F" w:rsidRPr="00421707" w:rsidTr="00B75970">
        <w:trPr>
          <w:trHeight w:val="431"/>
          <w:jc w:val="center"/>
        </w:trPr>
        <w:tc>
          <w:tcPr>
            <w:tcW w:w="3886" w:type="dxa"/>
            <w:tcBorders>
              <w:top w:val="nil"/>
              <w:left w:val="nil"/>
              <w:bottom w:val="nil"/>
              <w:right w:val="nil"/>
            </w:tcBorders>
            <w:shd w:val="clear" w:color="000000" w:fill="FFFFFF"/>
            <w:vAlign w:val="bottom"/>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421707" w:rsidRDefault="008D4F0F" w:rsidP="00B75970">
            <w:pPr>
              <w:jc w:val="center"/>
              <w:rPr>
                <w:rFonts w:ascii="Arial" w:eastAsia="Times New Roman" w:hAnsi="Arial" w:cs="Arial"/>
                <w:b/>
                <w:bCs/>
                <w:color w:val="808080"/>
                <w:sz w:val="20"/>
                <w:szCs w:val="20"/>
                <w:lang w:eastAsia="fr-FR"/>
              </w:rPr>
            </w:pPr>
            <w:r w:rsidRPr="00421707">
              <w:rPr>
                <w:rFonts w:ascii="Arial" w:eastAsia="Times New Roman" w:hAnsi="Arial" w:cs="Arial"/>
                <w:b/>
                <w:bCs/>
                <w:color w:val="808080"/>
                <w:sz w:val="20"/>
                <w:szCs w:val="20"/>
                <w:lang w:eastAsia="fr-FR"/>
              </w:rPr>
              <w:t>Femmes</w:t>
            </w:r>
          </w:p>
        </w:tc>
        <w:tc>
          <w:tcPr>
            <w:tcW w:w="1115" w:type="dxa"/>
            <w:tcBorders>
              <w:top w:val="nil"/>
              <w:left w:val="nil"/>
              <w:bottom w:val="single" w:sz="4" w:space="0" w:color="808080"/>
              <w:right w:val="single" w:sz="4" w:space="0" w:color="808080"/>
            </w:tcBorders>
            <w:shd w:val="clear" w:color="000000" w:fill="99FFCC"/>
            <w:vAlign w:val="center"/>
            <w:hideMark/>
          </w:tcPr>
          <w:p w:rsidR="008D4F0F" w:rsidRPr="00421707" w:rsidRDefault="008D4F0F" w:rsidP="00B75970">
            <w:pPr>
              <w:jc w:val="center"/>
              <w:rPr>
                <w:rFonts w:ascii="Arial" w:eastAsia="Times New Roman" w:hAnsi="Arial" w:cs="Arial"/>
                <w:b/>
                <w:bCs/>
                <w:color w:val="808080"/>
                <w:sz w:val="20"/>
                <w:szCs w:val="20"/>
                <w:lang w:eastAsia="fr-FR"/>
              </w:rPr>
            </w:pPr>
            <w:r w:rsidRPr="00421707">
              <w:rPr>
                <w:rFonts w:ascii="Arial" w:eastAsia="Times New Roman" w:hAnsi="Arial" w:cs="Arial"/>
                <w:b/>
                <w:bCs/>
                <w:color w:val="808080"/>
                <w:sz w:val="20"/>
                <w:szCs w:val="20"/>
                <w:lang w:eastAsia="fr-FR"/>
              </w:rPr>
              <w:t>Hommes</w:t>
            </w:r>
          </w:p>
        </w:tc>
        <w:tc>
          <w:tcPr>
            <w:tcW w:w="1115" w:type="dxa"/>
            <w:tcBorders>
              <w:top w:val="nil"/>
              <w:left w:val="nil"/>
              <w:bottom w:val="single" w:sz="4" w:space="0" w:color="808080"/>
              <w:right w:val="single" w:sz="4" w:space="0" w:color="808080"/>
            </w:tcBorders>
            <w:shd w:val="clear" w:color="000000" w:fill="99FFCC"/>
            <w:vAlign w:val="center"/>
            <w:hideMark/>
          </w:tcPr>
          <w:p w:rsidR="008D4F0F" w:rsidRPr="00421707" w:rsidRDefault="008D4F0F" w:rsidP="00B75970">
            <w:pPr>
              <w:jc w:val="center"/>
              <w:rPr>
                <w:rFonts w:ascii="Arial" w:eastAsia="Times New Roman" w:hAnsi="Arial" w:cs="Arial"/>
                <w:b/>
                <w:bCs/>
                <w:color w:val="808080"/>
                <w:sz w:val="20"/>
                <w:szCs w:val="20"/>
                <w:lang w:eastAsia="fr-FR"/>
              </w:rPr>
            </w:pPr>
            <w:r w:rsidRPr="00421707">
              <w:rPr>
                <w:rFonts w:ascii="Arial" w:eastAsia="Times New Roman" w:hAnsi="Arial" w:cs="Arial"/>
                <w:b/>
                <w:bCs/>
                <w:color w:val="808080"/>
                <w:sz w:val="20"/>
                <w:szCs w:val="20"/>
                <w:lang w:eastAsia="fr-FR"/>
              </w:rPr>
              <w:t>Total</w:t>
            </w:r>
          </w:p>
        </w:tc>
        <w:tc>
          <w:tcPr>
            <w:tcW w:w="1116" w:type="dxa"/>
            <w:tcBorders>
              <w:top w:val="nil"/>
              <w:left w:val="nil"/>
              <w:bottom w:val="single" w:sz="4" w:space="0" w:color="808080"/>
              <w:right w:val="single" w:sz="4" w:space="0" w:color="808080"/>
            </w:tcBorders>
            <w:shd w:val="clear" w:color="000000" w:fill="99FFCC"/>
            <w:vAlign w:val="center"/>
            <w:hideMark/>
          </w:tcPr>
          <w:p w:rsidR="008D4F0F" w:rsidRPr="00421707" w:rsidRDefault="008D4F0F" w:rsidP="00B75970">
            <w:pPr>
              <w:jc w:val="center"/>
              <w:rPr>
                <w:rFonts w:ascii="Arial" w:eastAsia="Times New Roman" w:hAnsi="Arial" w:cs="Arial"/>
                <w:b/>
                <w:bCs/>
                <w:color w:val="808080"/>
                <w:sz w:val="20"/>
                <w:szCs w:val="20"/>
                <w:lang w:eastAsia="fr-FR"/>
              </w:rPr>
            </w:pPr>
            <w:r w:rsidRPr="00421707">
              <w:rPr>
                <w:rFonts w:ascii="Arial" w:eastAsia="Times New Roman" w:hAnsi="Arial" w:cs="Arial"/>
                <w:b/>
                <w:bCs/>
                <w:color w:val="808080"/>
                <w:sz w:val="20"/>
                <w:szCs w:val="20"/>
                <w:lang w:eastAsia="fr-FR"/>
              </w:rPr>
              <w:t>Part des femmes</w:t>
            </w:r>
          </w:p>
        </w:tc>
      </w:tr>
      <w:tr w:rsidR="008D4F0F" w:rsidRPr="00421707" w:rsidTr="00B75970">
        <w:trPr>
          <w:trHeight w:val="148"/>
          <w:jc w:val="center"/>
        </w:trPr>
        <w:tc>
          <w:tcPr>
            <w:tcW w:w="3886"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6"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r>
      <w:tr w:rsidR="008D4F0F" w:rsidRPr="00421707" w:rsidTr="00B75970">
        <w:trPr>
          <w:trHeight w:val="248"/>
          <w:jc w:val="center"/>
        </w:trPr>
        <w:tc>
          <w:tcPr>
            <w:tcW w:w="8350" w:type="dxa"/>
            <w:gridSpan w:val="5"/>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421707" w:rsidRDefault="008D4F0F" w:rsidP="00B75970">
            <w:pPr>
              <w:rPr>
                <w:rFonts w:ascii="Arial" w:eastAsia="Times New Roman" w:hAnsi="Arial" w:cs="Arial"/>
                <w:b/>
                <w:bCs/>
                <w:color w:val="FFFFFF"/>
                <w:sz w:val="20"/>
                <w:szCs w:val="20"/>
                <w:lang w:eastAsia="fr-FR"/>
              </w:rPr>
            </w:pPr>
            <w:r w:rsidRPr="00421707">
              <w:rPr>
                <w:rFonts w:ascii="Arial" w:eastAsia="Times New Roman" w:hAnsi="Arial" w:cs="Arial"/>
                <w:b/>
                <w:bCs/>
                <w:color w:val="FFFFFF"/>
                <w:sz w:val="20"/>
                <w:szCs w:val="20"/>
                <w:lang w:eastAsia="fr-FR"/>
              </w:rPr>
              <w:t>Etablissements avec un président exécutif (hors école d'art)</w:t>
            </w:r>
          </w:p>
        </w:tc>
      </w:tr>
      <w:tr w:rsidR="008D4F0F" w:rsidRPr="00421707" w:rsidTr="00B75970">
        <w:trPr>
          <w:trHeight w:val="240"/>
          <w:jc w:val="center"/>
        </w:trPr>
        <w:tc>
          <w:tcPr>
            <w:tcW w:w="3886"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21707" w:rsidRDefault="008D4F0F" w:rsidP="00B75970">
            <w:pPr>
              <w:jc w:val="both"/>
              <w:rPr>
                <w:rFonts w:ascii="Arial" w:eastAsia="Times New Roman" w:hAnsi="Arial" w:cs="Arial"/>
                <w:b/>
                <w:bCs/>
                <w:color w:val="FFFFFF"/>
                <w:sz w:val="20"/>
                <w:szCs w:val="20"/>
                <w:lang w:eastAsia="fr-FR"/>
              </w:rPr>
            </w:pPr>
            <w:r w:rsidRPr="00421707">
              <w:rPr>
                <w:rFonts w:ascii="Arial" w:eastAsia="Times New Roman" w:hAnsi="Arial" w:cs="Arial"/>
                <w:b/>
                <w:bCs/>
                <w:color w:val="FFFFFF"/>
                <w:sz w:val="20"/>
                <w:szCs w:val="20"/>
                <w:lang w:eastAsia="fr-FR"/>
              </w:rPr>
              <w:t>Président</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5</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13</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18</w:t>
            </w:r>
          </w:p>
        </w:tc>
        <w:tc>
          <w:tcPr>
            <w:tcW w:w="1116"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28%</w:t>
            </w:r>
          </w:p>
        </w:tc>
      </w:tr>
      <w:tr w:rsidR="008D4F0F" w:rsidRPr="00421707" w:rsidTr="00B75970">
        <w:trPr>
          <w:trHeight w:val="240"/>
          <w:jc w:val="center"/>
        </w:trPr>
        <w:tc>
          <w:tcPr>
            <w:tcW w:w="3886"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21707" w:rsidRDefault="008D4F0F" w:rsidP="00B75970">
            <w:pPr>
              <w:jc w:val="both"/>
              <w:rPr>
                <w:rFonts w:ascii="Arial" w:eastAsia="Times New Roman" w:hAnsi="Arial" w:cs="Arial"/>
                <w:b/>
                <w:bCs/>
                <w:color w:val="FFFFFF"/>
                <w:sz w:val="20"/>
                <w:szCs w:val="20"/>
                <w:lang w:eastAsia="fr-FR"/>
              </w:rPr>
            </w:pPr>
            <w:r w:rsidRPr="00421707">
              <w:rPr>
                <w:rFonts w:ascii="Arial" w:eastAsia="Times New Roman" w:hAnsi="Arial" w:cs="Arial"/>
                <w:b/>
                <w:bCs/>
                <w:color w:val="FFFFFF"/>
                <w:sz w:val="20"/>
                <w:szCs w:val="20"/>
                <w:lang w:eastAsia="fr-FR"/>
              </w:rPr>
              <w:t>Directeur général</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7</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6</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13</w:t>
            </w:r>
          </w:p>
        </w:tc>
        <w:tc>
          <w:tcPr>
            <w:tcW w:w="1116"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54%</w:t>
            </w:r>
          </w:p>
        </w:tc>
      </w:tr>
      <w:tr w:rsidR="008D4F0F" w:rsidRPr="00421707" w:rsidTr="00B75970">
        <w:trPr>
          <w:trHeight w:val="148"/>
          <w:jc w:val="center"/>
        </w:trPr>
        <w:tc>
          <w:tcPr>
            <w:tcW w:w="3886"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6"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r>
      <w:tr w:rsidR="008D4F0F" w:rsidRPr="00421707" w:rsidTr="00B75970">
        <w:trPr>
          <w:trHeight w:val="248"/>
          <w:jc w:val="center"/>
        </w:trPr>
        <w:tc>
          <w:tcPr>
            <w:tcW w:w="8350" w:type="dxa"/>
            <w:gridSpan w:val="5"/>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421707" w:rsidRDefault="008D4F0F" w:rsidP="00B75970">
            <w:pPr>
              <w:rPr>
                <w:rFonts w:ascii="Arial" w:eastAsia="Times New Roman" w:hAnsi="Arial" w:cs="Arial"/>
                <w:b/>
                <w:bCs/>
                <w:color w:val="FFFFFF"/>
                <w:sz w:val="20"/>
                <w:szCs w:val="20"/>
                <w:lang w:eastAsia="fr-FR"/>
              </w:rPr>
            </w:pPr>
            <w:r w:rsidRPr="00421707">
              <w:rPr>
                <w:rFonts w:ascii="Arial" w:eastAsia="Times New Roman" w:hAnsi="Arial" w:cs="Arial"/>
                <w:b/>
                <w:bCs/>
                <w:color w:val="FFFFFF"/>
                <w:sz w:val="20"/>
                <w:szCs w:val="20"/>
                <w:lang w:eastAsia="fr-FR"/>
              </w:rPr>
              <w:t>Etablissement sans président exécutif (hors école d'art)</w:t>
            </w:r>
          </w:p>
        </w:tc>
      </w:tr>
      <w:tr w:rsidR="008D4F0F" w:rsidRPr="00421707" w:rsidTr="00B75970">
        <w:trPr>
          <w:trHeight w:val="240"/>
          <w:jc w:val="center"/>
        </w:trPr>
        <w:tc>
          <w:tcPr>
            <w:tcW w:w="3886"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21707" w:rsidRDefault="008D4F0F" w:rsidP="00175436">
            <w:pPr>
              <w:rPr>
                <w:rFonts w:ascii="Arial" w:eastAsia="Times New Roman" w:hAnsi="Arial" w:cs="Arial"/>
                <w:b/>
                <w:bCs/>
                <w:color w:val="FFFFFF"/>
                <w:sz w:val="20"/>
                <w:szCs w:val="20"/>
                <w:lang w:eastAsia="fr-FR"/>
              </w:rPr>
            </w:pPr>
            <w:r w:rsidRPr="00421707">
              <w:rPr>
                <w:rFonts w:ascii="Arial" w:eastAsia="Times New Roman" w:hAnsi="Arial" w:cs="Arial"/>
                <w:b/>
                <w:bCs/>
                <w:color w:val="FFFFFF"/>
                <w:sz w:val="20"/>
                <w:szCs w:val="20"/>
                <w:lang w:eastAsia="fr-FR"/>
              </w:rPr>
              <w:t xml:space="preserve">Directeur général ou </w:t>
            </w:r>
            <w:r w:rsidR="00175436" w:rsidRPr="00421707">
              <w:rPr>
                <w:rFonts w:ascii="Arial" w:eastAsia="Times New Roman" w:hAnsi="Arial" w:cs="Arial"/>
                <w:b/>
                <w:bCs/>
                <w:color w:val="FFFFFF"/>
                <w:sz w:val="20"/>
                <w:szCs w:val="20"/>
                <w:lang w:eastAsia="fr-FR"/>
              </w:rPr>
              <w:t>administrateur</w:t>
            </w:r>
            <w:r w:rsidRPr="00421707">
              <w:rPr>
                <w:rFonts w:ascii="Arial" w:eastAsia="Times New Roman" w:hAnsi="Arial" w:cs="Arial"/>
                <w:b/>
                <w:bCs/>
                <w:color w:val="FFFFFF"/>
                <w:sz w:val="20"/>
                <w:szCs w:val="20"/>
                <w:lang w:eastAsia="fr-FR"/>
              </w:rPr>
              <w:t xml:space="preserve"> général</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6</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16</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22</w:t>
            </w:r>
          </w:p>
        </w:tc>
        <w:tc>
          <w:tcPr>
            <w:tcW w:w="1116"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27%</w:t>
            </w:r>
          </w:p>
        </w:tc>
      </w:tr>
      <w:tr w:rsidR="008D4F0F" w:rsidRPr="00421707" w:rsidTr="00B75970">
        <w:trPr>
          <w:trHeight w:val="148"/>
          <w:jc w:val="center"/>
        </w:trPr>
        <w:tc>
          <w:tcPr>
            <w:tcW w:w="3886"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5"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c>
          <w:tcPr>
            <w:tcW w:w="1116" w:type="dxa"/>
            <w:tcBorders>
              <w:top w:val="nil"/>
              <w:left w:val="nil"/>
              <w:bottom w:val="nil"/>
              <w:right w:val="nil"/>
            </w:tcBorders>
            <w:shd w:val="clear" w:color="000000" w:fill="FFFFFF"/>
            <w:vAlign w:val="center"/>
            <w:hideMark/>
          </w:tcPr>
          <w:p w:rsidR="008D4F0F" w:rsidRPr="00421707" w:rsidRDefault="008D4F0F" w:rsidP="00B75970">
            <w:pPr>
              <w:rPr>
                <w:rFonts w:ascii="Liberation Sans" w:eastAsia="Times New Roman" w:hAnsi="Liberation Sans" w:cs="Liberation Sans"/>
                <w:color w:val="000000"/>
                <w:sz w:val="22"/>
                <w:szCs w:val="22"/>
                <w:lang w:eastAsia="fr-FR"/>
              </w:rPr>
            </w:pPr>
            <w:r w:rsidRPr="00421707">
              <w:rPr>
                <w:rFonts w:ascii="Liberation Sans" w:eastAsia="Times New Roman" w:hAnsi="Liberation Sans" w:cs="Liberation Sans"/>
                <w:color w:val="000000"/>
                <w:sz w:val="22"/>
                <w:szCs w:val="22"/>
                <w:lang w:eastAsia="fr-FR"/>
              </w:rPr>
              <w:t> </w:t>
            </w:r>
          </w:p>
        </w:tc>
      </w:tr>
      <w:tr w:rsidR="008D4F0F" w:rsidRPr="00421707" w:rsidTr="00B75970">
        <w:trPr>
          <w:trHeight w:val="248"/>
          <w:jc w:val="center"/>
        </w:trPr>
        <w:tc>
          <w:tcPr>
            <w:tcW w:w="8350" w:type="dxa"/>
            <w:gridSpan w:val="5"/>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421707" w:rsidRDefault="008D4F0F" w:rsidP="00B75970">
            <w:pPr>
              <w:rPr>
                <w:rFonts w:ascii="Arial" w:eastAsia="Times New Roman" w:hAnsi="Arial" w:cs="Arial"/>
                <w:b/>
                <w:bCs/>
                <w:color w:val="FFFFFF"/>
                <w:sz w:val="20"/>
                <w:szCs w:val="20"/>
                <w:lang w:eastAsia="fr-FR"/>
              </w:rPr>
            </w:pPr>
            <w:r w:rsidRPr="00421707">
              <w:rPr>
                <w:rFonts w:ascii="Arial" w:eastAsia="Times New Roman" w:hAnsi="Arial" w:cs="Arial"/>
                <w:b/>
                <w:bCs/>
                <w:color w:val="FFFFFF"/>
                <w:sz w:val="20"/>
                <w:szCs w:val="20"/>
                <w:lang w:eastAsia="fr-FR"/>
              </w:rPr>
              <w:t>Ecoles nationales supérieures d'art</w:t>
            </w:r>
          </w:p>
        </w:tc>
      </w:tr>
      <w:tr w:rsidR="008D4F0F" w:rsidRPr="00421707" w:rsidTr="00B75970">
        <w:trPr>
          <w:trHeight w:val="240"/>
          <w:jc w:val="center"/>
        </w:trPr>
        <w:tc>
          <w:tcPr>
            <w:tcW w:w="3886"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21707" w:rsidRDefault="008D4F0F" w:rsidP="00B75970">
            <w:pPr>
              <w:jc w:val="both"/>
              <w:rPr>
                <w:rFonts w:ascii="Arial" w:eastAsia="Times New Roman" w:hAnsi="Arial" w:cs="Arial"/>
                <w:b/>
                <w:bCs/>
                <w:color w:val="FFFFFF"/>
                <w:sz w:val="20"/>
                <w:szCs w:val="20"/>
                <w:lang w:eastAsia="fr-FR"/>
              </w:rPr>
            </w:pPr>
            <w:r w:rsidRPr="00421707">
              <w:rPr>
                <w:rFonts w:ascii="Arial" w:eastAsia="Times New Roman" w:hAnsi="Arial" w:cs="Arial"/>
                <w:b/>
                <w:bCs/>
                <w:color w:val="FFFFFF"/>
                <w:sz w:val="20"/>
                <w:szCs w:val="20"/>
                <w:lang w:eastAsia="fr-FR"/>
              </w:rPr>
              <w:t>Directeur général</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10</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23</w:t>
            </w:r>
          </w:p>
        </w:tc>
        <w:tc>
          <w:tcPr>
            <w:tcW w:w="1115"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33</w:t>
            </w:r>
          </w:p>
        </w:tc>
        <w:tc>
          <w:tcPr>
            <w:tcW w:w="1116" w:type="dxa"/>
            <w:tcBorders>
              <w:top w:val="nil"/>
              <w:left w:val="nil"/>
              <w:bottom w:val="single" w:sz="4" w:space="0" w:color="808080"/>
              <w:right w:val="single" w:sz="4" w:space="0" w:color="808080"/>
            </w:tcBorders>
            <w:shd w:val="clear" w:color="000000" w:fill="FFFFFF"/>
            <w:vAlign w:val="center"/>
            <w:hideMark/>
          </w:tcPr>
          <w:p w:rsidR="008D4F0F" w:rsidRPr="00421707" w:rsidRDefault="008D4F0F" w:rsidP="00B75970">
            <w:pPr>
              <w:jc w:val="center"/>
              <w:rPr>
                <w:rFonts w:ascii="Arial" w:eastAsia="Times New Roman" w:hAnsi="Arial" w:cs="Arial"/>
                <w:color w:val="000000"/>
                <w:sz w:val="20"/>
                <w:szCs w:val="20"/>
                <w:lang w:eastAsia="fr-FR"/>
              </w:rPr>
            </w:pPr>
            <w:r w:rsidRPr="00421707">
              <w:rPr>
                <w:rFonts w:ascii="Arial" w:eastAsia="Times New Roman" w:hAnsi="Arial" w:cs="Arial"/>
                <w:color w:val="000000"/>
                <w:sz w:val="20"/>
                <w:szCs w:val="20"/>
                <w:lang w:eastAsia="fr-FR"/>
              </w:rPr>
              <w:t>30%</w:t>
            </w:r>
          </w:p>
        </w:tc>
      </w:tr>
    </w:tbl>
    <w:p w:rsidR="008D4F0F" w:rsidRDefault="008D4F0F" w:rsidP="008D4F0F">
      <w:pPr>
        <w:widowControl w:val="0"/>
        <w:autoSpaceDE w:val="0"/>
        <w:autoSpaceDN w:val="0"/>
        <w:adjustRightInd w:val="0"/>
        <w:rPr>
          <w:rFonts w:ascii="BlairMdITC TT-Medium" w:hAnsi="BlairMdITC TT-Medium"/>
        </w:rPr>
      </w:pPr>
    </w:p>
    <w:p w:rsidR="008D4F0F" w:rsidRPr="007A4B95" w:rsidRDefault="008D4F0F" w:rsidP="008D4F0F">
      <w:pPr>
        <w:widowControl w:val="0"/>
        <w:autoSpaceDE w:val="0"/>
        <w:autoSpaceDN w:val="0"/>
        <w:adjustRightInd w:val="0"/>
        <w:ind w:left="1134" w:hanging="1134"/>
        <w:rPr>
          <w:rFonts w:ascii="Florencesans Exp" w:hAnsi="Florencesans Exp"/>
        </w:rPr>
      </w:pPr>
      <w:r w:rsidRPr="007A4B95">
        <w:rPr>
          <w:rFonts w:ascii="Florencesans Exp" w:hAnsi="Florencesans Exp"/>
        </w:rPr>
        <w:t>3. B. 4. PART DES FEMMES DANS LE POSTE DE DIRECTION LE PLUS ELEVE</w:t>
      </w:r>
      <w:r w:rsidRPr="007A4B95">
        <w:rPr>
          <w:rFonts w:ascii="Florencesans Exp" w:hAnsi="Florencesans Exp"/>
          <w:color w:val="00FF00"/>
        </w:rPr>
        <w:t>*</w:t>
      </w:r>
      <w:r w:rsidRPr="007A4B95">
        <w:rPr>
          <w:rFonts w:ascii="Florencesans Exp" w:hAnsi="Florencesans Exp"/>
        </w:rPr>
        <w:t xml:space="preserve"> DES ETABLISSEMENTS PUBLICS DU MINISTERE DE LA CULTURE ET DE LA COMMUNICATION </w:t>
      </w:r>
      <w:r>
        <w:rPr>
          <w:rFonts w:ascii="Florencesans Exp" w:hAnsi="Florencesans Exp"/>
        </w:rPr>
        <w:br/>
      </w:r>
      <w:r w:rsidRPr="007A4B95">
        <w:rPr>
          <w:rFonts w:ascii="Florencesans Exp" w:hAnsi="Florencesans Exp"/>
          <w:sz w:val="20"/>
          <w:szCs w:val="20"/>
        </w:rPr>
        <w:t>(DONNEES AU 1</w:t>
      </w:r>
      <w:r w:rsidRPr="007A4B95">
        <w:rPr>
          <w:rFonts w:ascii="Florencesans Exp" w:hAnsi="Florencesans Exp"/>
          <w:sz w:val="20"/>
          <w:szCs w:val="20"/>
          <w:vertAlign w:val="superscript"/>
        </w:rPr>
        <w:t>ER</w:t>
      </w:r>
      <w:r w:rsidRPr="007A4B95">
        <w:rPr>
          <w:rFonts w:ascii="Florencesans Exp" w:hAnsi="Florencesans Exp"/>
          <w:sz w:val="20"/>
          <w:szCs w:val="20"/>
        </w:rPr>
        <w:t xml:space="preserve"> JANVIER 2014)</w:t>
      </w:r>
    </w:p>
    <w:p w:rsidR="008D4F0F" w:rsidRPr="003D6A42" w:rsidRDefault="008D4F0F" w:rsidP="008D4F0F">
      <w:pPr>
        <w:widowControl w:val="0"/>
        <w:autoSpaceDE w:val="0"/>
        <w:autoSpaceDN w:val="0"/>
        <w:adjustRightInd w:val="0"/>
        <w:rPr>
          <w:rFonts w:cs="Times"/>
          <w:sz w:val="18"/>
          <w:szCs w:val="18"/>
        </w:rPr>
      </w:pPr>
    </w:p>
    <w:tbl>
      <w:tblPr>
        <w:tblW w:w="10040" w:type="dxa"/>
        <w:jc w:val="center"/>
        <w:tblCellMar>
          <w:left w:w="70" w:type="dxa"/>
          <w:right w:w="70" w:type="dxa"/>
        </w:tblCellMar>
        <w:tblLook w:val="04A0" w:firstRow="1" w:lastRow="0" w:firstColumn="1" w:lastColumn="0" w:noHBand="0" w:noVBand="1"/>
      </w:tblPr>
      <w:tblGrid>
        <w:gridCol w:w="4040"/>
        <w:gridCol w:w="1200"/>
        <w:gridCol w:w="1200"/>
        <w:gridCol w:w="1200"/>
        <w:gridCol w:w="1200"/>
        <w:gridCol w:w="1200"/>
      </w:tblGrid>
      <w:tr w:rsidR="008D4F0F" w:rsidRPr="008D4B16" w:rsidTr="00B75970">
        <w:trPr>
          <w:trHeight w:val="290"/>
          <w:jc w:val="center"/>
        </w:trPr>
        <w:tc>
          <w:tcPr>
            <w:tcW w:w="4040" w:type="dxa"/>
            <w:tcBorders>
              <w:top w:val="nil"/>
              <w:left w:val="nil"/>
              <w:bottom w:val="nil"/>
              <w:right w:val="nil"/>
            </w:tcBorders>
            <w:shd w:val="clear" w:color="000000" w:fill="FFFFFF"/>
            <w:vAlign w:val="bottom"/>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vMerge w:val="restart"/>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8D4B16" w:rsidRDefault="008D4F0F" w:rsidP="00B75970">
            <w:pPr>
              <w:jc w:val="center"/>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Nombre d'EP</w:t>
            </w:r>
          </w:p>
        </w:tc>
        <w:tc>
          <w:tcPr>
            <w:tcW w:w="4800" w:type="dxa"/>
            <w:gridSpan w:val="4"/>
            <w:tcBorders>
              <w:top w:val="single" w:sz="4" w:space="0" w:color="808080"/>
              <w:left w:val="nil"/>
              <w:bottom w:val="single" w:sz="4" w:space="0" w:color="808080"/>
              <w:right w:val="single" w:sz="4" w:space="0" w:color="808080"/>
            </w:tcBorders>
            <w:shd w:val="clear" w:color="000000" w:fill="00FF00"/>
            <w:vAlign w:val="center"/>
            <w:hideMark/>
          </w:tcPr>
          <w:p w:rsidR="008D4F0F" w:rsidRPr="008D4B16" w:rsidRDefault="008D4F0F" w:rsidP="00B75970">
            <w:pPr>
              <w:jc w:val="center"/>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Poste de direction le plus élevé</w:t>
            </w:r>
          </w:p>
        </w:tc>
      </w:tr>
      <w:tr w:rsidR="008D4F0F" w:rsidRPr="008D4B16" w:rsidTr="00B75970">
        <w:trPr>
          <w:trHeight w:val="520"/>
          <w:jc w:val="center"/>
        </w:trPr>
        <w:tc>
          <w:tcPr>
            <w:tcW w:w="4040" w:type="dxa"/>
            <w:tcBorders>
              <w:top w:val="nil"/>
              <w:left w:val="nil"/>
              <w:bottom w:val="nil"/>
              <w:right w:val="nil"/>
            </w:tcBorders>
            <w:shd w:val="clear" w:color="000000" w:fill="FFFFFF"/>
            <w:vAlign w:val="bottom"/>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vMerge/>
            <w:tcBorders>
              <w:top w:val="single" w:sz="4" w:space="0" w:color="808080"/>
              <w:left w:val="single" w:sz="4" w:space="0" w:color="808080"/>
              <w:bottom w:val="single" w:sz="4" w:space="0" w:color="808080"/>
              <w:right w:val="single" w:sz="4" w:space="0" w:color="808080"/>
            </w:tcBorders>
            <w:vAlign w:val="center"/>
            <w:hideMark/>
          </w:tcPr>
          <w:p w:rsidR="008D4F0F" w:rsidRPr="008D4B16" w:rsidRDefault="008D4F0F" w:rsidP="00B75970">
            <w:pPr>
              <w:rPr>
                <w:rFonts w:ascii="Arial" w:eastAsia="Times New Roman" w:hAnsi="Arial" w:cs="Arial"/>
                <w:b/>
                <w:bCs/>
                <w:color w:val="FFFFFF"/>
                <w:sz w:val="20"/>
                <w:szCs w:val="20"/>
                <w:lang w:eastAsia="fr-FR"/>
              </w:rPr>
            </w:pP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Femmes</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Hommes</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Total</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Part des femmes</w:t>
            </w:r>
          </w:p>
        </w:tc>
      </w:tr>
      <w:tr w:rsidR="008D4F0F" w:rsidRPr="008D4B16" w:rsidTr="00B75970">
        <w:trPr>
          <w:trHeight w:val="180"/>
          <w:jc w:val="center"/>
        </w:trPr>
        <w:tc>
          <w:tcPr>
            <w:tcW w:w="404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r>
      <w:tr w:rsidR="008D4F0F" w:rsidRPr="008D4B16" w:rsidTr="00B75970">
        <w:trPr>
          <w:trHeight w:val="290"/>
          <w:jc w:val="center"/>
        </w:trPr>
        <w:tc>
          <w:tcPr>
            <w:tcW w:w="10040" w:type="dxa"/>
            <w:gridSpan w:val="6"/>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Type d'établissement</w:t>
            </w:r>
          </w:p>
        </w:tc>
      </w:tr>
      <w:tr w:rsidR="008D4F0F" w:rsidRPr="008D4B16" w:rsidTr="00B75970">
        <w:trPr>
          <w:trHeight w:val="300"/>
          <w:jc w:val="center"/>
        </w:trPr>
        <w:tc>
          <w:tcPr>
            <w:tcW w:w="4040"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 xml:space="preserve">Musée, patrimoine </w:t>
            </w:r>
            <w:r w:rsidRPr="008D4B16">
              <w:rPr>
                <w:rFonts w:ascii="Arial" w:eastAsia="Times New Roman" w:hAnsi="Arial" w:cs="Arial"/>
                <w:color w:val="00FF00"/>
                <w:sz w:val="20"/>
                <w:szCs w:val="20"/>
                <w:vertAlign w:val="superscript"/>
                <w:lang w:eastAsia="fr-FR"/>
              </w:rPr>
              <w:t>1</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21</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6</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15</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21</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29%</w:t>
            </w:r>
          </w:p>
        </w:tc>
      </w:tr>
      <w:tr w:rsidR="008D4F0F" w:rsidRPr="008D4B16" w:rsidTr="00B75970">
        <w:trPr>
          <w:trHeight w:val="300"/>
          <w:jc w:val="center"/>
        </w:trPr>
        <w:tc>
          <w:tcPr>
            <w:tcW w:w="4040"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 xml:space="preserve">Spectacle vivant </w:t>
            </w:r>
            <w:r w:rsidRPr="008D4B16">
              <w:rPr>
                <w:rFonts w:ascii="Arial" w:eastAsia="Times New Roman" w:hAnsi="Arial" w:cs="Arial"/>
                <w:b/>
                <w:bCs/>
                <w:color w:val="00FF00"/>
                <w:sz w:val="20"/>
                <w:szCs w:val="20"/>
                <w:vertAlign w:val="superscript"/>
                <w:lang w:eastAsia="fr-FR"/>
              </w:rPr>
              <w:t>2</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11</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3</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8</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11</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27%</w:t>
            </w:r>
          </w:p>
        </w:tc>
      </w:tr>
      <w:tr w:rsidR="008D4F0F" w:rsidRPr="008D4B16" w:rsidTr="00B75970">
        <w:trPr>
          <w:trHeight w:val="300"/>
          <w:jc w:val="center"/>
        </w:trPr>
        <w:tc>
          <w:tcPr>
            <w:tcW w:w="4040"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 xml:space="preserve">Enseignement d'art </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34</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8</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26</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34</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24%</w:t>
            </w:r>
          </w:p>
        </w:tc>
      </w:tr>
      <w:tr w:rsidR="008D4F0F" w:rsidRPr="008D4B16" w:rsidTr="00B75970">
        <w:trPr>
          <w:trHeight w:val="300"/>
          <w:jc w:val="center"/>
        </w:trPr>
        <w:tc>
          <w:tcPr>
            <w:tcW w:w="4040"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 xml:space="preserve">Autre </w:t>
            </w:r>
            <w:r>
              <w:rPr>
                <w:rFonts w:ascii="Arial" w:eastAsia="Times New Roman" w:hAnsi="Arial" w:cs="Arial"/>
                <w:b/>
                <w:bCs/>
                <w:color w:val="00FF00"/>
                <w:sz w:val="20"/>
                <w:szCs w:val="20"/>
                <w:vertAlign w:val="superscript"/>
                <w:lang w:eastAsia="fr-FR"/>
              </w:rPr>
              <w:t>3</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7</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6</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7</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14%</w:t>
            </w:r>
          </w:p>
        </w:tc>
      </w:tr>
      <w:tr w:rsidR="008D4F0F" w:rsidRPr="008D4B16" w:rsidTr="00B75970">
        <w:trPr>
          <w:trHeight w:val="290"/>
          <w:jc w:val="center"/>
        </w:trPr>
        <w:tc>
          <w:tcPr>
            <w:tcW w:w="4040"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8D4B16" w:rsidRDefault="008D4F0F" w:rsidP="00B75970">
            <w:pPr>
              <w:jc w:val="both"/>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Total</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73</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18</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55</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73</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25%</w:t>
            </w:r>
          </w:p>
        </w:tc>
      </w:tr>
      <w:tr w:rsidR="008D4F0F" w:rsidRPr="008D4B16" w:rsidTr="00B75970">
        <w:trPr>
          <w:trHeight w:val="180"/>
          <w:jc w:val="center"/>
        </w:trPr>
        <w:tc>
          <w:tcPr>
            <w:tcW w:w="404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c>
          <w:tcPr>
            <w:tcW w:w="1200" w:type="dxa"/>
            <w:tcBorders>
              <w:top w:val="nil"/>
              <w:left w:val="nil"/>
              <w:bottom w:val="nil"/>
              <w:right w:val="nil"/>
            </w:tcBorders>
            <w:shd w:val="clear" w:color="000000" w:fill="FFFFFF"/>
            <w:vAlign w:val="center"/>
            <w:hideMark/>
          </w:tcPr>
          <w:p w:rsidR="008D4F0F" w:rsidRPr="008D4B16" w:rsidRDefault="008D4F0F" w:rsidP="00B75970">
            <w:pPr>
              <w:rPr>
                <w:rFonts w:ascii="Liberation Sans" w:eastAsia="Times New Roman" w:hAnsi="Liberation Sans" w:cs="Liberation Sans"/>
                <w:color w:val="000000"/>
                <w:sz w:val="22"/>
                <w:szCs w:val="22"/>
                <w:lang w:eastAsia="fr-FR"/>
              </w:rPr>
            </w:pPr>
            <w:r w:rsidRPr="008D4B16">
              <w:rPr>
                <w:rFonts w:ascii="Liberation Sans" w:eastAsia="Times New Roman" w:hAnsi="Liberation Sans" w:cs="Liberation Sans"/>
                <w:color w:val="000000"/>
                <w:sz w:val="22"/>
                <w:szCs w:val="22"/>
                <w:lang w:eastAsia="fr-FR"/>
              </w:rPr>
              <w:t> </w:t>
            </w:r>
          </w:p>
        </w:tc>
      </w:tr>
      <w:tr w:rsidR="008D4F0F" w:rsidRPr="008D4B16" w:rsidTr="00B75970">
        <w:trPr>
          <w:trHeight w:val="290"/>
          <w:jc w:val="center"/>
        </w:trPr>
        <w:tc>
          <w:tcPr>
            <w:tcW w:w="10040" w:type="dxa"/>
            <w:gridSpan w:val="6"/>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Taille de l'établissement</w:t>
            </w:r>
          </w:p>
        </w:tc>
      </w:tr>
      <w:tr w:rsidR="008D4F0F" w:rsidRPr="008D4B16" w:rsidTr="00B75970">
        <w:trPr>
          <w:trHeight w:val="290"/>
          <w:jc w:val="center"/>
        </w:trPr>
        <w:tc>
          <w:tcPr>
            <w:tcW w:w="4040"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Moins de 100 salariés</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25</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5</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20</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25</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20%</w:t>
            </w:r>
          </w:p>
        </w:tc>
      </w:tr>
      <w:tr w:rsidR="008D4F0F" w:rsidRPr="008D4B16" w:rsidTr="00B75970">
        <w:trPr>
          <w:trHeight w:val="290"/>
          <w:jc w:val="center"/>
        </w:trPr>
        <w:tc>
          <w:tcPr>
            <w:tcW w:w="4040"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100-499 salariés</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37</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11</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26</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37</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30%</w:t>
            </w:r>
          </w:p>
        </w:tc>
      </w:tr>
      <w:tr w:rsidR="008D4F0F" w:rsidRPr="008D4B16" w:rsidTr="00B75970">
        <w:trPr>
          <w:trHeight w:val="290"/>
          <w:jc w:val="center"/>
        </w:trPr>
        <w:tc>
          <w:tcPr>
            <w:tcW w:w="4040"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8D4B16" w:rsidRDefault="008D4F0F" w:rsidP="00B75970">
            <w:pPr>
              <w:jc w:val="both"/>
              <w:rPr>
                <w:rFonts w:ascii="Arial" w:eastAsia="Times New Roman" w:hAnsi="Arial" w:cs="Arial"/>
                <w:b/>
                <w:bCs/>
                <w:color w:val="FFFFFF"/>
                <w:sz w:val="20"/>
                <w:szCs w:val="20"/>
                <w:lang w:eastAsia="fr-FR"/>
              </w:rPr>
            </w:pPr>
            <w:r w:rsidRPr="008D4B16">
              <w:rPr>
                <w:rFonts w:ascii="Arial" w:eastAsia="Times New Roman" w:hAnsi="Arial" w:cs="Arial"/>
                <w:b/>
                <w:bCs/>
                <w:color w:val="FFFFFF"/>
                <w:sz w:val="20"/>
                <w:szCs w:val="20"/>
                <w:lang w:eastAsia="fr-FR"/>
              </w:rPr>
              <w:t>500 salariés ou plus</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11</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2</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9</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11</w:t>
            </w:r>
          </w:p>
        </w:tc>
        <w:tc>
          <w:tcPr>
            <w:tcW w:w="1200" w:type="dxa"/>
            <w:tcBorders>
              <w:top w:val="nil"/>
              <w:left w:val="nil"/>
              <w:bottom w:val="single" w:sz="4" w:space="0" w:color="808080"/>
              <w:right w:val="single" w:sz="4" w:space="0" w:color="808080"/>
            </w:tcBorders>
            <w:shd w:val="clear" w:color="000000" w:fill="FFFFFF"/>
            <w:vAlign w:val="bottom"/>
            <w:hideMark/>
          </w:tcPr>
          <w:p w:rsidR="008D4F0F" w:rsidRPr="008D4B16" w:rsidRDefault="008D4F0F" w:rsidP="00B75970">
            <w:pPr>
              <w:jc w:val="center"/>
              <w:rPr>
                <w:rFonts w:ascii="Arial" w:eastAsia="Times New Roman" w:hAnsi="Arial" w:cs="Arial"/>
                <w:color w:val="000000"/>
                <w:sz w:val="20"/>
                <w:szCs w:val="20"/>
                <w:lang w:eastAsia="fr-FR"/>
              </w:rPr>
            </w:pPr>
            <w:r w:rsidRPr="008D4B16">
              <w:rPr>
                <w:rFonts w:ascii="Arial" w:eastAsia="Times New Roman" w:hAnsi="Arial" w:cs="Arial"/>
                <w:color w:val="000000"/>
                <w:sz w:val="20"/>
                <w:szCs w:val="20"/>
                <w:lang w:eastAsia="fr-FR"/>
              </w:rPr>
              <w:t>18%</w:t>
            </w:r>
          </w:p>
        </w:tc>
      </w:tr>
      <w:tr w:rsidR="008D4F0F" w:rsidRPr="008D4B16" w:rsidTr="00B75970">
        <w:trPr>
          <w:trHeight w:val="290"/>
          <w:jc w:val="center"/>
        </w:trPr>
        <w:tc>
          <w:tcPr>
            <w:tcW w:w="4040"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8D4B16" w:rsidRDefault="008D4F0F" w:rsidP="00B75970">
            <w:pPr>
              <w:jc w:val="both"/>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Total</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73</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18</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55</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73</w:t>
            </w:r>
          </w:p>
        </w:tc>
        <w:tc>
          <w:tcPr>
            <w:tcW w:w="1200" w:type="dxa"/>
            <w:tcBorders>
              <w:top w:val="nil"/>
              <w:left w:val="nil"/>
              <w:bottom w:val="single" w:sz="4" w:space="0" w:color="808080"/>
              <w:right w:val="single" w:sz="4" w:space="0" w:color="808080"/>
            </w:tcBorders>
            <w:shd w:val="clear" w:color="000000" w:fill="99FFCC"/>
            <w:vAlign w:val="bottom"/>
            <w:hideMark/>
          </w:tcPr>
          <w:p w:rsidR="008D4F0F" w:rsidRPr="008D4B16" w:rsidRDefault="008D4F0F" w:rsidP="00B75970">
            <w:pPr>
              <w:jc w:val="center"/>
              <w:rPr>
                <w:rFonts w:ascii="Arial" w:eastAsia="Times New Roman" w:hAnsi="Arial" w:cs="Arial"/>
                <w:b/>
                <w:bCs/>
                <w:color w:val="808080"/>
                <w:sz w:val="20"/>
                <w:szCs w:val="20"/>
                <w:lang w:eastAsia="fr-FR"/>
              </w:rPr>
            </w:pPr>
            <w:r w:rsidRPr="008D4B16">
              <w:rPr>
                <w:rFonts w:ascii="Arial" w:eastAsia="Times New Roman" w:hAnsi="Arial" w:cs="Arial"/>
                <w:b/>
                <w:bCs/>
                <w:color w:val="808080"/>
                <w:sz w:val="20"/>
                <w:szCs w:val="20"/>
                <w:lang w:eastAsia="fr-FR"/>
              </w:rPr>
              <w:t>25%</w:t>
            </w:r>
          </w:p>
        </w:tc>
      </w:tr>
    </w:tbl>
    <w:p w:rsidR="008D4F0F" w:rsidRDefault="008D4F0F" w:rsidP="008D4F0F">
      <w:pPr>
        <w:widowControl w:val="0"/>
        <w:autoSpaceDE w:val="0"/>
        <w:autoSpaceDN w:val="0"/>
        <w:adjustRightInd w:val="0"/>
        <w:rPr>
          <w:rFonts w:ascii="Arial" w:hAnsi="Arial"/>
          <w:color w:val="00FF00"/>
          <w:sz w:val="20"/>
        </w:rPr>
      </w:pPr>
    </w:p>
    <w:p w:rsidR="008D4F0F" w:rsidRPr="000634DF" w:rsidRDefault="008D4F0F" w:rsidP="008D4F0F">
      <w:pPr>
        <w:widowControl w:val="0"/>
        <w:autoSpaceDE w:val="0"/>
        <w:autoSpaceDN w:val="0"/>
        <w:adjustRightInd w:val="0"/>
        <w:rPr>
          <w:rFonts w:ascii="Arial" w:hAnsi="Arial"/>
          <w:color w:val="000000"/>
          <w:sz w:val="20"/>
        </w:rPr>
      </w:pPr>
      <w:r w:rsidRPr="008D4B16">
        <w:rPr>
          <w:rFonts w:ascii="Arial" w:hAnsi="Arial"/>
          <w:color w:val="00FF00"/>
          <w:sz w:val="20"/>
        </w:rPr>
        <w:t>*</w:t>
      </w:r>
      <w:r w:rsidRPr="000634DF">
        <w:rPr>
          <w:rFonts w:ascii="Arial" w:hAnsi="Arial"/>
          <w:color w:val="000000"/>
          <w:sz w:val="20"/>
        </w:rPr>
        <w:t xml:space="preserve"> Président en cas d'existence d'un président exécutif ou directeur général / directeur sinon</w:t>
      </w:r>
    </w:p>
    <w:p w:rsidR="008D4F0F" w:rsidRPr="000634DF" w:rsidRDefault="008D4F0F" w:rsidP="008D4F0F">
      <w:pPr>
        <w:widowControl w:val="0"/>
        <w:autoSpaceDE w:val="0"/>
        <w:autoSpaceDN w:val="0"/>
        <w:adjustRightInd w:val="0"/>
        <w:spacing w:before="240"/>
        <w:ind w:left="142" w:hanging="142"/>
        <w:rPr>
          <w:rFonts w:ascii="Arial" w:hAnsi="Arial" w:cs="Times"/>
          <w:sz w:val="20"/>
        </w:rPr>
      </w:pPr>
      <w:r w:rsidRPr="008D4B16">
        <w:rPr>
          <w:rFonts w:ascii="Arial" w:hAnsi="Arial"/>
          <w:b/>
          <w:color w:val="00FF00"/>
          <w:sz w:val="20"/>
          <w:vertAlign w:val="superscript"/>
        </w:rPr>
        <w:t>1</w:t>
      </w:r>
      <w:r w:rsidRPr="000634DF">
        <w:rPr>
          <w:rFonts w:ascii="Arial" w:hAnsi="Arial"/>
          <w:color w:val="000000"/>
          <w:sz w:val="20"/>
        </w:rPr>
        <w:t xml:space="preserve"> CMN, CNAP-GP, CAPA, CSI, Chambord, EPMQB, INHA, INRAP, INP, MHF, Orsay, le Louvre, Versailles, Guimet, Picasso, Fontainebleau, Rodin, OPPIC, Palais de la Porte Dorée, RMN-GP, Sèvres - Céramique.</w:t>
      </w:r>
    </w:p>
    <w:p w:rsidR="008D4F0F" w:rsidRPr="000634DF" w:rsidRDefault="008D4F0F" w:rsidP="008D4F0F">
      <w:pPr>
        <w:widowControl w:val="0"/>
        <w:autoSpaceDE w:val="0"/>
        <w:autoSpaceDN w:val="0"/>
        <w:adjustRightInd w:val="0"/>
        <w:ind w:left="142" w:hanging="142"/>
        <w:rPr>
          <w:rFonts w:ascii="Arial" w:hAnsi="Arial" w:cs="Times"/>
          <w:sz w:val="20"/>
        </w:rPr>
      </w:pPr>
      <w:r w:rsidRPr="003D6A42">
        <w:rPr>
          <w:rFonts w:ascii="Arial" w:hAnsi="Arial"/>
          <w:b/>
          <w:color w:val="00FF00"/>
          <w:sz w:val="20"/>
          <w:vertAlign w:val="superscript"/>
        </w:rPr>
        <w:t>2</w:t>
      </w:r>
      <w:r w:rsidRPr="000634DF">
        <w:rPr>
          <w:rFonts w:ascii="Arial" w:hAnsi="Arial"/>
          <w:color w:val="000000"/>
          <w:sz w:val="20"/>
        </w:rPr>
        <w:t xml:space="preserve"> CND, CNCVJ, Cité de la musique, Comédie française, EPPGHV, </w:t>
      </w:r>
      <w:r w:rsidR="00C43EE5" w:rsidRPr="000634DF">
        <w:rPr>
          <w:rFonts w:ascii="Arial" w:hAnsi="Arial"/>
          <w:color w:val="000000"/>
          <w:sz w:val="20"/>
        </w:rPr>
        <w:t>Opéra-comique</w:t>
      </w:r>
      <w:r w:rsidRPr="000634DF">
        <w:rPr>
          <w:rFonts w:ascii="Arial" w:hAnsi="Arial"/>
          <w:color w:val="000000"/>
          <w:sz w:val="20"/>
        </w:rPr>
        <w:t>, Opéra national de Paris, Chaillot, Odéon, Colline, Strasbourg.</w:t>
      </w:r>
    </w:p>
    <w:p w:rsidR="008D4F0F" w:rsidRPr="000634DF" w:rsidRDefault="008D4F0F" w:rsidP="008D4F0F">
      <w:pPr>
        <w:widowControl w:val="0"/>
        <w:autoSpaceDE w:val="0"/>
        <w:autoSpaceDN w:val="0"/>
        <w:adjustRightInd w:val="0"/>
        <w:rPr>
          <w:rFonts w:ascii="Arial" w:hAnsi="Arial" w:cs="Times"/>
          <w:sz w:val="20"/>
        </w:rPr>
      </w:pPr>
      <w:r w:rsidRPr="003D6A42">
        <w:rPr>
          <w:rFonts w:ascii="Arial" w:hAnsi="Arial"/>
          <w:b/>
          <w:color w:val="00FF00"/>
          <w:sz w:val="20"/>
          <w:vertAlign w:val="superscript"/>
        </w:rPr>
        <w:t>3</w:t>
      </w:r>
      <w:r w:rsidRPr="000634DF">
        <w:rPr>
          <w:rFonts w:ascii="Arial" w:hAnsi="Arial"/>
          <w:color w:val="000000"/>
          <w:sz w:val="20"/>
        </w:rPr>
        <w:t xml:space="preserve"> AFR, BNF, BPI, CNC, CNAP, CNL, Villa Arson.</w:t>
      </w:r>
    </w:p>
    <w:p w:rsidR="008D4F0F" w:rsidRDefault="008D4F0F" w:rsidP="008D4F0F">
      <w:pPr>
        <w:widowControl w:val="0"/>
        <w:autoSpaceDE w:val="0"/>
        <w:autoSpaceDN w:val="0"/>
        <w:adjustRightInd w:val="0"/>
        <w:rPr>
          <w:rFonts w:cs="Times"/>
          <w:sz w:val="22"/>
        </w:rPr>
      </w:pPr>
    </w:p>
    <w:p w:rsidR="008D4F0F" w:rsidRDefault="008D4F0F" w:rsidP="008D4F0F">
      <w:pPr>
        <w:widowControl w:val="0"/>
        <w:autoSpaceDE w:val="0"/>
        <w:autoSpaceDN w:val="0"/>
        <w:adjustRightInd w:val="0"/>
        <w:rPr>
          <w:rFonts w:cs="Times"/>
          <w:sz w:val="22"/>
        </w:rPr>
      </w:pPr>
    </w:p>
    <w:p w:rsidR="008D4F0F" w:rsidRPr="007A4B95" w:rsidRDefault="008D4F0F" w:rsidP="008D4F0F">
      <w:pPr>
        <w:widowControl w:val="0"/>
        <w:autoSpaceDE w:val="0"/>
        <w:autoSpaceDN w:val="0"/>
        <w:adjustRightInd w:val="0"/>
        <w:ind w:left="1276" w:hanging="1276"/>
        <w:rPr>
          <w:rFonts w:ascii="Florencesans Exp" w:hAnsi="Florencesans Exp"/>
        </w:rPr>
      </w:pPr>
      <w:r w:rsidRPr="007A4B95">
        <w:rPr>
          <w:rFonts w:ascii="Florencesans Exp" w:hAnsi="Florencesans Exp"/>
        </w:rPr>
        <w:t>3. B. 5.  COMPOSITION DES COMITES DE DIRECTION DES 10 PLUS GRANDS ETABLISSEMENTS PUBLICS</w:t>
      </w:r>
      <w:r w:rsidRPr="007A4B95">
        <w:rPr>
          <w:rFonts w:ascii="Florencesans Exp" w:hAnsi="Florencesans Exp"/>
          <w:color w:val="00FF00"/>
        </w:rPr>
        <w:t>*</w:t>
      </w:r>
      <w:r w:rsidRPr="007A4B95">
        <w:rPr>
          <w:rFonts w:ascii="Florencesans Exp" w:hAnsi="Florencesans Exp"/>
        </w:rPr>
        <w:t xml:space="preserve"> </w:t>
      </w:r>
      <w:r>
        <w:rPr>
          <w:rFonts w:ascii="Florencesans Exp" w:hAnsi="Florencesans Exp"/>
        </w:rPr>
        <w:br/>
      </w:r>
      <w:r w:rsidRPr="007A4B95">
        <w:rPr>
          <w:rFonts w:ascii="Florencesans Exp" w:hAnsi="Florencesans Exp"/>
          <w:sz w:val="20"/>
          <w:szCs w:val="20"/>
        </w:rPr>
        <w:t>(DONNEES AU 1</w:t>
      </w:r>
      <w:r w:rsidRPr="007A4B95">
        <w:rPr>
          <w:rFonts w:ascii="Florencesans Exp" w:hAnsi="Florencesans Exp"/>
          <w:sz w:val="20"/>
          <w:szCs w:val="20"/>
          <w:vertAlign w:val="superscript"/>
        </w:rPr>
        <w:t>ER</w:t>
      </w:r>
      <w:r w:rsidRPr="007A4B95">
        <w:rPr>
          <w:rFonts w:ascii="Florencesans Exp" w:hAnsi="Florencesans Exp"/>
          <w:sz w:val="20"/>
          <w:szCs w:val="20"/>
        </w:rPr>
        <w:t xml:space="preserve"> JANVIER 2014)</w:t>
      </w:r>
    </w:p>
    <w:p w:rsidR="008D4F0F" w:rsidRDefault="008D4F0F" w:rsidP="008D4F0F">
      <w:pPr>
        <w:widowControl w:val="0"/>
        <w:autoSpaceDE w:val="0"/>
        <w:autoSpaceDN w:val="0"/>
        <w:adjustRightInd w:val="0"/>
        <w:rPr>
          <w:rFonts w:cs="Times"/>
          <w:sz w:val="22"/>
        </w:rPr>
      </w:pPr>
    </w:p>
    <w:tbl>
      <w:tblPr>
        <w:tblW w:w="8900" w:type="dxa"/>
        <w:jc w:val="center"/>
        <w:tblCellMar>
          <w:left w:w="70" w:type="dxa"/>
          <w:right w:w="70" w:type="dxa"/>
        </w:tblCellMar>
        <w:tblLook w:val="04A0" w:firstRow="1" w:lastRow="0" w:firstColumn="1" w:lastColumn="0" w:noHBand="0" w:noVBand="1"/>
      </w:tblPr>
      <w:tblGrid>
        <w:gridCol w:w="4040"/>
        <w:gridCol w:w="1200"/>
        <w:gridCol w:w="1200"/>
        <w:gridCol w:w="1200"/>
        <w:gridCol w:w="1260"/>
      </w:tblGrid>
      <w:tr w:rsidR="008D4F0F" w:rsidRPr="008509E2" w:rsidTr="00B75970">
        <w:trPr>
          <w:trHeight w:val="290"/>
          <w:jc w:val="center"/>
        </w:trPr>
        <w:tc>
          <w:tcPr>
            <w:tcW w:w="4040" w:type="dxa"/>
            <w:tcBorders>
              <w:top w:val="nil"/>
              <w:left w:val="nil"/>
              <w:bottom w:val="nil"/>
              <w:right w:val="nil"/>
            </w:tcBorders>
            <w:shd w:val="clear" w:color="000000" w:fill="FFFFFF"/>
            <w:vAlign w:val="bottom"/>
            <w:hideMark/>
          </w:tcPr>
          <w:p w:rsidR="008D4F0F" w:rsidRPr="008509E2" w:rsidRDefault="008D4F0F" w:rsidP="00B75970">
            <w:pPr>
              <w:rPr>
                <w:rFonts w:ascii="Liberation Sans" w:eastAsia="Times New Roman" w:hAnsi="Liberation Sans" w:cs="Liberation Sans"/>
                <w:color w:val="000000"/>
                <w:sz w:val="22"/>
                <w:szCs w:val="22"/>
                <w:lang w:eastAsia="fr-FR"/>
              </w:rPr>
            </w:pPr>
            <w:r w:rsidRPr="008509E2">
              <w:rPr>
                <w:rFonts w:ascii="Liberation Sans" w:eastAsia="Times New Roman" w:hAnsi="Liberation Sans" w:cs="Liberation Sans"/>
                <w:color w:val="000000"/>
                <w:sz w:val="22"/>
                <w:szCs w:val="22"/>
                <w:lang w:eastAsia="fr-FR"/>
              </w:rPr>
              <w:t> </w:t>
            </w:r>
          </w:p>
        </w:tc>
        <w:tc>
          <w:tcPr>
            <w:tcW w:w="4860" w:type="dxa"/>
            <w:gridSpan w:val="4"/>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8509E2" w:rsidRDefault="008D4F0F" w:rsidP="00B75970">
            <w:pPr>
              <w:jc w:val="center"/>
              <w:rPr>
                <w:rFonts w:ascii="Arial" w:eastAsia="Times New Roman" w:hAnsi="Arial" w:cs="Arial"/>
                <w:b/>
                <w:bCs/>
                <w:color w:val="FFFFFF"/>
                <w:sz w:val="20"/>
                <w:szCs w:val="20"/>
                <w:lang w:eastAsia="fr-FR"/>
              </w:rPr>
            </w:pPr>
            <w:r w:rsidRPr="008509E2">
              <w:rPr>
                <w:rFonts w:ascii="Arial" w:eastAsia="Times New Roman" w:hAnsi="Arial" w:cs="Arial"/>
                <w:b/>
                <w:bCs/>
                <w:color w:val="FFFFFF"/>
                <w:sz w:val="20"/>
                <w:szCs w:val="20"/>
                <w:lang w:eastAsia="fr-FR"/>
              </w:rPr>
              <w:t>Composition du comité de direction</w:t>
            </w:r>
          </w:p>
        </w:tc>
      </w:tr>
      <w:tr w:rsidR="008D4F0F" w:rsidRPr="008509E2" w:rsidTr="00B75970">
        <w:trPr>
          <w:trHeight w:val="520"/>
          <w:jc w:val="center"/>
        </w:trPr>
        <w:tc>
          <w:tcPr>
            <w:tcW w:w="4040" w:type="dxa"/>
            <w:tcBorders>
              <w:top w:val="nil"/>
              <w:left w:val="nil"/>
              <w:bottom w:val="nil"/>
              <w:right w:val="nil"/>
            </w:tcBorders>
            <w:shd w:val="clear" w:color="000000" w:fill="FFFFFF"/>
            <w:vAlign w:val="bottom"/>
            <w:hideMark/>
          </w:tcPr>
          <w:p w:rsidR="008D4F0F" w:rsidRPr="008509E2" w:rsidRDefault="008D4F0F" w:rsidP="00B75970">
            <w:pPr>
              <w:rPr>
                <w:rFonts w:ascii="Liberation Sans" w:eastAsia="Times New Roman" w:hAnsi="Liberation Sans" w:cs="Liberation Sans"/>
                <w:color w:val="000000"/>
                <w:sz w:val="22"/>
                <w:szCs w:val="22"/>
                <w:lang w:eastAsia="fr-FR"/>
              </w:rPr>
            </w:pPr>
            <w:r w:rsidRPr="008509E2">
              <w:rPr>
                <w:rFonts w:ascii="Liberation Sans" w:eastAsia="Times New Roman" w:hAnsi="Liberation Sans" w:cs="Liberation Sans"/>
                <w:color w:val="000000"/>
                <w:sz w:val="22"/>
                <w:szCs w:val="22"/>
                <w:lang w:eastAsia="fr-FR"/>
              </w:rPr>
              <w:t> </w:t>
            </w:r>
          </w:p>
        </w:tc>
        <w:tc>
          <w:tcPr>
            <w:tcW w:w="1200"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8509E2" w:rsidRDefault="008D4F0F" w:rsidP="00B75970">
            <w:pPr>
              <w:jc w:val="center"/>
              <w:rPr>
                <w:rFonts w:ascii="Arial" w:eastAsia="Times New Roman" w:hAnsi="Arial" w:cs="Arial"/>
                <w:b/>
                <w:bCs/>
                <w:color w:val="808080"/>
                <w:sz w:val="20"/>
                <w:szCs w:val="20"/>
                <w:lang w:eastAsia="fr-FR"/>
              </w:rPr>
            </w:pPr>
            <w:r w:rsidRPr="008509E2">
              <w:rPr>
                <w:rFonts w:ascii="Arial" w:eastAsia="Times New Roman" w:hAnsi="Arial" w:cs="Arial"/>
                <w:b/>
                <w:bCs/>
                <w:color w:val="808080"/>
                <w:sz w:val="20"/>
                <w:szCs w:val="20"/>
                <w:lang w:eastAsia="fr-FR"/>
              </w:rPr>
              <w:t>Femmes</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509E2" w:rsidRDefault="008D4F0F" w:rsidP="00B75970">
            <w:pPr>
              <w:jc w:val="center"/>
              <w:rPr>
                <w:rFonts w:ascii="Arial" w:eastAsia="Times New Roman" w:hAnsi="Arial" w:cs="Arial"/>
                <w:b/>
                <w:bCs/>
                <w:color w:val="808080"/>
                <w:sz w:val="20"/>
                <w:szCs w:val="20"/>
                <w:lang w:eastAsia="fr-FR"/>
              </w:rPr>
            </w:pPr>
            <w:r w:rsidRPr="008509E2">
              <w:rPr>
                <w:rFonts w:ascii="Arial" w:eastAsia="Times New Roman" w:hAnsi="Arial" w:cs="Arial"/>
                <w:b/>
                <w:bCs/>
                <w:color w:val="808080"/>
                <w:sz w:val="20"/>
                <w:szCs w:val="20"/>
                <w:lang w:eastAsia="fr-FR"/>
              </w:rPr>
              <w:t>Hommes</w:t>
            </w:r>
          </w:p>
        </w:tc>
        <w:tc>
          <w:tcPr>
            <w:tcW w:w="1200" w:type="dxa"/>
            <w:tcBorders>
              <w:top w:val="nil"/>
              <w:left w:val="nil"/>
              <w:bottom w:val="single" w:sz="4" w:space="0" w:color="808080"/>
              <w:right w:val="single" w:sz="4" w:space="0" w:color="808080"/>
            </w:tcBorders>
            <w:shd w:val="clear" w:color="000000" w:fill="99FFCC"/>
            <w:vAlign w:val="center"/>
            <w:hideMark/>
          </w:tcPr>
          <w:p w:rsidR="008D4F0F" w:rsidRPr="008509E2" w:rsidRDefault="008D4F0F" w:rsidP="00B75970">
            <w:pPr>
              <w:jc w:val="center"/>
              <w:rPr>
                <w:rFonts w:ascii="Arial" w:eastAsia="Times New Roman" w:hAnsi="Arial" w:cs="Arial"/>
                <w:b/>
                <w:bCs/>
                <w:color w:val="808080"/>
                <w:sz w:val="20"/>
                <w:szCs w:val="20"/>
                <w:lang w:eastAsia="fr-FR"/>
              </w:rPr>
            </w:pPr>
            <w:r w:rsidRPr="008509E2">
              <w:rPr>
                <w:rFonts w:ascii="Arial" w:eastAsia="Times New Roman" w:hAnsi="Arial" w:cs="Arial"/>
                <w:b/>
                <w:bCs/>
                <w:color w:val="808080"/>
                <w:sz w:val="20"/>
                <w:szCs w:val="20"/>
                <w:lang w:eastAsia="fr-FR"/>
              </w:rPr>
              <w:t>Total</w:t>
            </w:r>
          </w:p>
        </w:tc>
        <w:tc>
          <w:tcPr>
            <w:tcW w:w="1260" w:type="dxa"/>
            <w:tcBorders>
              <w:top w:val="nil"/>
              <w:left w:val="nil"/>
              <w:bottom w:val="single" w:sz="4" w:space="0" w:color="808080"/>
              <w:right w:val="single" w:sz="4" w:space="0" w:color="808080"/>
            </w:tcBorders>
            <w:shd w:val="clear" w:color="000000" w:fill="99FFCC"/>
            <w:vAlign w:val="center"/>
            <w:hideMark/>
          </w:tcPr>
          <w:p w:rsidR="008D4F0F" w:rsidRPr="008509E2" w:rsidRDefault="008D4F0F" w:rsidP="00B75970">
            <w:pPr>
              <w:jc w:val="center"/>
              <w:rPr>
                <w:rFonts w:ascii="Arial" w:eastAsia="Times New Roman" w:hAnsi="Arial" w:cs="Arial"/>
                <w:b/>
                <w:bCs/>
                <w:color w:val="808080"/>
                <w:sz w:val="20"/>
                <w:szCs w:val="20"/>
                <w:lang w:eastAsia="fr-FR"/>
              </w:rPr>
            </w:pPr>
            <w:r w:rsidRPr="008509E2">
              <w:rPr>
                <w:rFonts w:ascii="Arial" w:eastAsia="Times New Roman" w:hAnsi="Arial" w:cs="Arial"/>
                <w:b/>
                <w:bCs/>
                <w:color w:val="808080"/>
                <w:sz w:val="20"/>
                <w:szCs w:val="20"/>
                <w:lang w:eastAsia="fr-FR"/>
              </w:rPr>
              <w:t>Part des femmes</w:t>
            </w:r>
          </w:p>
        </w:tc>
      </w:tr>
      <w:tr w:rsidR="008D4F0F" w:rsidRPr="008509E2" w:rsidTr="00B75970">
        <w:trPr>
          <w:trHeight w:val="290"/>
          <w:jc w:val="center"/>
        </w:trPr>
        <w:tc>
          <w:tcPr>
            <w:tcW w:w="4040" w:type="dxa"/>
            <w:tcBorders>
              <w:top w:val="single" w:sz="4" w:space="0" w:color="808080"/>
              <w:left w:val="single" w:sz="4" w:space="0" w:color="808080"/>
              <w:bottom w:val="single" w:sz="4" w:space="0" w:color="808080"/>
              <w:right w:val="single" w:sz="4" w:space="0" w:color="808080"/>
            </w:tcBorders>
            <w:shd w:val="clear" w:color="000000" w:fill="BFBFBF"/>
            <w:vAlign w:val="center"/>
            <w:hideMark/>
          </w:tcPr>
          <w:p w:rsidR="008D4F0F" w:rsidRPr="008509E2" w:rsidRDefault="008D4F0F" w:rsidP="00B75970">
            <w:pPr>
              <w:jc w:val="both"/>
              <w:rPr>
                <w:rFonts w:ascii="Arial" w:eastAsia="Times New Roman" w:hAnsi="Arial" w:cs="Arial"/>
                <w:b/>
                <w:bCs/>
                <w:color w:val="FFFFFF"/>
                <w:sz w:val="20"/>
                <w:szCs w:val="20"/>
                <w:lang w:eastAsia="fr-FR"/>
              </w:rPr>
            </w:pPr>
            <w:r w:rsidRPr="008509E2">
              <w:rPr>
                <w:rFonts w:ascii="Arial" w:eastAsia="Times New Roman" w:hAnsi="Arial" w:cs="Arial"/>
                <w:b/>
                <w:bCs/>
                <w:color w:val="FFFFFF"/>
                <w:sz w:val="20"/>
                <w:szCs w:val="20"/>
                <w:lang w:eastAsia="fr-FR"/>
              </w:rPr>
              <w:t>Membres des comités de direction</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509E2" w:rsidRDefault="008D4F0F" w:rsidP="00B75970">
            <w:pPr>
              <w:jc w:val="center"/>
              <w:rPr>
                <w:rFonts w:ascii="Arial" w:eastAsia="Times New Roman" w:hAnsi="Arial" w:cs="Arial"/>
                <w:color w:val="000000"/>
                <w:sz w:val="20"/>
                <w:szCs w:val="20"/>
                <w:lang w:eastAsia="fr-FR"/>
              </w:rPr>
            </w:pPr>
            <w:r w:rsidRPr="008509E2">
              <w:rPr>
                <w:rFonts w:ascii="Arial" w:eastAsia="Times New Roman" w:hAnsi="Arial" w:cs="Arial"/>
                <w:color w:val="000000"/>
                <w:sz w:val="20"/>
                <w:szCs w:val="20"/>
                <w:lang w:eastAsia="fr-FR"/>
              </w:rPr>
              <w:t>38</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509E2" w:rsidRDefault="008D4F0F" w:rsidP="00B75970">
            <w:pPr>
              <w:jc w:val="center"/>
              <w:rPr>
                <w:rFonts w:ascii="Arial" w:eastAsia="Times New Roman" w:hAnsi="Arial" w:cs="Arial"/>
                <w:color w:val="000000"/>
                <w:sz w:val="20"/>
                <w:szCs w:val="20"/>
                <w:lang w:eastAsia="fr-FR"/>
              </w:rPr>
            </w:pPr>
            <w:r w:rsidRPr="008509E2">
              <w:rPr>
                <w:rFonts w:ascii="Arial" w:eastAsia="Times New Roman" w:hAnsi="Arial" w:cs="Arial"/>
                <w:color w:val="000000"/>
                <w:sz w:val="20"/>
                <w:szCs w:val="20"/>
                <w:lang w:eastAsia="fr-FR"/>
              </w:rPr>
              <w:t>56</w:t>
            </w:r>
          </w:p>
        </w:tc>
        <w:tc>
          <w:tcPr>
            <w:tcW w:w="1200" w:type="dxa"/>
            <w:tcBorders>
              <w:top w:val="nil"/>
              <w:left w:val="nil"/>
              <w:bottom w:val="single" w:sz="4" w:space="0" w:color="808080"/>
              <w:right w:val="single" w:sz="4" w:space="0" w:color="808080"/>
            </w:tcBorders>
            <w:shd w:val="clear" w:color="000000" w:fill="FFFFFF"/>
            <w:vAlign w:val="center"/>
            <w:hideMark/>
          </w:tcPr>
          <w:p w:rsidR="008D4F0F" w:rsidRPr="008509E2" w:rsidRDefault="008D4F0F" w:rsidP="00B75970">
            <w:pPr>
              <w:jc w:val="center"/>
              <w:rPr>
                <w:rFonts w:ascii="Arial" w:eastAsia="Times New Roman" w:hAnsi="Arial" w:cs="Arial"/>
                <w:color w:val="000000"/>
                <w:sz w:val="20"/>
                <w:szCs w:val="20"/>
                <w:lang w:eastAsia="fr-FR"/>
              </w:rPr>
            </w:pPr>
            <w:r w:rsidRPr="008509E2">
              <w:rPr>
                <w:rFonts w:ascii="Arial" w:eastAsia="Times New Roman" w:hAnsi="Arial" w:cs="Arial"/>
                <w:color w:val="000000"/>
                <w:sz w:val="20"/>
                <w:szCs w:val="20"/>
                <w:lang w:eastAsia="fr-FR"/>
              </w:rPr>
              <w:t>94</w:t>
            </w:r>
          </w:p>
        </w:tc>
        <w:tc>
          <w:tcPr>
            <w:tcW w:w="1260" w:type="dxa"/>
            <w:tcBorders>
              <w:top w:val="nil"/>
              <w:left w:val="nil"/>
              <w:bottom w:val="single" w:sz="4" w:space="0" w:color="808080"/>
              <w:right w:val="single" w:sz="4" w:space="0" w:color="808080"/>
            </w:tcBorders>
            <w:shd w:val="clear" w:color="000000" w:fill="FFFFFF"/>
            <w:vAlign w:val="center"/>
            <w:hideMark/>
          </w:tcPr>
          <w:p w:rsidR="008D4F0F" w:rsidRPr="008509E2" w:rsidRDefault="008D4F0F" w:rsidP="00B75970">
            <w:pPr>
              <w:jc w:val="center"/>
              <w:rPr>
                <w:rFonts w:ascii="Arial" w:eastAsia="Times New Roman" w:hAnsi="Arial" w:cs="Arial"/>
                <w:color w:val="000000"/>
                <w:sz w:val="20"/>
                <w:szCs w:val="20"/>
                <w:lang w:eastAsia="fr-FR"/>
              </w:rPr>
            </w:pPr>
            <w:r w:rsidRPr="008509E2">
              <w:rPr>
                <w:rFonts w:ascii="Arial" w:eastAsia="Times New Roman" w:hAnsi="Arial" w:cs="Arial"/>
                <w:color w:val="000000"/>
                <w:sz w:val="20"/>
                <w:szCs w:val="20"/>
                <w:lang w:eastAsia="fr-FR"/>
              </w:rPr>
              <w:t>40%</w:t>
            </w:r>
          </w:p>
        </w:tc>
      </w:tr>
    </w:tbl>
    <w:p w:rsidR="008D4F0F" w:rsidRDefault="008D4F0F" w:rsidP="008D4F0F">
      <w:pPr>
        <w:widowControl w:val="0"/>
        <w:autoSpaceDE w:val="0"/>
        <w:autoSpaceDN w:val="0"/>
        <w:adjustRightInd w:val="0"/>
        <w:rPr>
          <w:rFonts w:ascii="Arial" w:hAnsi="Arial"/>
          <w:color w:val="000000"/>
          <w:sz w:val="20"/>
        </w:rPr>
      </w:pPr>
    </w:p>
    <w:p w:rsidR="008D4F0F" w:rsidRPr="00A73B60" w:rsidRDefault="008D4F0F" w:rsidP="008D4F0F">
      <w:pPr>
        <w:widowControl w:val="0"/>
        <w:autoSpaceDE w:val="0"/>
        <w:autoSpaceDN w:val="0"/>
        <w:adjustRightInd w:val="0"/>
        <w:rPr>
          <w:rFonts w:ascii="Arial" w:hAnsi="Arial" w:cs="Times"/>
          <w:sz w:val="20"/>
        </w:rPr>
      </w:pPr>
      <w:r w:rsidRPr="008509E2">
        <w:rPr>
          <w:rFonts w:ascii="Arial" w:hAnsi="Arial"/>
          <w:color w:val="00FF00"/>
          <w:sz w:val="20"/>
        </w:rPr>
        <w:t>*</w:t>
      </w:r>
      <w:r w:rsidRPr="00A73B60">
        <w:rPr>
          <w:rFonts w:ascii="Arial" w:hAnsi="Arial"/>
          <w:color w:val="000000"/>
          <w:sz w:val="20"/>
        </w:rPr>
        <w:t xml:space="preserve"> </w:t>
      </w:r>
      <w:r>
        <w:rPr>
          <w:rFonts w:ascii="Arial" w:hAnsi="Arial"/>
          <w:color w:val="000000"/>
          <w:sz w:val="20"/>
        </w:rPr>
        <w:t>Il s’agit de</w:t>
      </w:r>
      <w:r w:rsidRPr="00A73B60">
        <w:rPr>
          <w:rFonts w:ascii="Arial" w:hAnsi="Arial"/>
          <w:color w:val="000000"/>
          <w:sz w:val="20"/>
        </w:rPr>
        <w:t>s établissements publics suivants : BNF, Musée du Louvre, Opéra national de Paris, RMN -GP, CMN, CSI, CNAC-GP, Musée et domaine national de Versailles, Musée d'Orsay, CNSMP</w:t>
      </w:r>
    </w:p>
    <w:p w:rsidR="008D4F0F" w:rsidRDefault="008D4F0F" w:rsidP="008D4F0F">
      <w:pPr>
        <w:widowControl w:val="0"/>
        <w:autoSpaceDE w:val="0"/>
        <w:autoSpaceDN w:val="0"/>
        <w:adjustRightInd w:val="0"/>
        <w:rPr>
          <w:rFonts w:cs="Times"/>
          <w:sz w:val="22"/>
        </w:rPr>
      </w:pPr>
    </w:p>
    <w:p w:rsidR="008D4F0F" w:rsidRDefault="008D4F0F" w:rsidP="008D4F0F">
      <w:pPr>
        <w:widowControl w:val="0"/>
        <w:autoSpaceDE w:val="0"/>
        <w:autoSpaceDN w:val="0"/>
        <w:adjustRightInd w:val="0"/>
        <w:rPr>
          <w:rFonts w:cs="Times"/>
          <w:sz w:val="22"/>
        </w:rPr>
      </w:pPr>
    </w:p>
    <w:p w:rsidR="008D4F0F" w:rsidRDefault="008D4F0F" w:rsidP="008D4F0F">
      <w:pPr>
        <w:widowControl w:val="0"/>
        <w:autoSpaceDE w:val="0"/>
        <w:autoSpaceDN w:val="0"/>
        <w:adjustRightInd w:val="0"/>
        <w:rPr>
          <w:rFonts w:cs="Times"/>
          <w:sz w:val="22"/>
        </w:rPr>
      </w:pPr>
    </w:p>
    <w:p w:rsidR="008D4F0F" w:rsidRDefault="008D4F0F" w:rsidP="008D4F0F">
      <w:pPr>
        <w:spacing w:after="160" w:line="259" w:lineRule="auto"/>
        <w:rPr>
          <w:rFonts w:cs="Times"/>
          <w:sz w:val="22"/>
        </w:rPr>
      </w:pPr>
      <w:r>
        <w:rPr>
          <w:rFonts w:cs="Times"/>
          <w:sz w:val="22"/>
        </w:rPr>
        <w:br w:type="page"/>
      </w:r>
    </w:p>
    <w:p w:rsidR="008D4F0F" w:rsidRDefault="008D4F0F" w:rsidP="008D4F0F">
      <w:pPr>
        <w:widowControl w:val="0"/>
        <w:autoSpaceDE w:val="0"/>
        <w:autoSpaceDN w:val="0"/>
        <w:adjustRightInd w:val="0"/>
        <w:jc w:val="both"/>
      </w:pPr>
    </w:p>
    <w:p w:rsidR="008D4F0F" w:rsidRPr="007A4B95" w:rsidRDefault="008D4F0F" w:rsidP="008D4F0F">
      <w:pPr>
        <w:tabs>
          <w:tab w:val="left" w:pos="1220"/>
        </w:tabs>
        <w:ind w:left="1418" w:hanging="1418"/>
        <w:jc w:val="both"/>
        <w:rPr>
          <w:rFonts w:ascii="Florencesans Exp" w:hAnsi="Florencesans Exp"/>
          <w:b/>
          <w:color w:val="00FF80"/>
          <w:sz w:val="28"/>
        </w:rPr>
      </w:pPr>
      <w:r w:rsidRPr="007A4B95">
        <w:rPr>
          <w:rFonts w:ascii="Florencesans Exp" w:hAnsi="Florencesans Exp"/>
          <w:b/>
          <w:color w:val="00FF80"/>
          <w:sz w:val="28"/>
        </w:rPr>
        <w:t xml:space="preserve">3. C. PART DES FEMMES DANS LES CONSEILS D’ADMINISTRATION </w:t>
      </w:r>
      <w:r w:rsidRPr="007A4B95">
        <w:rPr>
          <w:rFonts w:ascii="Florencesans Exp" w:hAnsi="Florencesans Exp"/>
          <w:b/>
          <w:color w:val="00FF80"/>
          <w:sz w:val="28"/>
          <w:szCs w:val="28"/>
        </w:rPr>
        <w:t xml:space="preserve">(DONNEES T2 ET T3 AU </w:t>
      </w:r>
      <w:r>
        <w:rPr>
          <w:rFonts w:ascii="Florencesans Exp" w:hAnsi="Florencesans Exp"/>
          <w:b/>
          <w:color w:val="00FF80"/>
          <w:sz w:val="28"/>
          <w:szCs w:val="28"/>
        </w:rPr>
        <w:br/>
      </w:r>
      <w:r w:rsidRPr="007A4B95">
        <w:rPr>
          <w:rFonts w:ascii="Florencesans Exp" w:hAnsi="Florencesans Exp"/>
          <w:b/>
          <w:color w:val="00FF80"/>
          <w:sz w:val="28"/>
          <w:szCs w:val="28"/>
        </w:rPr>
        <w:t>1</w:t>
      </w:r>
      <w:r w:rsidRPr="007A4B95">
        <w:rPr>
          <w:rFonts w:ascii="Florencesans Exp" w:hAnsi="Florencesans Exp"/>
          <w:b/>
          <w:color w:val="00FF80"/>
          <w:sz w:val="28"/>
          <w:szCs w:val="28"/>
          <w:vertAlign w:val="superscript"/>
        </w:rPr>
        <w:t>ER</w:t>
      </w:r>
      <w:r w:rsidRPr="007A4B95">
        <w:rPr>
          <w:rFonts w:ascii="Florencesans Exp" w:hAnsi="Florencesans Exp"/>
          <w:b/>
          <w:color w:val="00FF80"/>
          <w:sz w:val="28"/>
          <w:szCs w:val="28"/>
        </w:rPr>
        <w:t xml:space="preserve"> JANVIER 2014)</w:t>
      </w:r>
    </w:p>
    <w:p w:rsidR="008D4F0F" w:rsidRDefault="008D4F0F" w:rsidP="008D4F0F">
      <w:pPr>
        <w:widowControl w:val="0"/>
        <w:autoSpaceDE w:val="0"/>
        <w:autoSpaceDN w:val="0"/>
        <w:adjustRightInd w:val="0"/>
        <w:jc w:val="both"/>
      </w:pPr>
    </w:p>
    <w:p w:rsidR="008D4F0F" w:rsidRPr="007A4B95" w:rsidRDefault="008D4F0F" w:rsidP="008D4F0F">
      <w:pPr>
        <w:widowControl w:val="0"/>
        <w:autoSpaceDE w:val="0"/>
        <w:autoSpaceDN w:val="0"/>
        <w:adjustRightInd w:val="0"/>
        <w:ind w:left="1418" w:hanging="1418"/>
        <w:jc w:val="both"/>
        <w:rPr>
          <w:rFonts w:ascii="Florencesans Exp" w:hAnsi="Florencesans Exp"/>
        </w:rPr>
      </w:pPr>
      <w:r w:rsidRPr="007A4B95">
        <w:rPr>
          <w:rFonts w:ascii="Florencesans Exp" w:hAnsi="Florencesans Exp"/>
        </w:rPr>
        <w:t>3. C. 1. COMPOSITION DES CONSEILS D'ADMINISTRATION DES ETABLISSEMENTS PUBLICS</w:t>
      </w:r>
    </w:p>
    <w:p w:rsidR="008D4F0F" w:rsidRPr="00940F5C" w:rsidRDefault="008D4F0F" w:rsidP="008D4F0F">
      <w:pPr>
        <w:rPr>
          <w:rFonts w:ascii="BlairMdITC TT-Medium" w:hAnsi="BlairMdITC TT-Medium"/>
          <w:sz w:val="18"/>
          <w:szCs w:val="18"/>
        </w:rPr>
      </w:pPr>
    </w:p>
    <w:tbl>
      <w:tblPr>
        <w:tblW w:w="10020" w:type="dxa"/>
        <w:jc w:val="center"/>
        <w:tblCellMar>
          <w:left w:w="70" w:type="dxa"/>
          <w:right w:w="70" w:type="dxa"/>
        </w:tblCellMar>
        <w:tblLook w:val="04A0" w:firstRow="1" w:lastRow="0" w:firstColumn="1" w:lastColumn="0" w:noHBand="0" w:noVBand="1"/>
      </w:tblPr>
      <w:tblGrid>
        <w:gridCol w:w="4031"/>
        <w:gridCol w:w="1197"/>
        <w:gridCol w:w="1197"/>
        <w:gridCol w:w="1197"/>
        <w:gridCol w:w="1197"/>
        <w:gridCol w:w="1201"/>
      </w:tblGrid>
      <w:tr w:rsidR="008D4F0F" w:rsidRPr="004D0BB3" w:rsidTr="00B75970">
        <w:trPr>
          <w:trHeight w:val="292"/>
          <w:jc w:val="center"/>
        </w:trPr>
        <w:tc>
          <w:tcPr>
            <w:tcW w:w="4031" w:type="dxa"/>
            <w:tcBorders>
              <w:top w:val="nil"/>
              <w:left w:val="nil"/>
              <w:bottom w:val="nil"/>
              <w:right w:val="nil"/>
            </w:tcBorders>
            <w:shd w:val="clear" w:color="000000" w:fill="FFFFFF"/>
            <w:vAlign w:val="bottom"/>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vMerge w:val="restart"/>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4D0BB3" w:rsidRDefault="008D4F0F" w:rsidP="00B75970">
            <w:pPr>
              <w:jc w:val="center"/>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Nombre d'EP</w:t>
            </w:r>
          </w:p>
        </w:tc>
        <w:tc>
          <w:tcPr>
            <w:tcW w:w="4790" w:type="dxa"/>
            <w:gridSpan w:val="4"/>
            <w:tcBorders>
              <w:top w:val="single" w:sz="4" w:space="0" w:color="808080"/>
              <w:left w:val="nil"/>
              <w:bottom w:val="single" w:sz="4" w:space="0" w:color="808080"/>
              <w:right w:val="single" w:sz="4" w:space="0" w:color="808080"/>
            </w:tcBorders>
            <w:shd w:val="clear" w:color="000000" w:fill="00FF00"/>
            <w:vAlign w:val="center"/>
            <w:hideMark/>
          </w:tcPr>
          <w:p w:rsidR="008D4F0F" w:rsidRPr="004D0BB3" w:rsidRDefault="008D4F0F" w:rsidP="00B75970">
            <w:pPr>
              <w:jc w:val="center"/>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Nombre de personnalités qualifiées</w:t>
            </w:r>
          </w:p>
        </w:tc>
      </w:tr>
      <w:tr w:rsidR="008D4F0F" w:rsidRPr="004D0BB3" w:rsidTr="00B75970">
        <w:trPr>
          <w:trHeight w:val="506"/>
          <w:jc w:val="center"/>
        </w:trPr>
        <w:tc>
          <w:tcPr>
            <w:tcW w:w="4031" w:type="dxa"/>
            <w:tcBorders>
              <w:top w:val="nil"/>
              <w:left w:val="nil"/>
              <w:bottom w:val="nil"/>
              <w:right w:val="nil"/>
            </w:tcBorders>
            <w:shd w:val="clear" w:color="000000" w:fill="FFFFFF"/>
            <w:vAlign w:val="bottom"/>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vMerge/>
            <w:tcBorders>
              <w:top w:val="single" w:sz="4" w:space="0" w:color="808080"/>
              <w:left w:val="single" w:sz="4" w:space="0" w:color="808080"/>
              <w:bottom w:val="single" w:sz="4" w:space="0" w:color="808080"/>
              <w:right w:val="single" w:sz="4" w:space="0" w:color="808080"/>
            </w:tcBorders>
            <w:vAlign w:val="center"/>
            <w:hideMark/>
          </w:tcPr>
          <w:p w:rsidR="008D4F0F" w:rsidRPr="004D0BB3" w:rsidRDefault="008D4F0F" w:rsidP="00B75970">
            <w:pPr>
              <w:rPr>
                <w:rFonts w:ascii="Arial" w:eastAsia="Times New Roman" w:hAnsi="Arial" w:cs="Arial"/>
                <w:b/>
                <w:bCs/>
                <w:color w:val="FFFFFF"/>
                <w:sz w:val="20"/>
                <w:szCs w:val="20"/>
                <w:lang w:eastAsia="fr-FR"/>
              </w:rPr>
            </w:pP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Femmes</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Hommes</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Total</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Part des femmes</w:t>
            </w:r>
          </w:p>
        </w:tc>
      </w:tr>
      <w:tr w:rsidR="008D4F0F" w:rsidRPr="004D0BB3" w:rsidTr="00B75970">
        <w:trPr>
          <w:trHeight w:val="175"/>
          <w:jc w:val="center"/>
        </w:trPr>
        <w:tc>
          <w:tcPr>
            <w:tcW w:w="4031"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r>
      <w:tr w:rsidR="008D4F0F" w:rsidRPr="004D0BB3" w:rsidTr="00B75970">
        <w:trPr>
          <w:trHeight w:val="282"/>
          <w:jc w:val="center"/>
        </w:trPr>
        <w:tc>
          <w:tcPr>
            <w:tcW w:w="10020" w:type="dxa"/>
            <w:gridSpan w:val="6"/>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Domaine d'activité</w:t>
            </w:r>
          </w:p>
        </w:tc>
      </w:tr>
      <w:tr w:rsidR="008D4F0F" w:rsidRPr="004D0BB3" w:rsidTr="00B75970">
        <w:trPr>
          <w:trHeight w:val="292"/>
          <w:jc w:val="center"/>
        </w:trPr>
        <w:tc>
          <w:tcPr>
            <w:tcW w:w="4031"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 xml:space="preserve">Musée, patrimoine </w:t>
            </w:r>
            <w:r w:rsidRPr="004D0BB3">
              <w:rPr>
                <w:rFonts w:ascii="Arial" w:eastAsia="Times New Roman" w:hAnsi="Arial" w:cs="Arial"/>
                <w:b/>
                <w:bCs/>
                <w:color w:val="00FF00"/>
                <w:sz w:val="20"/>
                <w:szCs w:val="20"/>
                <w:vertAlign w:val="superscript"/>
                <w:lang w:eastAsia="fr-FR"/>
              </w:rPr>
              <w:t>1</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21</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39</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51</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90</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43%</w:t>
            </w:r>
          </w:p>
        </w:tc>
      </w:tr>
      <w:tr w:rsidR="008D4F0F" w:rsidRPr="004D0BB3" w:rsidTr="00B75970">
        <w:trPr>
          <w:trHeight w:val="292"/>
          <w:jc w:val="center"/>
        </w:trPr>
        <w:tc>
          <w:tcPr>
            <w:tcW w:w="4031"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 xml:space="preserve">Spectacle vivant </w:t>
            </w:r>
            <w:r w:rsidRPr="004D0BB3">
              <w:rPr>
                <w:rFonts w:ascii="Arial" w:eastAsia="Times New Roman" w:hAnsi="Arial" w:cs="Arial"/>
                <w:b/>
                <w:bCs/>
                <w:color w:val="00FF00"/>
                <w:sz w:val="20"/>
                <w:szCs w:val="20"/>
                <w:vertAlign w:val="superscript"/>
                <w:lang w:eastAsia="fr-FR"/>
              </w:rPr>
              <w:t>2</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11</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16</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15</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31</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52%</w:t>
            </w:r>
          </w:p>
        </w:tc>
      </w:tr>
      <w:tr w:rsidR="008D4F0F" w:rsidRPr="004D0BB3" w:rsidTr="00B75970">
        <w:trPr>
          <w:trHeight w:val="282"/>
          <w:jc w:val="center"/>
        </w:trPr>
        <w:tc>
          <w:tcPr>
            <w:tcW w:w="4031"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Enseignement d'art</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34</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46</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115</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161</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29%</w:t>
            </w:r>
          </w:p>
        </w:tc>
      </w:tr>
      <w:tr w:rsidR="008D4F0F" w:rsidRPr="004D0BB3" w:rsidTr="00B75970">
        <w:trPr>
          <w:trHeight w:val="292"/>
          <w:jc w:val="center"/>
        </w:trPr>
        <w:tc>
          <w:tcPr>
            <w:tcW w:w="4031"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 xml:space="preserve">Autre </w:t>
            </w:r>
            <w:r w:rsidRPr="004D0BB3">
              <w:rPr>
                <w:rFonts w:ascii="Arial" w:eastAsia="Times New Roman" w:hAnsi="Arial" w:cs="Arial"/>
                <w:b/>
                <w:bCs/>
                <w:color w:val="00FF00"/>
                <w:sz w:val="20"/>
                <w:szCs w:val="20"/>
                <w:vertAlign w:val="superscript"/>
                <w:lang w:eastAsia="fr-FR"/>
              </w:rPr>
              <w:t>3</w:t>
            </w:r>
          </w:p>
        </w:tc>
        <w:tc>
          <w:tcPr>
            <w:tcW w:w="1197" w:type="dxa"/>
            <w:tcBorders>
              <w:top w:val="nil"/>
              <w:left w:val="nil"/>
              <w:bottom w:val="single" w:sz="4" w:space="0" w:color="808080"/>
              <w:right w:val="single" w:sz="4" w:space="0" w:color="808080"/>
            </w:tcBorders>
            <w:shd w:val="clear" w:color="000000" w:fill="FFFFFF"/>
            <w:vAlign w:val="center"/>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7</w:t>
            </w:r>
          </w:p>
        </w:tc>
        <w:tc>
          <w:tcPr>
            <w:tcW w:w="1197" w:type="dxa"/>
            <w:tcBorders>
              <w:top w:val="nil"/>
              <w:left w:val="nil"/>
              <w:bottom w:val="single" w:sz="4" w:space="0" w:color="808080"/>
              <w:right w:val="single" w:sz="4" w:space="0" w:color="808080"/>
            </w:tcBorders>
            <w:shd w:val="clear" w:color="000000" w:fill="FFFFFF"/>
            <w:vAlign w:val="center"/>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21</w:t>
            </w:r>
          </w:p>
        </w:tc>
        <w:tc>
          <w:tcPr>
            <w:tcW w:w="1197" w:type="dxa"/>
            <w:tcBorders>
              <w:top w:val="nil"/>
              <w:left w:val="nil"/>
              <w:bottom w:val="single" w:sz="4" w:space="0" w:color="808080"/>
              <w:right w:val="single" w:sz="4" w:space="0" w:color="808080"/>
            </w:tcBorders>
            <w:shd w:val="clear" w:color="000000" w:fill="FFFFFF"/>
            <w:vAlign w:val="center"/>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20</w:t>
            </w:r>
          </w:p>
        </w:tc>
        <w:tc>
          <w:tcPr>
            <w:tcW w:w="1197" w:type="dxa"/>
            <w:tcBorders>
              <w:top w:val="nil"/>
              <w:left w:val="nil"/>
              <w:bottom w:val="single" w:sz="4" w:space="0" w:color="808080"/>
              <w:right w:val="single" w:sz="4" w:space="0" w:color="808080"/>
            </w:tcBorders>
            <w:shd w:val="clear" w:color="000000" w:fill="FFFFFF"/>
            <w:vAlign w:val="center"/>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41</w:t>
            </w:r>
          </w:p>
        </w:tc>
        <w:tc>
          <w:tcPr>
            <w:tcW w:w="1197" w:type="dxa"/>
            <w:tcBorders>
              <w:top w:val="nil"/>
              <w:left w:val="nil"/>
              <w:bottom w:val="single" w:sz="4" w:space="0" w:color="808080"/>
              <w:right w:val="single" w:sz="4" w:space="0" w:color="808080"/>
            </w:tcBorders>
            <w:shd w:val="clear" w:color="000000" w:fill="FFFFFF"/>
            <w:vAlign w:val="center"/>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51%</w:t>
            </w:r>
          </w:p>
        </w:tc>
      </w:tr>
      <w:tr w:rsidR="008D4F0F" w:rsidRPr="004D0BB3" w:rsidTr="00B75970">
        <w:trPr>
          <w:trHeight w:val="282"/>
          <w:jc w:val="center"/>
        </w:trPr>
        <w:tc>
          <w:tcPr>
            <w:tcW w:w="4031"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4D0BB3" w:rsidRDefault="008D4F0F" w:rsidP="00B75970">
            <w:pPr>
              <w:jc w:val="both"/>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Total</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73</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122</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201</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323</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38%</w:t>
            </w:r>
          </w:p>
        </w:tc>
      </w:tr>
      <w:tr w:rsidR="008D4F0F" w:rsidRPr="004D0BB3" w:rsidTr="00B75970">
        <w:trPr>
          <w:trHeight w:val="175"/>
          <w:jc w:val="center"/>
        </w:trPr>
        <w:tc>
          <w:tcPr>
            <w:tcW w:w="4031"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c>
          <w:tcPr>
            <w:tcW w:w="1197" w:type="dxa"/>
            <w:tcBorders>
              <w:top w:val="nil"/>
              <w:left w:val="nil"/>
              <w:bottom w:val="nil"/>
              <w:right w:val="nil"/>
            </w:tcBorders>
            <w:shd w:val="clear" w:color="000000" w:fill="FFFFFF"/>
            <w:vAlign w:val="center"/>
            <w:hideMark/>
          </w:tcPr>
          <w:p w:rsidR="008D4F0F" w:rsidRPr="004D0BB3" w:rsidRDefault="008D4F0F" w:rsidP="00B75970">
            <w:pPr>
              <w:rPr>
                <w:rFonts w:ascii="Liberation Sans" w:eastAsia="Times New Roman" w:hAnsi="Liberation Sans" w:cs="Liberation Sans"/>
                <w:color w:val="000000"/>
                <w:sz w:val="22"/>
                <w:szCs w:val="22"/>
                <w:lang w:eastAsia="fr-FR"/>
              </w:rPr>
            </w:pPr>
            <w:r w:rsidRPr="004D0BB3">
              <w:rPr>
                <w:rFonts w:ascii="Liberation Sans" w:eastAsia="Times New Roman" w:hAnsi="Liberation Sans" w:cs="Liberation Sans"/>
                <w:color w:val="000000"/>
                <w:sz w:val="22"/>
                <w:szCs w:val="22"/>
                <w:lang w:eastAsia="fr-FR"/>
              </w:rPr>
              <w:t> </w:t>
            </w:r>
          </w:p>
        </w:tc>
      </w:tr>
      <w:tr w:rsidR="008D4F0F" w:rsidRPr="004D0BB3" w:rsidTr="00B75970">
        <w:trPr>
          <w:trHeight w:val="282"/>
          <w:jc w:val="center"/>
        </w:trPr>
        <w:tc>
          <w:tcPr>
            <w:tcW w:w="10020" w:type="dxa"/>
            <w:gridSpan w:val="6"/>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Taille de l'établissement</w:t>
            </w:r>
          </w:p>
        </w:tc>
      </w:tr>
      <w:tr w:rsidR="008D4F0F" w:rsidRPr="004D0BB3" w:rsidTr="00B75970">
        <w:trPr>
          <w:trHeight w:val="282"/>
          <w:jc w:val="center"/>
        </w:trPr>
        <w:tc>
          <w:tcPr>
            <w:tcW w:w="4031"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Moins de 100 salariés</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25</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54</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63</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117</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46%</w:t>
            </w:r>
          </w:p>
        </w:tc>
      </w:tr>
      <w:tr w:rsidR="008D4F0F" w:rsidRPr="004D0BB3" w:rsidTr="00B75970">
        <w:trPr>
          <w:trHeight w:val="282"/>
          <w:jc w:val="center"/>
        </w:trPr>
        <w:tc>
          <w:tcPr>
            <w:tcW w:w="4031"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100-499 salariés</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37</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51</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111</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162</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31%</w:t>
            </w:r>
          </w:p>
        </w:tc>
      </w:tr>
      <w:tr w:rsidR="008D4F0F" w:rsidRPr="004D0BB3" w:rsidTr="00B75970">
        <w:trPr>
          <w:trHeight w:val="282"/>
          <w:jc w:val="center"/>
        </w:trPr>
        <w:tc>
          <w:tcPr>
            <w:tcW w:w="4031"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4D0BB3" w:rsidRDefault="008D4F0F" w:rsidP="00B75970">
            <w:pPr>
              <w:jc w:val="both"/>
              <w:rPr>
                <w:rFonts w:ascii="Arial" w:eastAsia="Times New Roman" w:hAnsi="Arial" w:cs="Arial"/>
                <w:b/>
                <w:bCs/>
                <w:color w:val="FFFFFF"/>
                <w:sz w:val="20"/>
                <w:szCs w:val="20"/>
                <w:lang w:eastAsia="fr-FR"/>
              </w:rPr>
            </w:pPr>
            <w:r w:rsidRPr="004D0BB3">
              <w:rPr>
                <w:rFonts w:ascii="Arial" w:eastAsia="Times New Roman" w:hAnsi="Arial" w:cs="Arial"/>
                <w:b/>
                <w:bCs/>
                <w:color w:val="FFFFFF"/>
                <w:sz w:val="20"/>
                <w:szCs w:val="20"/>
                <w:lang w:eastAsia="fr-FR"/>
              </w:rPr>
              <w:t>500 salariés ou plus</w:t>
            </w:r>
          </w:p>
        </w:tc>
        <w:tc>
          <w:tcPr>
            <w:tcW w:w="1197" w:type="dxa"/>
            <w:tcBorders>
              <w:top w:val="nil"/>
              <w:left w:val="nil"/>
              <w:bottom w:val="single" w:sz="4" w:space="0" w:color="808080"/>
              <w:right w:val="single" w:sz="4" w:space="0" w:color="808080"/>
            </w:tcBorders>
            <w:shd w:val="clear" w:color="000000" w:fill="FFFFFF"/>
            <w:vAlign w:val="center"/>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11</w:t>
            </w:r>
          </w:p>
        </w:tc>
        <w:tc>
          <w:tcPr>
            <w:tcW w:w="1197" w:type="dxa"/>
            <w:tcBorders>
              <w:top w:val="nil"/>
              <w:left w:val="nil"/>
              <w:bottom w:val="single" w:sz="4" w:space="0" w:color="808080"/>
              <w:right w:val="single" w:sz="4" w:space="0" w:color="808080"/>
            </w:tcBorders>
            <w:shd w:val="clear" w:color="000000" w:fill="FFFFFF"/>
            <w:vAlign w:val="center"/>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17</w:t>
            </w:r>
          </w:p>
        </w:tc>
        <w:tc>
          <w:tcPr>
            <w:tcW w:w="1197" w:type="dxa"/>
            <w:tcBorders>
              <w:top w:val="nil"/>
              <w:left w:val="nil"/>
              <w:bottom w:val="single" w:sz="4" w:space="0" w:color="808080"/>
              <w:right w:val="single" w:sz="4" w:space="0" w:color="808080"/>
            </w:tcBorders>
            <w:shd w:val="clear" w:color="000000" w:fill="FFFFFF"/>
            <w:vAlign w:val="center"/>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27</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44</w:t>
            </w:r>
          </w:p>
        </w:tc>
        <w:tc>
          <w:tcPr>
            <w:tcW w:w="1197" w:type="dxa"/>
            <w:tcBorders>
              <w:top w:val="nil"/>
              <w:left w:val="nil"/>
              <w:bottom w:val="single" w:sz="4" w:space="0" w:color="808080"/>
              <w:right w:val="single" w:sz="4" w:space="0" w:color="808080"/>
            </w:tcBorders>
            <w:shd w:val="clear" w:color="000000" w:fill="FFFFFF"/>
            <w:vAlign w:val="bottom"/>
            <w:hideMark/>
          </w:tcPr>
          <w:p w:rsidR="008D4F0F" w:rsidRPr="004D0BB3" w:rsidRDefault="008D4F0F" w:rsidP="00B75970">
            <w:pPr>
              <w:jc w:val="center"/>
              <w:rPr>
                <w:rFonts w:ascii="Arial" w:eastAsia="Times New Roman" w:hAnsi="Arial" w:cs="Arial"/>
                <w:color w:val="000000"/>
                <w:sz w:val="20"/>
                <w:szCs w:val="20"/>
                <w:lang w:eastAsia="fr-FR"/>
              </w:rPr>
            </w:pPr>
            <w:r w:rsidRPr="004D0BB3">
              <w:rPr>
                <w:rFonts w:ascii="Arial" w:eastAsia="Times New Roman" w:hAnsi="Arial" w:cs="Arial"/>
                <w:color w:val="000000"/>
                <w:sz w:val="20"/>
                <w:szCs w:val="20"/>
                <w:lang w:eastAsia="fr-FR"/>
              </w:rPr>
              <w:t>39%</w:t>
            </w:r>
          </w:p>
        </w:tc>
      </w:tr>
      <w:tr w:rsidR="008D4F0F" w:rsidRPr="004D0BB3" w:rsidTr="00B75970">
        <w:trPr>
          <w:trHeight w:val="282"/>
          <w:jc w:val="center"/>
        </w:trPr>
        <w:tc>
          <w:tcPr>
            <w:tcW w:w="4031"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4D0BB3" w:rsidRDefault="008D4F0F" w:rsidP="00B75970">
            <w:pPr>
              <w:jc w:val="both"/>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Total</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73</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122</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201</w:t>
            </w:r>
          </w:p>
        </w:tc>
        <w:tc>
          <w:tcPr>
            <w:tcW w:w="1197" w:type="dxa"/>
            <w:tcBorders>
              <w:top w:val="nil"/>
              <w:left w:val="nil"/>
              <w:bottom w:val="single" w:sz="4" w:space="0" w:color="808080"/>
              <w:right w:val="single" w:sz="4" w:space="0" w:color="808080"/>
            </w:tcBorders>
            <w:shd w:val="clear" w:color="000000" w:fill="99FFCC"/>
            <w:vAlign w:val="center"/>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323</w:t>
            </w:r>
          </w:p>
        </w:tc>
        <w:tc>
          <w:tcPr>
            <w:tcW w:w="1197" w:type="dxa"/>
            <w:tcBorders>
              <w:top w:val="nil"/>
              <w:left w:val="nil"/>
              <w:bottom w:val="single" w:sz="4" w:space="0" w:color="808080"/>
              <w:right w:val="single" w:sz="4" w:space="0" w:color="808080"/>
            </w:tcBorders>
            <w:shd w:val="clear" w:color="000000" w:fill="99FFCC"/>
            <w:vAlign w:val="bottom"/>
            <w:hideMark/>
          </w:tcPr>
          <w:p w:rsidR="008D4F0F" w:rsidRPr="004D0BB3" w:rsidRDefault="008D4F0F" w:rsidP="00B75970">
            <w:pPr>
              <w:jc w:val="center"/>
              <w:rPr>
                <w:rFonts w:ascii="Arial" w:eastAsia="Times New Roman" w:hAnsi="Arial" w:cs="Arial"/>
                <w:b/>
                <w:bCs/>
                <w:color w:val="808080"/>
                <w:sz w:val="20"/>
                <w:szCs w:val="20"/>
                <w:lang w:eastAsia="fr-FR"/>
              </w:rPr>
            </w:pPr>
            <w:r w:rsidRPr="004D0BB3">
              <w:rPr>
                <w:rFonts w:ascii="Arial" w:eastAsia="Times New Roman" w:hAnsi="Arial" w:cs="Arial"/>
                <w:b/>
                <w:bCs/>
                <w:color w:val="808080"/>
                <w:sz w:val="20"/>
                <w:szCs w:val="20"/>
                <w:lang w:eastAsia="fr-FR"/>
              </w:rPr>
              <w:t>38%</w:t>
            </w:r>
          </w:p>
        </w:tc>
      </w:tr>
    </w:tbl>
    <w:p w:rsidR="008D4F0F" w:rsidRPr="000634DF" w:rsidRDefault="008D4F0F" w:rsidP="008D4F0F">
      <w:pPr>
        <w:widowControl w:val="0"/>
        <w:autoSpaceDE w:val="0"/>
        <w:autoSpaceDN w:val="0"/>
        <w:adjustRightInd w:val="0"/>
        <w:spacing w:before="240"/>
        <w:ind w:left="142" w:hanging="142"/>
        <w:rPr>
          <w:rFonts w:ascii="Arial" w:hAnsi="Arial" w:cs="Times"/>
          <w:sz w:val="20"/>
        </w:rPr>
      </w:pPr>
      <w:r w:rsidRPr="008D4B16">
        <w:rPr>
          <w:rFonts w:ascii="Arial" w:hAnsi="Arial"/>
          <w:b/>
          <w:color w:val="00FF00"/>
          <w:sz w:val="20"/>
          <w:vertAlign w:val="superscript"/>
        </w:rPr>
        <w:t>1</w:t>
      </w:r>
      <w:r w:rsidRPr="000634DF">
        <w:rPr>
          <w:rFonts w:ascii="Arial" w:hAnsi="Arial"/>
          <w:color w:val="000000"/>
          <w:sz w:val="20"/>
        </w:rPr>
        <w:t xml:space="preserve"> CMN, CNAP-GP, CAPA, CSI, Chambord, EPMQB, INHA, INRAP, INP, MHF, Orsay, le Louvre, Versailles, Guimet, Picasso, Fontainebleau, Rodin, OPPIC, Palais de la Porte Dorée, RMN-GP, Sèvres - Céramique.</w:t>
      </w:r>
    </w:p>
    <w:p w:rsidR="008D4F0F" w:rsidRPr="000634DF" w:rsidRDefault="008D4F0F" w:rsidP="008D4F0F">
      <w:pPr>
        <w:widowControl w:val="0"/>
        <w:autoSpaceDE w:val="0"/>
        <w:autoSpaceDN w:val="0"/>
        <w:adjustRightInd w:val="0"/>
        <w:ind w:left="142" w:hanging="142"/>
        <w:rPr>
          <w:rFonts w:ascii="Arial" w:hAnsi="Arial" w:cs="Times"/>
          <w:sz w:val="20"/>
        </w:rPr>
      </w:pPr>
      <w:r w:rsidRPr="003D6A42">
        <w:rPr>
          <w:rFonts w:ascii="Arial" w:hAnsi="Arial"/>
          <w:b/>
          <w:color w:val="00FF00"/>
          <w:sz w:val="20"/>
          <w:vertAlign w:val="superscript"/>
        </w:rPr>
        <w:t>2</w:t>
      </w:r>
      <w:r w:rsidRPr="000634DF">
        <w:rPr>
          <w:rFonts w:ascii="Arial" w:hAnsi="Arial"/>
          <w:color w:val="000000"/>
          <w:sz w:val="20"/>
        </w:rPr>
        <w:t xml:space="preserve"> CND, CNCVJ, Cité de la musique, Comédie française, EPPGHV, </w:t>
      </w:r>
      <w:r w:rsidR="000A142C" w:rsidRPr="000634DF">
        <w:rPr>
          <w:rFonts w:ascii="Arial" w:hAnsi="Arial"/>
          <w:color w:val="000000"/>
          <w:sz w:val="20"/>
        </w:rPr>
        <w:t>Opéra-comique</w:t>
      </w:r>
      <w:r w:rsidRPr="000634DF">
        <w:rPr>
          <w:rFonts w:ascii="Arial" w:hAnsi="Arial"/>
          <w:color w:val="000000"/>
          <w:sz w:val="20"/>
        </w:rPr>
        <w:t>, Opéra national de Paris, Chaillot, Odéon, Colline, Strasbourg.</w:t>
      </w:r>
    </w:p>
    <w:p w:rsidR="008D4F0F" w:rsidRPr="000634DF" w:rsidRDefault="008D4F0F" w:rsidP="008D4F0F">
      <w:pPr>
        <w:widowControl w:val="0"/>
        <w:autoSpaceDE w:val="0"/>
        <w:autoSpaceDN w:val="0"/>
        <w:adjustRightInd w:val="0"/>
        <w:rPr>
          <w:rFonts w:ascii="Arial" w:hAnsi="Arial" w:cs="Times"/>
          <w:sz w:val="20"/>
        </w:rPr>
      </w:pPr>
      <w:r w:rsidRPr="003D6A42">
        <w:rPr>
          <w:rFonts w:ascii="Arial" w:hAnsi="Arial"/>
          <w:b/>
          <w:color w:val="00FF00"/>
          <w:sz w:val="20"/>
          <w:vertAlign w:val="superscript"/>
        </w:rPr>
        <w:t>3</w:t>
      </w:r>
      <w:r w:rsidRPr="000634DF">
        <w:rPr>
          <w:rFonts w:ascii="Arial" w:hAnsi="Arial"/>
          <w:color w:val="000000"/>
          <w:sz w:val="20"/>
        </w:rPr>
        <w:t xml:space="preserve"> AFR, BNF, BPI, CNC, CNAP, CNL, Villa Arson.</w:t>
      </w:r>
    </w:p>
    <w:p w:rsidR="008D4F0F" w:rsidRDefault="008D4F0F" w:rsidP="008D4F0F">
      <w:pPr>
        <w:rPr>
          <w:rFonts w:ascii="BlairMdITC TT-Medium" w:hAnsi="BlairMdITC TT-Medium"/>
        </w:rPr>
      </w:pPr>
    </w:p>
    <w:p w:rsidR="008D4F0F" w:rsidRDefault="008D4F0F" w:rsidP="008D4F0F">
      <w:pPr>
        <w:rPr>
          <w:rFonts w:ascii="BlairMdITC TT-Medium" w:hAnsi="BlairMdITC TT-Medium"/>
        </w:rPr>
      </w:pPr>
    </w:p>
    <w:p w:rsidR="008D4F0F" w:rsidRPr="007A4B95" w:rsidRDefault="008D4F0F" w:rsidP="008D4F0F">
      <w:pPr>
        <w:ind w:left="1418" w:hanging="1418"/>
        <w:jc w:val="both"/>
        <w:rPr>
          <w:rFonts w:ascii="Florencesans Exp" w:hAnsi="Florencesans Exp"/>
        </w:rPr>
      </w:pPr>
      <w:r w:rsidRPr="007A4B95">
        <w:rPr>
          <w:rFonts w:ascii="Florencesans Exp" w:hAnsi="Florencesans Exp"/>
        </w:rPr>
        <w:t>3. C. 2. COMPOSITION DES CONSEILS D'ADMINISTRATION DES ENTREPRISES DE L’AUDIOVISUEL PUBLIC</w:t>
      </w:r>
    </w:p>
    <w:p w:rsidR="008D4F0F" w:rsidRPr="00940F5C" w:rsidRDefault="008D4F0F" w:rsidP="008D4F0F">
      <w:pPr>
        <w:rPr>
          <w:rFonts w:ascii="BlairMdITC TT-Medium" w:hAnsi="BlairMdITC TT-Medium"/>
          <w:sz w:val="18"/>
          <w:szCs w:val="18"/>
        </w:rPr>
      </w:pPr>
    </w:p>
    <w:tbl>
      <w:tblPr>
        <w:tblW w:w="8750" w:type="dxa"/>
        <w:jc w:val="center"/>
        <w:tblCellMar>
          <w:left w:w="70" w:type="dxa"/>
          <w:right w:w="70" w:type="dxa"/>
        </w:tblCellMar>
        <w:tblLook w:val="04A0" w:firstRow="1" w:lastRow="0" w:firstColumn="1" w:lastColumn="0" w:noHBand="0" w:noVBand="1"/>
      </w:tblPr>
      <w:tblGrid>
        <w:gridCol w:w="3927"/>
        <w:gridCol w:w="1166"/>
        <w:gridCol w:w="1166"/>
        <w:gridCol w:w="1166"/>
        <w:gridCol w:w="1325"/>
      </w:tblGrid>
      <w:tr w:rsidR="008D4F0F" w:rsidRPr="005B536B" w:rsidTr="00B75970">
        <w:trPr>
          <w:trHeight w:val="259"/>
          <w:jc w:val="center"/>
        </w:trPr>
        <w:tc>
          <w:tcPr>
            <w:tcW w:w="3927" w:type="dxa"/>
            <w:tcBorders>
              <w:top w:val="nil"/>
              <w:left w:val="nil"/>
              <w:bottom w:val="nil"/>
              <w:right w:val="nil"/>
            </w:tcBorders>
            <w:shd w:val="clear" w:color="000000" w:fill="FFFFFF"/>
            <w:vAlign w:val="bottom"/>
            <w:hideMark/>
          </w:tcPr>
          <w:p w:rsidR="008D4F0F" w:rsidRPr="005B536B" w:rsidRDefault="008D4F0F" w:rsidP="00B75970">
            <w:pPr>
              <w:rPr>
                <w:rFonts w:ascii="Liberation Sans" w:eastAsia="Times New Roman" w:hAnsi="Liberation Sans" w:cs="Liberation Sans"/>
                <w:color w:val="000000"/>
                <w:sz w:val="22"/>
                <w:szCs w:val="22"/>
                <w:lang w:eastAsia="fr-FR"/>
              </w:rPr>
            </w:pPr>
            <w:r w:rsidRPr="005B536B">
              <w:rPr>
                <w:rFonts w:ascii="Liberation Sans" w:eastAsia="Times New Roman" w:hAnsi="Liberation Sans" w:cs="Liberation Sans"/>
                <w:color w:val="000000"/>
                <w:sz w:val="22"/>
                <w:szCs w:val="22"/>
                <w:lang w:eastAsia="fr-FR"/>
              </w:rPr>
              <w:t> </w:t>
            </w:r>
          </w:p>
        </w:tc>
        <w:tc>
          <w:tcPr>
            <w:tcW w:w="4822" w:type="dxa"/>
            <w:gridSpan w:val="4"/>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5B536B" w:rsidRDefault="008D4F0F" w:rsidP="00B75970">
            <w:pPr>
              <w:jc w:val="center"/>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Conseils d'administration de l'audiovisuel public</w:t>
            </w:r>
          </w:p>
        </w:tc>
      </w:tr>
      <w:tr w:rsidR="008D4F0F" w:rsidRPr="005B536B" w:rsidTr="00B75970">
        <w:trPr>
          <w:trHeight w:val="466"/>
          <w:jc w:val="center"/>
        </w:trPr>
        <w:tc>
          <w:tcPr>
            <w:tcW w:w="3927" w:type="dxa"/>
            <w:tcBorders>
              <w:top w:val="nil"/>
              <w:left w:val="nil"/>
              <w:bottom w:val="nil"/>
              <w:right w:val="nil"/>
            </w:tcBorders>
            <w:shd w:val="clear" w:color="000000" w:fill="FFFFFF"/>
            <w:vAlign w:val="bottom"/>
            <w:hideMark/>
          </w:tcPr>
          <w:p w:rsidR="008D4F0F" w:rsidRPr="005B536B" w:rsidRDefault="008D4F0F" w:rsidP="00B75970">
            <w:pPr>
              <w:rPr>
                <w:rFonts w:ascii="Liberation Sans" w:eastAsia="Times New Roman" w:hAnsi="Liberation Sans" w:cs="Liberation Sans"/>
                <w:color w:val="000000"/>
                <w:sz w:val="22"/>
                <w:szCs w:val="22"/>
                <w:lang w:eastAsia="fr-FR"/>
              </w:rPr>
            </w:pPr>
            <w:r w:rsidRPr="005B536B">
              <w:rPr>
                <w:rFonts w:ascii="Liberation Sans" w:eastAsia="Times New Roman" w:hAnsi="Liberation Sans" w:cs="Liberation Sans"/>
                <w:color w:val="000000"/>
                <w:sz w:val="22"/>
                <w:szCs w:val="22"/>
                <w:lang w:eastAsia="fr-FR"/>
              </w:rPr>
              <w:t> </w:t>
            </w:r>
          </w:p>
        </w:tc>
        <w:tc>
          <w:tcPr>
            <w:tcW w:w="1166"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Femmes</w:t>
            </w:r>
          </w:p>
        </w:tc>
        <w:tc>
          <w:tcPr>
            <w:tcW w:w="1166"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Hommes</w:t>
            </w:r>
          </w:p>
        </w:tc>
        <w:tc>
          <w:tcPr>
            <w:tcW w:w="1166"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Total</w:t>
            </w:r>
          </w:p>
        </w:tc>
        <w:tc>
          <w:tcPr>
            <w:tcW w:w="1322"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Part des femmes</w:t>
            </w:r>
          </w:p>
        </w:tc>
      </w:tr>
      <w:tr w:rsidR="008D4F0F" w:rsidRPr="005B536B" w:rsidTr="00B75970">
        <w:trPr>
          <w:trHeight w:val="161"/>
          <w:jc w:val="center"/>
        </w:trPr>
        <w:tc>
          <w:tcPr>
            <w:tcW w:w="3927" w:type="dxa"/>
            <w:tcBorders>
              <w:top w:val="nil"/>
              <w:left w:val="nil"/>
              <w:bottom w:val="nil"/>
              <w:right w:val="nil"/>
            </w:tcBorders>
            <w:shd w:val="clear" w:color="000000" w:fill="FFFFFF"/>
            <w:vAlign w:val="bottom"/>
            <w:hideMark/>
          </w:tcPr>
          <w:p w:rsidR="008D4F0F" w:rsidRPr="005B536B" w:rsidRDefault="008D4F0F" w:rsidP="00B75970">
            <w:pPr>
              <w:rPr>
                <w:rFonts w:ascii="Liberation Sans" w:eastAsia="Times New Roman" w:hAnsi="Liberation Sans" w:cs="Liberation Sans"/>
                <w:color w:val="000000"/>
                <w:sz w:val="22"/>
                <w:szCs w:val="22"/>
                <w:lang w:eastAsia="fr-FR"/>
              </w:rPr>
            </w:pPr>
            <w:r w:rsidRPr="005B536B">
              <w:rPr>
                <w:rFonts w:ascii="Liberation Sans" w:eastAsia="Times New Roman" w:hAnsi="Liberation Sans" w:cs="Liberation Sans"/>
                <w:color w:val="000000"/>
                <w:sz w:val="22"/>
                <w:szCs w:val="22"/>
                <w:lang w:eastAsia="fr-FR"/>
              </w:rPr>
              <w:t> </w:t>
            </w:r>
          </w:p>
        </w:tc>
        <w:tc>
          <w:tcPr>
            <w:tcW w:w="1166" w:type="dxa"/>
            <w:tcBorders>
              <w:top w:val="nil"/>
              <w:left w:val="nil"/>
              <w:bottom w:val="nil"/>
              <w:right w:val="nil"/>
            </w:tcBorders>
            <w:shd w:val="clear" w:color="000000" w:fill="FFFFFF"/>
            <w:vAlign w:val="center"/>
            <w:hideMark/>
          </w:tcPr>
          <w:p w:rsidR="008D4F0F" w:rsidRPr="005B536B" w:rsidRDefault="008D4F0F" w:rsidP="00B75970">
            <w:pPr>
              <w:jc w:val="both"/>
              <w:rPr>
                <w:rFonts w:ascii="Arial" w:eastAsia="Times New Roman" w:hAnsi="Arial" w:cs="Arial"/>
                <w:b/>
                <w:bCs/>
                <w:color w:val="000000"/>
                <w:sz w:val="20"/>
                <w:szCs w:val="20"/>
                <w:lang w:eastAsia="fr-FR"/>
              </w:rPr>
            </w:pPr>
            <w:r w:rsidRPr="005B536B">
              <w:rPr>
                <w:rFonts w:ascii="Arial" w:eastAsia="Times New Roman" w:hAnsi="Arial" w:cs="Arial"/>
                <w:b/>
                <w:bCs/>
                <w:color w:val="000000"/>
                <w:sz w:val="20"/>
                <w:szCs w:val="20"/>
                <w:lang w:eastAsia="fr-FR"/>
              </w:rPr>
              <w:t> </w:t>
            </w:r>
          </w:p>
        </w:tc>
        <w:tc>
          <w:tcPr>
            <w:tcW w:w="1166" w:type="dxa"/>
            <w:tcBorders>
              <w:top w:val="nil"/>
              <w:left w:val="nil"/>
              <w:bottom w:val="nil"/>
              <w:right w:val="nil"/>
            </w:tcBorders>
            <w:shd w:val="clear" w:color="000000" w:fill="FFFFFF"/>
            <w:vAlign w:val="center"/>
            <w:hideMark/>
          </w:tcPr>
          <w:p w:rsidR="008D4F0F" w:rsidRPr="005B536B" w:rsidRDefault="008D4F0F" w:rsidP="00B75970">
            <w:pPr>
              <w:jc w:val="both"/>
              <w:rPr>
                <w:rFonts w:ascii="Arial" w:eastAsia="Times New Roman" w:hAnsi="Arial" w:cs="Arial"/>
                <w:b/>
                <w:bCs/>
                <w:color w:val="000000"/>
                <w:sz w:val="20"/>
                <w:szCs w:val="20"/>
                <w:lang w:eastAsia="fr-FR"/>
              </w:rPr>
            </w:pPr>
            <w:r w:rsidRPr="005B536B">
              <w:rPr>
                <w:rFonts w:ascii="Arial" w:eastAsia="Times New Roman" w:hAnsi="Arial" w:cs="Arial"/>
                <w:b/>
                <w:bCs/>
                <w:color w:val="000000"/>
                <w:sz w:val="20"/>
                <w:szCs w:val="20"/>
                <w:lang w:eastAsia="fr-FR"/>
              </w:rPr>
              <w:t> </w:t>
            </w:r>
          </w:p>
        </w:tc>
        <w:tc>
          <w:tcPr>
            <w:tcW w:w="1166" w:type="dxa"/>
            <w:tcBorders>
              <w:top w:val="nil"/>
              <w:left w:val="nil"/>
              <w:bottom w:val="nil"/>
              <w:right w:val="nil"/>
            </w:tcBorders>
            <w:shd w:val="clear" w:color="000000" w:fill="FFFFFF"/>
            <w:vAlign w:val="center"/>
            <w:hideMark/>
          </w:tcPr>
          <w:p w:rsidR="008D4F0F" w:rsidRPr="005B536B" w:rsidRDefault="008D4F0F" w:rsidP="00B75970">
            <w:pPr>
              <w:jc w:val="both"/>
              <w:rPr>
                <w:rFonts w:ascii="Arial" w:eastAsia="Times New Roman" w:hAnsi="Arial" w:cs="Arial"/>
                <w:b/>
                <w:bCs/>
                <w:color w:val="000000"/>
                <w:sz w:val="20"/>
                <w:szCs w:val="20"/>
                <w:lang w:eastAsia="fr-FR"/>
              </w:rPr>
            </w:pPr>
            <w:r w:rsidRPr="005B536B">
              <w:rPr>
                <w:rFonts w:ascii="Arial" w:eastAsia="Times New Roman" w:hAnsi="Arial" w:cs="Arial"/>
                <w:b/>
                <w:bCs/>
                <w:color w:val="000000"/>
                <w:sz w:val="20"/>
                <w:szCs w:val="20"/>
                <w:lang w:eastAsia="fr-FR"/>
              </w:rPr>
              <w:t> </w:t>
            </w:r>
          </w:p>
        </w:tc>
        <w:tc>
          <w:tcPr>
            <w:tcW w:w="1322" w:type="dxa"/>
            <w:tcBorders>
              <w:top w:val="nil"/>
              <w:left w:val="nil"/>
              <w:bottom w:val="nil"/>
              <w:right w:val="nil"/>
            </w:tcBorders>
            <w:shd w:val="clear" w:color="000000" w:fill="FFFFFF"/>
            <w:vAlign w:val="center"/>
            <w:hideMark/>
          </w:tcPr>
          <w:p w:rsidR="008D4F0F" w:rsidRPr="005B536B" w:rsidRDefault="008D4F0F" w:rsidP="00B75970">
            <w:pPr>
              <w:jc w:val="both"/>
              <w:rPr>
                <w:rFonts w:ascii="Arial" w:eastAsia="Times New Roman" w:hAnsi="Arial" w:cs="Arial"/>
                <w:b/>
                <w:bCs/>
                <w:color w:val="000000"/>
                <w:sz w:val="20"/>
                <w:szCs w:val="20"/>
                <w:lang w:eastAsia="fr-FR"/>
              </w:rPr>
            </w:pPr>
            <w:r w:rsidRPr="005B536B">
              <w:rPr>
                <w:rFonts w:ascii="Arial" w:eastAsia="Times New Roman" w:hAnsi="Arial" w:cs="Arial"/>
                <w:b/>
                <w:bCs/>
                <w:color w:val="000000"/>
                <w:sz w:val="20"/>
                <w:szCs w:val="20"/>
                <w:lang w:eastAsia="fr-FR"/>
              </w:rPr>
              <w:t> </w:t>
            </w:r>
          </w:p>
        </w:tc>
      </w:tr>
      <w:tr w:rsidR="008D4F0F" w:rsidRPr="005B536B" w:rsidTr="00B75970">
        <w:trPr>
          <w:trHeight w:val="268"/>
          <w:jc w:val="center"/>
        </w:trPr>
        <w:tc>
          <w:tcPr>
            <w:tcW w:w="8750" w:type="dxa"/>
            <w:gridSpan w:val="5"/>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5B536B" w:rsidRDefault="008D4F0F" w:rsidP="00B75970">
            <w:pPr>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Conseil d'administration</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France Télévisions</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4</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11</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15</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27%</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Arte France (conseil de surveillance)</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5</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9</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14</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36%</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Radio France</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4</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9</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13</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31%</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INA</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3</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9</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12</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25%</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France Médias Monde</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9</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6</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15</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60%</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5B536B" w:rsidRDefault="008D4F0F" w:rsidP="00B75970">
            <w:pPr>
              <w:jc w:val="both"/>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Ensemble de l'audiovisuel public</w:t>
            </w:r>
          </w:p>
        </w:tc>
        <w:tc>
          <w:tcPr>
            <w:tcW w:w="1166"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25</w:t>
            </w:r>
          </w:p>
        </w:tc>
        <w:tc>
          <w:tcPr>
            <w:tcW w:w="1166"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44</w:t>
            </w:r>
          </w:p>
        </w:tc>
        <w:tc>
          <w:tcPr>
            <w:tcW w:w="1166"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69</w:t>
            </w:r>
          </w:p>
        </w:tc>
        <w:tc>
          <w:tcPr>
            <w:tcW w:w="1322"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36%</w:t>
            </w:r>
          </w:p>
        </w:tc>
      </w:tr>
      <w:tr w:rsidR="008D4F0F" w:rsidRPr="005B536B" w:rsidTr="00B75970">
        <w:trPr>
          <w:trHeight w:val="161"/>
          <w:jc w:val="center"/>
        </w:trPr>
        <w:tc>
          <w:tcPr>
            <w:tcW w:w="3927" w:type="dxa"/>
            <w:tcBorders>
              <w:top w:val="nil"/>
              <w:left w:val="nil"/>
              <w:bottom w:val="nil"/>
              <w:right w:val="nil"/>
            </w:tcBorders>
            <w:shd w:val="clear" w:color="000000" w:fill="FFFFFF"/>
            <w:vAlign w:val="center"/>
            <w:hideMark/>
          </w:tcPr>
          <w:p w:rsidR="008D4F0F" w:rsidRPr="005B536B" w:rsidRDefault="008D4F0F" w:rsidP="00B75970">
            <w:pPr>
              <w:rPr>
                <w:rFonts w:ascii="Liberation Sans" w:eastAsia="Times New Roman" w:hAnsi="Liberation Sans" w:cs="Liberation Sans"/>
                <w:color w:val="000000"/>
                <w:sz w:val="22"/>
                <w:szCs w:val="22"/>
                <w:lang w:eastAsia="fr-FR"/>
              </w:rPr>
            </w:pPr>
            <w:r w:rsidRPr="005B536B">
              <w:rPr>
                <w:rFonts w:ascii="Liberation Sans" w:eastAsia="Times New Roman" w:hAnsi="Liberation Sans" w:cs="Liberation Sans"/>
                <w:color w:val="000000"/>
                <w:sz w:val="22"/>
                <w:szCs w:val="22"/>
                <w:lang w:eastAsia="fr-FR"/>
              </w:rPr>
              <w:t> </w:t>
            </w:r>
          </w:p>
        </w:tc>
        <w:tc>
          <w:tcPr>
            <w:tcW w:w="1166" w:type="dxa"/>
            <w:tcBorders>
              <w:top w:val="nil"/>
              <w:left w:val="nil"/>
              <w:bottom w:val="nil"/>
              <w:right w:val="nil"/>
            </w:tcBorders>
            <w:shd w:val="clear" w:color="000000" w:fill="FFFFFF"/>
            <w:vAlign w:val="center"/>
            <w:hideMark/>
          </w:tcPr>
          <w:p w:rsidR="008D4F0F" w:rsidRPr="005B536B" w:rsidRDefault="008D4F0F" w:rsidP="00B75970">
            <w:pPr>
              <w:rPr>
                <w:rFonts w:ascii="Liberation Sans" w:eastAsia="Times New Roman" w:hAnsi="Liberation Sans" w:cs="Liberation Sans"/>
                <w:color w:val="000000"/>
                <w:sz w:val="22"/>
                <w:szCs w:val="22"/>
                <w:lang w:eastAsia="fr-FR"/>
              </w:rPr>
            </w:pPr>
            <w:r w:rsidRPr="005B536B">
              <w:rPr>
                <w:rFonts w:ascii="Liberation Sans" w:eastAsia="Times New Roman" w:hAnsi="Liberation Sans" w:cs="Liberation Sans"/>
                <w:color w:val="000000"/>
                <w:sz w:val="22"/>
                <w:szCs w:val="22"/>
                <w:lang w:eastAsia="fr-FR"/>
              </w:rPr>
              <w:t> </w:t>
            </w:r>
          </w:p>
        </w:tc>
        <w:tc>
          <w:tcPr>
            <w:tcW w:w="1166" w:type="dxa"/>
            <w:tcBorders>
              <w:top w:val="nil"/>
              <w:left w:val="nil"/>
              <w:bottom w:val="nil"/>
              <w:right w:val="nil"/>
            </w:tcBorders>
            <w:shd w:val="clear" w:color="000000" w:fill="FFFFFF"/>
            <w:vAlign w:val="center"/>
            <w:hideMark/>
          </w:tcPr>
          <w:p w:rsidR="008D4F0F" w:rsidRPr="005B536B" w:rsidRDefault="008D4F0F" w:rsidP="00B75970">
            <w:pPr>
              <w:rPr>
                <w:rFonts w:ascii="Liberation Sans" w:eastAsia="Times New Roman" w:hAnsi="Liberation Sans" w:cs="Liberation Sans"/>
                <w:color w:val="000000"/>
                <w:sz w:val="22"/>
                <w:szCs w:val="22"/>
                <w:lang w:eastAsia="fr-FR"/>
              </w:rPr>
            </w:pPr>
            <w:r w:rsidRPr="005B536B">
              <w:rPr>
                <w:rFonts w:ascii="Liberation Sans" w:eastAsia="Times New Roman" w:hAnsi="Liberation Sans" w:cs="Liberation Sans"/>
                <w:color w:val="000000"/>
                <w:sz w:val="22"/>
                <w:szCs w:val="22"/>
                <w:lang w:eastAsia="fr-FR"/>
              </w:rPr>
              <w:t> </w:t>
            </w:r>
          </w:p>
        </w:tc>
        <w:tc>
          <w:tcPr>
            <w:tcW w:w="1166" w:type="dxa"/>
            <w:tcBorders>
              <w:top w:val="nil"/>
              <w:left w:val="nil"/>
              <w:bottom w:val="nil"/>
              <w:right w:val="nil"/>
            </w:tcBorders>
            <w:shd w:val="clear" w:color="000000" w:fill="FFFFFF"/>
            <w:vAlign w:val="center"/>
            <w:hideMark/>
          </w:tcPr>
          <w:p w:rsidR="008D4F0F" w:rsidRPr="005B536B" w:rsidRDefault="008D4F0F" w:rsidP="00B75970">
            <w:pPr>
              <w:rPr>
                <w:rFonts w:ascii="Liberation Sans" w:eastAsia="Times New Roman" w:hAnsi="Liberation Sans" w:cs="Liberation Sans"/>
                <w:color w:val="000000"/>
                <w:sz w:val="22"/>
                <w:szCs w:val="22"/>
                <w:lang w:eastAsia="fr-FR"/>
              </w:rPr>
            </w:pPr>
            <w:r w:rsidRPr="005B536B">
              <w:rPr>
                <w:rFonts w:ascii="Liberation Sans" w:eastAsia="Times New Roman" w:hAnsi="Liberation Sans" w:cs="Liberation Sans"/>
                <w:color w:val="000000"/>
                <w:sz w:val="22"/>
                <w:szCs w:val="22"/>
                <w:lang w:eastAsia="fr-FR"/>
              </w:rPr>
              <w:t> </w:t>
            </w:r>
          </w:p>
        </w:tc>
        <w:tc>
          <w:tcPr>
            <w:tcW w:w="1322" w:type="dxa"/>
            <w:tcBorders>
              <w:top w:val="nil"/>
              <w:left w:val="nil"/>
              <w:bottom w:val="nil"/>
              <w:right w:val="nil"/>
            </w:tcBorders>
            <w:shd w:val="clear" w:color="000000" w:fill="FFFFFF"/>
            <w:vAlign w:val="center"/>
            <w:hideMark/>
          </w:tcPr>
          <w:p w:rsidR="008D4F0F" w:rsidRPr="005B536B" w:rsidRDefault="008D4F0F" w:rsidP="00B75970">
            <w:pPr>
              <w:rPr>
                <w:rFonts w:ascii="Liberation Sans" w:eastAsia="Times New Roman" w:hAnsi="Liberation Sans" w:cs="Liberation Sans"/>
                <w:color w:val="000000"/>
                <w:sz w:val="22"/>
                <w:szCs w:val="22"/>
                <w:lang w:eastAsia="fr-FR"/>
              </w:rPr>
            </w:pPr>
            <w:r w:rsidRPr="005B536B">
              <w:rPr>
                <w:rFonts w:ascii="Liberation Sans" w:eastAsia="Times New Roman" w:hAnsi="Liberation Sans" w:cs="Liberation Sans"/>
                <w:color w:val="000000"/>
                <w:sz w:val="22"/>
                <w:szCs w:val="22"/>
                <w:lang w:eastAsia="fr-FR"/>
              </w:rPr>
              <w:t> </w:t>
            </w:r>
          </w:p>
        </w:tc>
      </w:tr>
      <w:tr w:rsidR="008D4F0F" w:rsidRPr="005B536B" w:rsidTr="00B75970">
        <w:trPr>
          <w:trHeight w:val="268"/>
          <w:jc w:val="center"/>
        </w:trPr>
        <w:tc>
          <w:tcPr>
            <w:tcW w:w="8750" w:type="dxa"/>
            <w:gridSpan w:val="5"/>
            <w:tcBorders>
              <w:top w:val="single" w:sz="4" w:space="0" w:color="808080"/>
              <w:left w:val="single" w:sz="4" w:space="0" w:color="808080"/>
              <w:bottom w:val="single" w:sz="4" w:space="0" w:color="808080"/>
              <w:right w:val="single" w:sz="4" w:space="0" w:color="808080"/>
            </w:tcBorders>
            <w:shd w:val="clear" w:color="000000" w:fill="00FF00"/>
            <w:vAlign w:val="center"/>
            <w:hideMark/>
          </w:tcPr>
          <w:p w:rsidR="008D4F0F" w:rsidRPr="005B536B" w:rsidRDefault="008D4F0F" w:rsidP="00B75970">
            <w:pPr>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Dont : Personnalités indépendantes</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France Télévisions</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3</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2</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5</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60%</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Arte France (conseil de surveillance)</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0</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3</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3</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0%</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Radio France</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2</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2</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4</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50%</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INA</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2</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2</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4</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50%</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BFBFBF"/>
            <w:vAlign w:val="center"/>
            <w:hideMark/>
          </w:tcPr>
          <w:p w:rsidR="008D4F0F" w:rsidRPr="005B536B" w:rsidRDefault="008D4F0F" w:rsidP="00B75970">
            <w:pPr>
              <w:jc w:val="both"/>
              <w:rPr>
                <w:rFonts w:ascii="Arial" w:eastAsia="Times New Roman" w:hAnsi="Arial" w:cs="Arial"/>
                <w:b/>
                <w:bCs/>
                <w:color w:val="FFFFFF"/>
                <w:sz w:val="20"/>
                <w:szCs w:val="20"/>
                <w:lang w:eastAsia="fr-FR"/>
              </w:rPr>
            </w:pPr>
            <w:r w:rsidRPr="005B536B">
              <w:rPr>
                <w:rFonts w:ascii="Arial" w:eastAsia="Times New Roman" w:hAnsi="Arial" w:cs="Arial"/>
                <w:b/>
                <w:bCs/>
                <w:color w:val="FFFFFF"/>
                <w:sz w:val="20"/>
                <w:szCs w:val="20"/>
                <w:lang w:eastAsia="fr-FR"/>
              </w:rPr>
              <w:t>France Médias Monde</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3</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2</w:t>
            </w:r>
          </w:p>
        </w:tc>
        <w:tc>
          <w:tcPr>
            <w:tcW w:w="1166"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5</w:t>
            </w:r>
          </w:p>
        </w:tc>
        <w:tc>
          <w:tcPr>
            <w:tcW w:w="1322" w:type="dxa"/>
            <w:tcBorders>
              <w:top w:val="nil"/>
              <w:left w:val="nil"/>
              <w:bottom w:val="single" w:sz="4" w:space="0" w:color="808080"/>
              <w:right w:val="single" w:sz="4" w:space="0" w:color="808080"/>
            </w:tcBorders>
            <w:shd w:val="clear" w:color="000000" w:fill="FFFFFF"/>
            <w:vAlign w:val="center"/>
            <w:hideMark/>
          </w:tcPr>
          <w:p w:rsidR="008D4F0F" w:rsidRPr="005B536B" w:rsidRDefault="008D4F0F" w:rsidP="00B75970">
            <w:pPr>
              <w:jc w:val="center"/>
              <w:rPr>
                <w:rFonts w:ascii="Arial" w:eastAsia="Times New Roman" w:hAnsi="Arial" w:cs="Arial"/>
                <w:color w:val="000000"/>
                <w:sz w:val="20"/>
                <w:szCs w:val="20"/>
                <w:lang w:eastAsia="fr-FR"/>
              </w:rPr>
            </w:pPr>
            <w:r w:rsidRPr="005B536B">
              <w:rPr>
                <w:rFonts w:ascii="Arial" w:eastAsia="Times New Roman" w:hAnsi="Arial" w:cs="Arial"/>
                <w:color w:val="000000"/>
                <w:sz w:val="20"/>
                <w:szCs w:val="20"/>
                <w:lang w:eastAsia="fr-FR"/>
              </w:rPr>
              <w:t>60%</w:t>
            </w:r>
          </w:p>
        </w:tc>
      </w:tr>
      <w:tr w:rsidR="008D4F0F" w:rsidRPr="005B536B" w:rsidTr="00B75970">
        <w:trPr>
          <w:trHeight w:val="259"/>
          <w:jc w:val="center"/>
        </w:trPr>
        <w:tc>
          <w:tcPr>
            <w:tcW w:w="3927" w:type="dxa"/>
            <w:tcBorders>
              <w:top w:val="nil"/>
              <w:left w:val="single" w:sz="4" w:space="0" w:color="808080"/>
              <w:bottom w:val="single" w:sz="4" w:space="0" w:color="808080"/>
              <w:right w:val="single" w:sz="4" w:space="0" w:color="808080"/>
            </w:tcBorders>
            <w:shd w:val="clear" w:color="000000" w:fill="99FFCC"/>
            <w:vAlign w:val="center"/>
            <w:hideMark/>
          </w:tcPr>
          <w:p w:rsidR="008D4F0F" w:rsidRPr="005B536B" w:rsidRDefault="008D4F0F" w:rsidP="00B75970">
            <w:pPr>
              <w:jc w:val="both"/>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Ensemble de l'audiovisuel public</w:t>
            </w:r>
          </w:p>
        </w:tc>
        <w:tc>
          <w:tcPr>
            <w:tcW w:w="1166"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10</w:t>
            </w:r>
          </w:p>
        </w:tc>
        <w:tc>
          <w:tcPr>
            <w:tcW w:w="1166"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11</w:t>
            </w:r>
          </w:p>
        </w:tc>
        <w:tc>
          <w:tcPr>
            <w:tcW w:w="1166"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21</w:t>
            </w:r>
          </w:p>
        </w:tc>
        <w:tc>
          <w:tcPr>
            <w:tcW w:w="1322" w:type="dxa"/>
            <w:tcBorders>
              <w:top w:val="nil"/>
              <w:left w:val="nil"/>
              <w:bottom w:val="single" w:sz="4" w:space="0" w:color="808080"/>
              <w:right w:val="single" w:sz="4" w:space="0" w:color="808080"/>
            </w:tcBorders>
            <w:shd w:val="clear" w:color="000000" w:fill="99FFCC"/>
            <w:vAlign w:val="center"/>
            <w:hideMark/>
          </w:tcPr>
          <w:p w:rsidR="008D4F0F" w:rsidRPr="005B536B" w:rsidRDefault="008D4F0F" w:rsidP="00B75970">
            <w:pPr>
              <w:jc w:val="center"/>
              <w:rPr>
                <w:rFonts w:ascii="Arial" w:eastAsia="Times New Roman" w:hAnsi="Arial" w:cs="Arial"/>
                <w:b/>
                <w:bCs/>
                <w:color w:val="808080"/>
                <w:sz w:val="20"/>
                <w:szCs w:val="20"/>
                <w:lang w:eastAsia="fr-FR"/>
              </w:rPr>
            </w:pPr>
            <w:r w:rsidRPr="005B536B">
              <w:rPr>
                <w:rFonts w:ascii="Arial" w:eastAsia="Times New Roman" w:hAnsi="Arial" w:cs="Arial"/>
                <w:b/>
                <w:bCs/>
                <w:color w:val="808080"/>
                <w:sz w:val="20"/>
                <w:szCs w:val="20"/>
                <w:lang w:eastAsia="fr-FR"/>
              </w:rPr>
              <w:t>48%</w:t>
            </w:r>
          </w:p>
        </w:tc>
      </w:tr>
    </w:tbl>
    <w:p w:rsidR="008D4F0F" w:rsidRDefault="008D4F0F" w:rsidP="008D4F0F">
      <w:pPr>
        <w:rPr>
          <w:rFonts w:ascii="BlairMdITC TT-Medium" w:hAnsi="BlairMdITC TT-Medium"/>
        </w:rPr>
      </w:pPr>
    </w:p>
    <w:p w:rsidR="008D4F0F" w:rsidRPr="007A4B95" w:rsidRDefault="008D4F0F" w:rsidP="008D4F0F">
      <w:pPr>
        <w:ind w:left="851" w:hanging="851"/>
        <w:rPr>
          <w:rFonts w:ascii="Florencesans Exp" w:hAnsi="Florencesans Exp"/>
          <w:sz w:val="22"/>
        </w:rPr>
      </w:pPr>
      <w:r w:rsidRPr="007A4B95">
        <w:rPr>
          <w:rFonts w:ascii="Florencesans Exp" w:hAnsi="Florencesans Exp"/>
          <w:b/>
          <w:color w:val="00FF80"/>
          <w:sz w:val="28"/>
        </w:rPr>
        <w:t xml:space="preserve">3. D. LA FORMATION DES AGENTS EN 2013 </w:t>
      </w:r>
      <w:r>
        <w:rPr>
          <w:rFonts w:ascii="Florencesans Exp" w:hAnsi="Florencesans Exp"/>
          <w:b/>
          <w:color w:val="00FF80"/>
          <w:sz w:val="28"/>
        </w:rPr>
        <w:br/>
      </w:r>
      <w:r w:rsidRPr="007A4B95">
        <w:rPr>
          <w:rFonts w:ascii="Florencesans Exp" w:hAnsi="Florencesans Exp"/>
          <w:b/>
          <w:color w:val="00FF80"/>
          <w:sz w:val="28"/>
        </w:rPr>
        <w:t>(DONNEES T2 ET T3)</w:t>
      </w:r>
    </w:p>
    <w:p w:rsidR="008D4F0F" w:rsidRDefault="008D4F0F" w:rsidP="008D4F0F">
      <w:pPr>
        <w:rPr>
          <w:rFonts w:ascii="Arial" w:hAnsi="Arial"/>
          <w:sz w:val="22"/>
        </w:rPr>
      </w:pPr>
    </w:p>
    <w:p w:rsidR="008D4F0F" w:rsidRDefault="008D4F0F" w:rsidP="008D4F0F">
      <w:pPr>
        <w:jc w:val="center"/>
        <w:rPr>
          <w:rFonts w:ascii="Arial" w:hAnsi="Arial"/>
          <w:b/>
        </w:rPr>
      </w:pPr>
      <w:r w:rsidRPr="003E1A24">
        <w:rPr>
          <w:rFonts w:ascii="Arial" w:hAnsi="Arial"/>
          <w:b/>
        </w:rPr>
        <w:t xml:space="preserve">Part des femmes et des hommes ayant reçu une formation </w:t>
      </w:r>
    </w:p>
    <w:p w:rsidR="008D4F0F" w:rsidRPr="003E1A24" w:rsidRDefault="008D4F0F" w:rsidP="008D4F0F">
      <w:pPr>
        <w:jc w:val="center"/>
        <w:rPr>
          <w:rFonts w:ascii="Arial" w:hAnsi="Arial"/>
          <w:b/>
        </w:rPr>
      </w:pPr>
      <w:r w:rsidRPr="003E1A24">
        <w:rPr>
          <w:rFonts w:ascii="Arial" w:hAnsi="Arial"/>
          <w:b/>
        </w:rPr>
        <w:t>ou n’ayant pas été formés en 2013</w:t>
      </w:r>
    </w:p>
    <w:p w:rsidR="008D4F0F" w:rsidRDefault="008D4F0F" w:rsidP="008D4F0F">
      <w:pPr>
        <w:rPr>
          <w:rFonts w:ascii="Arial" w:hAnsi="Arial"/>
          <w:sz w:val="22"/>
        </w:rPr>
      </w:pPr>
      <w:r w:rsidRPr="00924F41">
        <w:rPr>
          <w:noProof/>
          <w:lang w:eastAsia="fr-FR"/>
        </w:rPr>
        <w:drawing>
          <wp:anchor distT="0" distB="0" distL="114300" distR="114300" simplePos="0" relativeHeight="251796480" behindDoc="0" locked="0" layoutInCell="1" allowOverlap="1" wp14:anchorId="403BEC3C" wp14:editId="55E2979B">
            <wp:simplePos x="0" y="0"/>
            <wp:positionH relativeFrom="margin">
              <wp:align>center</wp:align>
            </wp:positionH>
            <wp:positionV relativeFrom="paragraph">
              <wp:posOffset>207010</wp:posOffset>
            </wp:positionV>
            <wp:extent cx="6674485" cy="1873250"/>
            <wp:effectExtent l="0" t="0" r="0" b="0"/>
            <wp:wrapSquare wrapText="bothSides"/>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674485"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4F0F" w:rsidRDefault="008D4F0F" w:rsidP="008D4F0F">
      <w:pPr>
        <w:rPr>
          <w:rFonts w:ascii="Arial" w:hAnsi="Arial"/>
          <w:sz w:val="22"/>
        </w:rPr>
      </w:pPr>
    </w:p>
    <w:p w:rsidR="008D4F0F" w:rsidRPr="007B65BC" w:rsidRDefault="008D4F0F" w:rsidP="008D4F0F">
      <w:pPr>
        <w:widowControl w:val="0"/>
        <w:autoSpaceDE w:val="0"/>
        <w:autoSpaceDN w:val="0"/>
        <w:adjustRightInd w:val="0"/>
        <w:jc w:val="both"/>
        <w:rPr>
          <w:rFonts w:ascii="Arial" w:hAnsi="Arial" w:cs="Times New Roman"/>
          <w:sz w:val="22"/>
          <w:szCs w:val="22"/>
        </w:rPr>
      </w:pPr>
      <w:r>
        <w:rPr>
          <w:rFonts w:ascii="Arial" w:hAnsi="Arial" w:cs="Arial"/>
          <w:sz w:val="22"/>
          <w:szCs w:val="22"/>
        </w:rPr>
        <w:t>39% des femmes ne se sont pas formées en 2013 contre 55% des hommes, alors que, pour la seule catégorie A, ces proportions se portent à 48% des femmes et 68% des hommes.</w:t>
      </w:r>
    </w:p>
    <w:p w:rsidR="008D4F0F" w:rsidRDefault="008D4F0F" w:rsidP="008D4F0F">
      <w:pPr>
        <w:rPr>
          <w:rFonts w:ascii="Arial" w:hAnsi="Arial"/>
          <w:sz w:val="22"/>
        </w:rPr>
      </w:pPr>
    </w:p>
    <w:p w:rsidR="008D4F0F" w:rsidRDefault="008D4F0F" w:rsidP="008D4F0F">
      <w:pPr>
        <w:rPr>
          <w:rFonts w:ascii="Arial" w:hAnsi="Arial"/>
          <w:sz w:val="22"/>
        </w:rPr>
      </w:pPr>
      <w:r>
        <w:rPr>
          <w:rFonts w:ascii="Arial" w:hAnsi="Arial"/>
          <w:sz w:val="22"/>
        </w:rPr>
        <w:t>Toutes catégories confondues, les femmes ont reçus plus de formations que les hommes en 2013.</w:t>
      </w:r>
    </w:p>
    <w:p w:rsidR="008D4F0F" w:rsidRDefault="008D4F0F" w:rsidP="008D4F0F">
      <w:pPr>
        <w:rPr>
          <w:rFonts w:ascii="Arial" w:hAnsi="Arial"/>
          <w:sz w:val="22"/>
        </w:rPr>
      </w:pPr>
    </w:p>
    <w:p w:rsidR="008D4F0F" w:rsidRDefault="008D4F0F" w:rsidP="008D4F0F">
      <w:pPr>
        <w:rPr>
          <w:rFonts w:ascii="Arial" w:hAnsi="Arial"/>
          <w:sz w:val="22"/>
        </w:rPr>
      </w:pPr>
    </w:p>
    <w:p w:rsidR="008D4F0F" w:rsidRPr="007A4B95" w:rsidRDefault="008D4F0F" w:rsidP="008D4F0F">
      <w:pPr>
        <w:ind w:left="993" w:hanging="993"/>
        <w:rPr>
          <w:rFonts w:ascii="Florencesans Exp" w:hAnsi="Florencesans Exp"/>
          <w:sz w:val="22"/>
        </w:rPr>
      </w:pPr>
      <w:r w:rsidRPr="007A4B95">
        <w:rPr>
          <w:rFonts w:ascii="Florencesans Exp" w:hAnsi="Florencesans Exp"/>
          <w:b/>
          <w:color w:val="00FF80"/>
          <w:sz w:val="28"/>
        </w:rPr>
        <w:t>3. E. LA COMPOSITION DES JURYS DE CONCOURS ET D’EXAMENS PROFESSIONNELS EN 2013 (DONNEES T2 ET T3)</w:t>
      </w:r>
    </w:p>
    <w:p w:rsidR="008D4F0F" w:rsidRDefault="008D4F0F" w:rsidP="008D4F0F">
      <w:pPr>
        <w:rPr>
          <w:rFonts w:ascii="Arial" w:hAnsi="Arial"/>
          <w:sz w:val="22"/>
        </w:rPr>
      </w:pPr>
    </w:p>
    <w:tbl>
      <w:tblPr>
        <w:tblW w:w="10157" w:type="dxa"/>
        <w:jc w:val="center"/>
        <w:tblCellMar>
          <w:left w:w="70" w:type="dxa"/>
          <w:right w:w="70" w:type="dxa"/>
        </w:tblCellMar>
        <w:tblLook w:val="04A0" w:firstRow="1" w:lastRow="0" w:firstColumn="1" w:lastColumn="0" w:noHBand="0" w:noVBand="1"/>
      </w:tblPr>
      <w:tblGrid>
        <w:gridCol w:w="2420"/>
        <w:gridCol w:w="180"/>
        <w:gridCol w:w="1015"/>
        <w:gridCol w:w="1055"/>
        <w:gridCol w:w="618"/>
        <w:gridCol w:w="1017"/>
        <w:gridCol w:w="180"/>
        <w:gridCol w:w="1004"/>
        <w:gridCol w:w="1044"/>
        <w:gridCol w:w="618"/>
        <w:gridCol w:w="1006"/>
      </w:tblGrid>
      <w:tr w:rsidR="008D4F0F" w:rsidRPr="00271E26" w:rsidTr="00B75970">
        <w:trPr>
          <w:trHeight w:val="363"/>
          <w:jc w:val="center"/>
        </w:trPr>
        <w:tc>
          <w:tcPr>
            <w:tcW w:w="2420" w:type="dxa"/>
            <w:tcBorders>
              <w:top w:val="nil"/>
              <w:left w:val="nil"/>
              <w:bottom w:val="nil"/>
              <w:right w:val="nil"/>
            </w:tcBorders>
            <w:shd w:val="clear" w:color="auto" w:fill="auto"/>
            <w:noWrap/>
            <w:vAlign w:val="bottom"/>
            <w:hideMark/>
          </w:tcPr>
          <w:p w:rsidR="008D4F0F" w:rsidRPr="00271E26" w:rsidRDefault="008D4F0F" w:rsidP="00B75970">
            <w:pPr>
              <w:rPr>
                <w:rFonts w:ascii="Times New Roman" w:eastAsia="Times New Roman" w:hAnsi="Times New Roman" w:cs="Times New Roman"/>
                <w:sz w:val="20"/>
                <w:szCs w:val="20"/>
                <w:lang w:eastAsia="fr-FR"/>
              </w:rPr>
            </w:pPr>
          </w:p>
        </w:tc>
        <w:tc>
          <w:tcPr>
            <w:tcW w:w="180" w:type="dxa"/>
            <w:tcBorders>
              <w:top w:val="nil"/>
              <w:left w:val="nil"/>
              <w:bottom w:val="nil"/>
              <w:right w:val="nil"/>
            </w:tcBorders>
            <w:shd w:val="clear" w:color="auto" w:fill="auto"/>
            <w:noWrap/>
            <w:vAlign w:val="bottom"/>
            <w:hideMark/>
          </w:tcPr>
          <w:p w:rsidR="008D4F0F" w:rsidRPr="00271E26" w:rsidRDefault="008D4F0F" w:rsidP="00B75970">
            <w:pPr>
              <w:rPr>
                <w:rFonts w:ascii="Times New Roman" w:eastAsia="Times New Roman" w:hAnsi="Times New Roman" w:cs="Times New Roman"/>
                <w:sz w:val="20"/>
                <w:szCs w:val="20"/>
                <w:lang w:eastAsia="fr-FR"/>
              </w:rPr>
            </w:pPr>
          </w:p>
        </w:tc>
        <w:tc>
          <w:tcPr>
            <w:tcW w:w="3705" w:type="dxa"/>
            <w:gridSpan w:val="4"/>
            <w:tcBorders>
              <w:top w:val="single" w:sz="4" w:space="0" w:color="A6A6A6"/>
              <w:left w:val="single" w:sz="4" w:space="0" w:color="A6A6A6"/>
              <w:bottom w:val="single" w:sz="4" w:space="0" w:color="A6A6A6"/>
              <w:right w:val="single" w:sz="4" w:space="0" w:color="A6A6A6"/>
            </w:tcBorders>
            <w:shd w:val="clear" w:color="33CCCC"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Composition du jury</w:t>
            </w: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Arial" w:eastAsia="Times New Roman" w:hAnsi="Arial" w:cs="Arial"/>
                <w:b/>
                <w:bCs/>
                <w:color w:val="FFFFFF"/>
                <w:sz w:val="20"/>
                <w:szCs w:val="20"/>
                <w:lang w:eastAsia="fr-FR"/>
              </w:rPr>
            </w:pPr>
          </w:p>
        </w:tc>
        <w:tc>
          <w:tcPr>
            <w:tcW w:w="3672" w:type="dxa"/>
            <w:gridSpan w:val="4"/>
            <w:tcBorders>
              <w:top w:val="single" w:sz="4" w:space="0" w:color="A6A6A6"/>
              <w:left w:val="single" w:sz="4" w:space="0" w:color="A6A6A6"/>
              <w:bottom w:val="single" w:sz="4" w:space="0" w:color="A6A6A6"/>
              <w:right w:val="single" w:sz="4" w:space="0" w:color="A6A6A6"/>
            </w:tcBorders>
            <w:shd w:val="clear" w:color="33CCCC"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Présidence du jury</w:t>
            </w:r>
          </w:p>
        </w:tc>
      </w:tr>
      <w:tr w:rsidR="008D4F0F" w:rsidRPr="00271E26" w:rsidTr="00B75970">
        <w:trPr>
          <w:trHeight w:val="570"/>
          <w:jc w:val="center"/>
        </w:trPr>
        <w:tc>
          <w:tcPr>
            <w:tcW w:w="242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15" w:type="dxa"/>
            <w:tcBorders>
              <w:top w:val="nil"/>
              <w:left w:val="single" w:sz="4" w:space="0" w:color="A6A6A6"/>
              <w:bottom w:val="single" w:sz="4" w:space="0" w:color="A6A6A6"/>
              <w:right w:val="single" w:sz="4" w:space="0" w:color="A6A6A6"/>
            </w:tcBorders>
            <w:shd w:val="clear" w:color="000000" w:fill="99FFCC"/>
            <w:noWrap/>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Femmes</w:t>
            </w:r>
          </w:p>
        </w:tc>
        <w:tc>
          <w:tcPr>
            <w:tcW w:w="1055" w:type="dxa"/>
            <w:tcBorders>
              <w:top w:val="nil"/>
              <w:left w:val="nil"/>
              <w:bottom w:val="single" w:sz="4" w:space="0" w:color="A6A6A6"/>
              <w:right w:val="single" w:sz="4" w:space="0" w:color="A6A6A6"/>
            </w:tcBorders>
            <w:shd w:val="clear" w:color="000000" w:fill="99FFCC"/>
            <w:noWrap/>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Hommes</w:t>
            </w:r>
          </w:p>
        </w:tc>
        <w:tc>
          <w:tcPr>
            <w:tcW w:w="618" w:type="dxa"/>
            <w:tcBorders>
              <w:top w:val="nil"/>
              <w:left w:val="nil"/>
              <w:bottom w:val="single" w:sz="4" w:space="0" w:color="A6A6A6"/>
              <w:right w:val="single" w:sz="4" w:space="0" w:color="A6A6A6"/>
            </w:tcBorders>
            <w:shd w:val="clear" w:color="000000" w:fill="99FFCC"/>
            <w:noWrap/>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Total</w:t>
            </w:r>
          </w:p>
        </w:tc>
        <w:tc>
          <w:tcPr>
            <w:tcW w:w="1017" w:type="dxa"/>
            <w:tcBorders>
              <w:top w:val="nil"/>
              <w:left w:val="nil"/>
              <w:bottom w:val="single" w:sz="4" w:space="0" w:color="A6A6A6"/>
              <w:right w:val="single" w:sz="4" w:space="0" w:color="A6A6A6"/>
            </w:tcBorders>
            <w:shd w:val="clear" w:color="000000" w:fill="99FFCC"/>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Part des femmes</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p>
        </w:tc>
        <w:tc>
          <w:tcPr>
            <w:tcW w:w="1004" w:type="dxa"/>
            <w:tcBorders>
              <w:top w:val="nil"/>
              <w:left w:val="single" w:sz="4" w:space="0" w:color="A6A6A6"/>
              <w:bottom w:val="single" w:sz="4" w:space="0" w:color="A6A6A6"/>
              <w:right w:val="single" w:sz="4" w:space="0" w:color="A6A6A6"/>
            </w:tcBorders>
            <w:shd w:val="clear" w:color="000000" w:fill="99FFCC"/>
            <w:noWrap/>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Femmes</w:t>
            </w:r>
          </w:p>
        </w:tc>
        <w:tc>
          <w:tcPr>
            <w:tcW w:w="1044" w:type="dxa"/>
            <w:tcBorders>
              <w:top w:val="nil"/>
              <w:left w:val="nil"/>
              <w:bottom w:val="single" w:sz="4" w:space="0" w:color="A6A6A6"/>
              <w:right w:val="single" w:sz="4" w:space="0" w:color="A6A6A6"/>
            </w:tcBorders>
            <w:shd w:val="clear" w:color="000000" w:fill="99FFCC"/>
            <w:noWrap/>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Hommes</w:t>
            </w:r>
          </w:p>
        </w:tc>
        <w:tc>
          <w:tcPr>
            <w:tcW w:w="618" w:type="dxa"/>
            <w:tcBorders>
              <w:top w:val="nil"/>
              <w:left w:val="nil"/>
              <w:bottom w:val="single" w:sz="4" w:space="0" w:color="A6A6A6"/>
              <w:right w:val="single" w:sz="4" w:space="0" w:color="A6A6A6"/>
            </w:tcBorders>
            <w:shd w:val="clear" w:color="000000" w:fill="99FFCC"/>
            <w:noWrap/>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Total</w:t>
            </w:r>
          </w:p>
        </w:tc>
        <w:tc>
          <w:tcPr>
            <w:tcW w:w="1006" w:type="dxa"/>
            <w:tcBorders>
              <w:top w:val="nil"/>
              <w:left w:val="nil"/>
              <w:bottom w:val="single" w:sz="4" w:space="0" w:color="A6A6A6"/>
              <w:right w:val="single" w:sz="4" w:space="0" w:color="A6A6A6"/>
            </w:tcBorders>
            <w:shd w:val="clear" w:color="000000" w:fill="99FFCC"/>
            <w:vAlign w:val="center"/>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Part des femmes</w:t>
            </w:r>
          </w:p>
        </w:tc>
      </w:tr>
      <w:tr w:rsidR="008D4F0F" w:rsidRPr="00271E26" w:rsidTr="00B75970">
        <w:trPr>
          <w:trHeight w:val="170"/>
          <w:jc w:val="center"/>
        </w:trPr>
        <w:tc>
          <w:tcPr>
            <w:tcW w:w="242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15"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55"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618"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17"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04"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44"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618"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06"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r>
      <w:tr w:rsidR="008D4F0F" w:rsidRPr="00271E26" w:rsidTr="00B75970">
        <w:trPr>
          <w:trHeight w:val="363"/>
          <w:jc w:val="center"/>
        </w:trPr>
        <w:tc>
          <w:tcPr>
            <w:tcW w:w="10157" w:type="dxa"/>
            <w:gridSpan w:val="11"/>
            <w:tcBorders>
              <w:top w:val="single" w:sz="4" w:space="0" w:color="A6A6A6"/>
              <w:left w:val="single" w:sz="4" w:space="0" w:color="A6A6A6"/>
              <w:bottom w:val="nil"/>
              <w:right w:val="single" w:sz="4" w:space="0" w:color="A6A6A6"/>
            </w:tcBorders>
            <w:shd w:val="clear" w:color="33CCCC" w:fill="00FF00"/>
            <w:noWrap/>
            <w:vAlign w:val="center"/>
            <w:hideMark/>
          </w:tcPr>
          <w:p w:rsidR="008D4F0F" w:rsidRPr="00271E26" w:rsidRDefault="008D4F0F" w:rsidP="00B75970">
            <w:pP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Concours</w:t>
            </w:r>
          </w:p>
        </w:tc>
      </w:tr>
      <w:tr w:rsidR="008D4F0F" w:rsidRPr="00271E26" w:rsidTr="00B75970">
        <w:trPr>
          <w:trHeight w:val="363"/>
          <w:jc w:val="center"/>
        </w:trPr>
        <w:tc>
          <w:tcPr>
            <w:tcW w:w="2420" w:type="dxa"/>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Catégorie A</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15" w:type="dxa"/>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14</w:t>
            </w:r>
          </w:p>
        </w:tc>
        <w:tc>
          <w:tcPr>
            <w:tcW w:w="1055" w:type="dxa"/>
            <w:tcBorders>
              <w:top w:val="single" w:sz="4" w:space="0" w:color="A6A6A6"/>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37</w:t>
            </w:r>
          </w:p>
        </w:tc>
        <w:tc>
          <w:tcPr>
            <w:tcW w:w="618" w:type="dxa"/>
            <w:tcBorders>
              <w:top w:val="single" w:sz="4" w:space="0" w:color="A6A6A6"/>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51</w:t>
            </w:r>
          </w:p>
        </w:tc>
        <w:tc>
          <w:tcPr>
            <w:tcW w:w="1017" w:type="dxa"/>
            <w:tcBorders>
              <w:top w:val="single" w:sz="4" w:space="0" w:color="A6A6A6"/>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27%</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04" w:type="dxa"/>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w:t>
            </w:r>
          </w:p>
        </w:tc>
        <w:tc>
          <w:tcPr>
            <w:tcW w:w="1044" w:type="dxa"/>
            <w:tcBorders>
              <w:top w:val="single" w:sz="4" w:space="0" w:color="A6A6A6"/>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w:t>
            </w:r>
          </w:p>
        </w:tc>
        <w:tc>
          <w:tcPr>
            <w:tcW w:w="618" w:type="dxa"/>
            <w:tcBorders>
              <w:top w:val="single" w:sz="4" w:space="0" w:color="A6A6A6"/>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2</w:t>
            </w:r>
          </w:p>
        </w:tc>
        <w:tc>
          <w:tcPr>
            <w:tcW w:w="1006" w:type="dxa"/>
            <w:tcBorders>
              <w:top w:val="single" w:sz="4" w:space="0" w:color="A6A6A6"/>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50%</w:t>
            </w:r>
          </w:p>
        </w:tc>
      </w:tr>
      <w:tr w:rsidR="008D4F0F" w:rsidRPr="00271E26" w:rsidTr="00B75970">
        <w:trPr>
          <w:trHeight w:val="363"/>
          <w:jc w:val="center"/>
        </w:trPr>
        <w:tc>
          <w:tcPr>
            <w:tcW w:w="2420"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Catégorie C</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15"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3</w:t>
            </w:r>
          </w:p>
        </w:tc>
        <w:tc>
          <w:tcPr>
            <w:tcW w:w="1055"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2</w:t>
            </w:r>
          </w:p>
        </w:tc>
        <w:tc>
          <w:tcPr>
            <w:tcW w:w="618"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5</w:t>
            </w:r>
          </w:p>
        </w:tc>
        <w:tc>
          <w:tcPr>
            <w:tcW w:w="1017"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60%</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04"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0</w:t>
            </w:r>
          </w:p>
        </w:tc>
        <w:tc>
          <w:tcPr>
            <w:tcW w:w="1044"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w:t>
            </w:r>
          </w:p>
        </w:tc>
        <w:tc>
          <w:tcPr>
            <w:tcW w:w="618"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w:t>
            </w:r>
          </w:p>
        </w:tc>
        <w:tc>
          <w:tcPr>
            <w:tcW w:w="1006"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0%</w:t>
            </w:r>
          </w:p>
        </w:tc>
      </w:tr>
      <w:tr w:rsidR="008D4F0F" w:rsidRPr="00271E26" w:rsidTr="00B75970">
        <w:trPr>
          <w:trHeight w:val="363"/>
          <w:jc w:val="center"/>
        </w:trPr>
        <w:tc>
          <w:tcPr>
            <w:tcW w:w="2420"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Total</w:t>
            </w: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p>
        </w:tc>
        <w:tc>
          <w:tcPr>
            <w:tcW w:w="1015"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17</w:t>
            </w:r>
          </w:p>
        </w:tc>
        <w:tc>
          <w:tcPr>
            <w:tcW w:w="1055"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39</w:t>
            </w:r>
          </w:p>
        </w:tc>
        <w:tc>
          <w:tcPr>
            <w:tcW w:w="618"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56</w:t>
            </w:r>
          </w:p>
        </w:tc>
        <w:tc>
          <w:tcPr>
            <w:tcW w:w="1017"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30%</w:t>
            </w: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p>
        </w:tc>
        <w:tc>
          <w:tcPr>
            <w:tcW w:w="1004"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1</w:t>
            </w:r>
          </w:p>
        </w:tc>
        <w:tc>
          <w:tcPr>
            <w:tcW w:w="1044"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2</w:t>
            </w:r>
          </w:p>
        </w:tc>
        <w:tc>
          <w:tcPr>
            <w:tcW w:w="618"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3</w:t>
            </w:r>
          </w:p>
        </w:tc>
        <w:tc>
          <w:tcPr>
            <w:tcW w:w="1006"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33%</w:t>
            </w:r>
          </w:p>
        </w:tc>
      </w:tr>
      <w:tr w:rsidR="008D4F0F" w:rsidRPr="00271E26" w:rsidTr="00B75970">
        <w:trPr>
          <w:trHeight w:val="170"/>
          <w:jc w:val="center"/>
        </w:trPr>
        <w:tc>
          <w:tcPr>
            <w:tcW w:w="242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15"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55"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618"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17"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04"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44"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618"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06"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r>
      <w:tr w:rsidR="008D4F0F" w:rsidRPr="00271E26" w:rsidTr="00B75970">
        <w:trPr>
          <w:trHeight w:val="363"/>
          <w:jc w:val="center"/>
        </w:trPr>
        <w:tc>
          <w:tcPr>
            <w:tcW w:w="10157" w:type="dxa"/>
            <w:gridSpan w:val="11"/>
            <w:tcBorders>
              <w:top w:val="single" w:sz="4" w:space="0" w:color="A6A6A6"/>
              <w:left w:val="single" w:sz="4" w:space="0" w:color="A6A6A6"/>
              <w:bottom w:val="nil"/>
              <w:right w:val="single" w:sz="4" w:space="0" w:color="A6A6A6"/>
            </w:tcBorders>
            <w:shd w:val="clear" w:color="33CCCC" w:fill="00FF00"/>
            <w:noWrap/>
            <w:vAlign w:val="center"/>
            <w:hideMark/>
          </w:tcPr>
          <w:p w:rsidR="008D4F0F" w:rsidRPr="00271E26" w:rsidRDefault="008D4F0F" w:rsidP="00B75970">
            <w:pP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Examens professionnels</w:t>
            </w:r>
          </w:p>
        </w:tc>
      </w:tr>
      <w:tr w:rsidR="008D4F0F" w:rsidRPr="00271E26" w:rsidTr="00B75970">
        <w:trPr>
          <w:trHeight w:val="363"/>
          <w:jc w:val="center"/>
        </w:trPr>
        <w:tc>
          <w:tcPr>
            <w:tcW w:w="2420"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Catégorie A</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15"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9</w:t>
            </w:r>
          </w:p>
        </w:tc>
        <w:tc>
          <w:tcPr>
            <w:tcW w:w="1055"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5</w:t>
            </w:r>
          </w:p>
        </w:tc>
        <w:tc>
          <w:tcPr>
            <w:tcW w:w="618"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14</w:t>
            </w:r>
          </w:p>
        </w:tc>
        <w:tc>
          <w:tcPr>
            <w:tcW w:w="1017"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64%</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04"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2</w:t>
            </w:r>
          </w:p>
        </w:tc>
        <w:tc>
          <w:tcPr>
            <w:tcW w:w="1044"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w:t>
            </w:r>
          </w:p>
        </w:tc>
        <w:tc>
          <w:tcPr>
            <w:tcW w:w="618"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3</w:t>
            </w:r>
          </w:p>
        </w:tc>
        <w:tc>
          <w:tcPr>
            <w:tcW w:w="1006"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67%</w:t>
            </w:r>
          </w:p>
        </w:tc>
      </w:tr>
      <w:tr w:rsidR="008D4F0F" w:rsidRPr="00271E26" w:rsidTr="00B75970">
        <w:trPr>
          <w:trHeight w:val="363"/>
          <w:jc w:val="center"/>
        </w:trPr>
        <w:tc>
          <w:tcPr>
            <w:tcW w:w="2420"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Catégorie B</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15"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16</w:t>
            </w:r>
          </w:p>
        </w:tc>
        <w:tc>
          <w:tcPr>
            <w:tcW w:w="1055"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12</w:t>
            </w:r>
          </w:p>
        </w:tc>
        <w:tc>
          <w:tcPr>
            <w:tcW w:w="618"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28</w:t>
            </w:r>
          </w:p>
        </w:tc>
        <w:tc>
          <w:tcPr>
            <w:tcW w:w="1017"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57%</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04"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3</w:t>
            </w:r>
          </w:p>
        </w:tc>
        <w:tc>
          <w:tcPr>
            <w:tcW w:w="1044"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4</w:t>
            </w:r>
          </w:p>
        </w:tc>
        <w:tc>
          <w:tcPr>
            <w:tcW w:w="618"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7</w:t>
            </w:r>
          </w:p>
        </w:tc>
        <w:tc>
          <w:tcPr>
            <w:tcW w:w="1006"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43%</w:t>
            </w:r>
          </w:p>
        </w:tc>
      </w:tr>
      <w:tr w:rsidR="008D4F0F" w:rsidRPr="00271E26" w:rsidTr="00B75970">
        <w:trPr>
          <w:trHeight w:val="363"/>
          <w:jc w:val="center"/>
        </w:trPr>
        <w:tc>
          <w:tcPr>
            <w:tcW w:w="2420"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Catégorie C</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15"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6</w:t>
            </w:r>
          </w:p>
        </w:tc>
        <w:tc>
          <w:tcPr>
            <w:tcW w:w="1055"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3</w:t>
            </w:r>
          </w:p>
        </w:tc>
        <w:tc>
          <w:tcPr>
            <w:tcW w:w="618"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9</w:t>
            </w:r>
          </w:p>
        </w:tc>
        <w:tc>
          <w:tcPr>
            <w:tcW w:w="1017"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67%</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p>
        </w:tc>
        <w:tc>
          <w:tcPr>
            <w:tcW w:w="1004" w:type="dxa"/>
            <w:tcBorders>
              <w:top w:val="nil"/>
              <w:left w:val="single" w:sz="4" w:space="0" w:color="A6A6A6"/>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0</w:t>
            </w:r>
          </w:p>
        </w:tc>
        <w:tc>
          <w:tcPr>
            <w:tcW w:w="1044"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2</w:t>
            </w:r>
          </w:p>
        </w:tc>
        <w:tc>
          <w:tcPr>
            <w:tcW w:w="618"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2</w:t>
            </w:r>
          </w:p>
        </w:tc>
        <w:tc>
          <w:tcPr>
            <w:tcW w:w="1006" w:type="dxa"/>
            <w:tcBorders>
              <w:top w:val="nil"/>
              <w:left w:val="nil"/>
              <w:bottom w:val="single" w:sz="4" w:space="0" w:color="A6A6A6"/>
              <w:right w:val="single" w:sz="4" w:space="0" w:color="A6A6A6"/>
            </w:tcBorders>
            <w:shd w:val="clear" w:color="auto" w:fill="auto"/>
            <w:noWrap/>
            <w:vAlign w:val="center"/>
            <w:hideMark/>
          </w:tcPr>
          <w:p w:rsidR="008D4F0F" w:rsidRPr="00271E26" w:rsidRDefault="008D4F0F" w:rsidP="00B75970">
            <w:pPr>
              <w:jc w:val="center"/>
              <w:rPr>
                <w:rFonts w:ascii="Arial" w:eastAsia="Times New Roman" w:hAnsi="Arial" w:cs="Arial"/>
                <w:sz w:val="20"/>
                <w:szCs w:val="20"/>
                <w:lang w:eastAsia="fr-FR"/>
              </w:rPr>
            </w:pPr>
            <w:r w:rsidRPr="00271E26">
              <w:rPr>
                <w:rFonts w:ascii="Arial" w:eastAsia="Times New Roman" w:hAnsi="Arial" w:cs="Arial"/>
                <w:sz w:val="20"/>
                <w:szCs w:val="20"/>
                <w:lang w:eastAsia="fr-FR"/>
              </w:rPr>
              <w:t>0%</w:t>
            </w:r>
          </w:p>
        </w:tc>
      </w:tr>
      <w:tr w:rsidR="008D4F0F" w:rsidRPr="00271E26" w:rsidTr="00B75970">
        <w:trPr>
          <w:trHeight w:val="363"/>
          <w:jc w:val="center"/>
        </w:trPr>
        <w:tc>
          <w:tcPr>
            <w:tcW w:w="2420"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Total</w:t>
            </w: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p>
        </w:tc>
        <w:tc>
          <w:tcPr>
            <w:tcW w:w="1015"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31</w:t>
            </w:r>
          </w:p>
        </w:tc>
        <w:tc>
          <w:tcPr>
            <w:tcW w:w="1055"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20</w:t>
            </w:r>
          </w:p>
        </w:tc>
        <w:tc>
          <w:tcPr>
            <w:tcW w:w="618"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51</w:t>
            </w:r>
          </w:p>
        </w:tc>
        <w:tc>
          <w:tcPr>
            <w:tcW w:w="1017"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61%</w:t>
            </w: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p>
        </w:tc>
        <w:tc>
          <w:tcPr>
            <w:tcW w:w="1004" w:type="dxa"/>
            <w:tcBorders>
              <w:top w:val="nil"/>
              <w:left w:val="single" w:sz="4" w:space="0" w:color="A6A6A6"/>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5</w:t>
            </w:r>
          </w:p>
        </w:tc>
        <w:tc>
          <w:tcPr>
            <w:tcW w:w="1044"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7</w:t>
            </w:r>
          </w:p>
        </w:tc>
        <w:tc>
          <w:tcPr>
            <w:tcW w:w="618"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12</w:t>
            </w:r>
          </w:p>
        </w:tc>
        <w:tc>
          <w:tcPr>
            <w:tcW w:w="1006" w:type="dxa"/>
            <w:tcBorders>
              <w:top w:val="nil"/>
              <w:left w:val="nil"/>
              <w:bottom w:val="single" w:sz="4" w:space="0" w:color="A6A6A6"/>
              <w:right w:val="single" w:sz="4" w:space="0" w:color="A6A6A6"/>
            </w:tcBorders>
            <w:shd w:val="clear" w:color="000000" w:fill="99FFCC"/>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r w:rsidRPr="00271E26">
              <w:rPr>
                <w:rFonts w:ascii="Arial" w:eastAsia="Times New Roman" w:hAnsi="Arial" w:cs="Arial"/>
                <w:b/>
                <w:bCs/>
                <w:color w:val="808080"/>
                <w:sz w:val="20"/>
                <w:szCs w:val="20"/>
                <w:lang w:eastAsia="fr-FR"/>
              </w:rPr>
              <w:t>42%</w:t>
            </w:r>
          </w:p>
        </w:tc>
      </w:tr>
      <w:tr w:rsidR="008D4F0F" w:rsidRPr="00271E26" w:rsidTr="00B75970">
        <w:trPr>
          <w:trHeight w:val="170"/>
          <w:jc w:val="center"/>
        </w:trPr>
        <w:tc>
          <w:tcPr>
            <w:tcW w:w="242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Arial" w:eastAsia="Times New Roman" w:hAnsi="Arial" w:cs="Arial"/>
                <w:b/>
                <w:bCs/>
                <w:color w:val="808080"/>
                <w:sz w:val="20"/>
                <w:szCs w:val="20"/>
                <w:lang w:eastAsia="fr-FR"/>
              </w:rPr>
            </w:pP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15"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55"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618"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17"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80"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04"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44"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618"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c>
          <w:tcPr>
            <w:tcW w:w="1006" w:type="dxa"/>
            <w:tcBorders>
              <w:top w:val="nil"/>
              <w:left w:val="nil"/>
              <w:bottom w:val="nil"/>
              <w:right w:val="nil"/>
            </w:tcBorders>
            <w:shd w:val="clear" w:color="auto" w:fill="auto"/>
            <w:noWrap/>
            <w:vAlign w:val="bottom"/>
            <w:hideMark/>
          </w:tcPr>
          <w:p w:rsidR="008D4F0F" w:rsidRPr="00271E26" w:rsidRDefault="008D4F0F" w:rsidP="00B75970">
            <w:pPr>
              <w:jc w:val="center"/>
              <w:rPr>
                <w:rFonts w:ascii="Times New Roman" w:eastAsia="Times New Roman" w:hAnsi="Times New Roman" w:cs="Times New Roman"/>
                <w:sz w:val="20"/>
                <w:szCs w:val="20"/>
                <w:lang w:eastAsia="fr-FR"/>
              </w:rPr>
            </w:pPr>
          </w:p>
        </w:tc>
      </w:tr>
      <w:tr w:rsidR="008D4F0F" w:rsidRPr="00271E26" w:rsidTr="00B75970">
        <w:trPr>
          <w:trHeight w:val="520"/>
          <w:jc w:val="center"/>
        </w:trPr>
        <w:tc>
          <w:tcPr>
            <w:tcW w:w="2420" w:type="dxa"/>
            <w:tcBorders>
              <w:top w:val="single" w:sz="4" w:space="0" w:color="A6A6A6"/>
              <w:left w:val="single" w:sz="4" w:space="0" w:color="A6A6A6"/>
              <w:bottom w:val="single" w:sz="4" w:space="0" w:color="A6A6A6"/>
              <w:right w:val="single" w:sz="4" w:space="0" w:color="A6A6A6"/>
            </w:tcBorders>
            <w:shd w:val="clear" w:color="000000" w:fill="00FF00"/>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Total concours et examens professionnels</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p>
        </w:tc>
        <w:tc>
          <w:tcPr>
            <w:tcW w:w="1015" w:type="dxa"/>
            <w:tcBorders>
              <w:top w:val="single" w:sz="4" w:space="0" w:color="A6A6A6"/>
              <w:left w:val="single" w:sz="4" w:space="0" w:color="A6A6A6"/>
              <w:bottom w:val="single" w:sz="4" w:space="0" w:color="A6A6A6"/>
              <w:right w:val="single" w:sz="4" w:space="0" w:color="A6A6A6"/>
            </w:tcBorders>
            <w:shd w:val="clear" w:color="000000"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48</w:t>
            </w:r>
          </w:p>
        </w:tc>
        <w:tc>
          <w:tcPr>
            <w:tcW w:w="1055" w:type="dxa"/>
            <w:tcBorders>
              <w:top w:val="single" w:sz="4" w:space="0" w:color="A6A6A6"/>
              <w:left w:val="nil"/>
              <w:bottom w:val="single" w:sz="4" w:space="0" w:color="A6A6A6"/>
              <w:right w:val="single" w:sz="4" w:space="0" w:color="A6A6A6"/>
            </w:tcBorders>
            <w:shd w:val="clear" w:color="000000"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59</w:t>
            </w:r>
          </w:p>
        </w:tc>
        <w:tc>
          <w:tcPr>
            <w:tcW w:w="618" w:type="dxa"/>
            <w:tcBorders>
              <w:top w:val="single" w:sz="4" w:space="0" w:color="A6A6A6"/>
              <w:left w:val="nil"/>
              <w:bottom w:val="single" w:sz="4" w:space="0" w:color="A6A6A6"/>
              <w:right w:val="single" w:sz="4" w:space="0" w:color="A6A6A6"/>
            </w:tcBorders>
            <w:shd w:val="clear" w:color="000000"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107</w:t>
            </w:r>
          </w:p>
        </w:tc>
        <w:tc>
          <w:tcPr>
            <w:tcW w:w="1017" w:type="dxa"/>
            <w:tcBorders>
              <w:top w:val="single" w:sz="4" w:space="0" w:color="A6A6A6"/>
              <w:left w:val="nil"/>
              <w:bottom w:val="single" w:sz="4" w:space="0" w:color="A6A6A6"/>
              <w:right w:val="single" w:sz="4" w:space="0" w:color="A6A6A6"/>
            </w:tcBorders>
            <w:shd w:val="clear" w:color="000000"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45%</w:t>
            </w:r>
          </w:p>
        </w:tc>
        <w:tc>
          <w:tcPr>
            <w:tcW w:w="180" w:type="dxa"/>
            <w:tcBorders>
              <w:top w:val="nil"/>
              <w:left w:val="nil"/>
              <w:bottom w:val="nil"/>
              <w:right w:val="nil"/>
            </w:tcBorders>
            <w:shd w:val="clear" w:color="auto" w:fill="auto"/>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p>
        </w:tc>
        <w:tc>
          <w:tcPr>
            <w:tcW w:w="1004" w:type="dxa"/>
            <w:tcBorders>
              <w:top w:val="single" w:sz="4" w:space="0" w:color="A6A6A6"/>
              <w:left w:val="single" w:sz="4" w:space="0" w:color="A6A6A6"/>
              <w:bottom w:val="single" w:sz="4" w:space="0" w:color="A6A6A6"/>
              <w:right w:val="single" w:sz="4" w:space="0" w:color="A6A6A6"/>
            </w:tcBorders>
            <w:shd w:val="clear" w:color="000000"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6</w:t>
            </w:r>
          </w:p>
        </w:tc>
        <w:tc>
          <w:tcPr>
            <w:tcW w:w="1044" w:type="dxa"/>
            <w:tcBorders>
              <w:top w:val="single" w:sz="4" w:space="0" w:color="A6A6A6"/>
              <w:left w:val="nil"/>
              <w:bottom w:val="single" w:sz="4" w:space="0" w:color="A6A6A6"/>
              <w:right w:val="single" w:sz="4" w:space="0" w:color="A6A6A6"/>
            </w:tcBorders>
            <w:shd w:val="clear" w:color="000000"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9</w:t>
            </w:r>
          </w:p>
        </w:tc>
        <w:tc>
          <w:tcPr>
            <w:tcW w:w="618" w:type="dxa"/>
            <w:tcBorders>
              <w:top w:val="single" w:sz="4" w:space="0" w:color="A6A6A6"/>
              <w:left w:val="nil"/>
              <w:bottom w:val="single" w:sz="4" w:space="0" w:color="A6A6A6"/>
              <w:right w:val="single" w:sz="4" w:space="0" w:color="A6A6A6"/>
            </w:tcBorders>
            <w:shd w:val="clear" w:color="000000"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15</w:t>
            </w:r>
          </w:p>
        </w:tc>
        <w:tc>
          <w:tcPr>
            <w:tcW w:w="1006" w:type="dxa"/>
            <w:tcBorders>
              <w:top w:val="single" w:sz="4" w:space="0" w:color="A6A6A6"/>
              <w:left w:val="nil"/>
              <w:bottom w:val="single" w:sz="4" w:space="0" w:color="A6A6A6"/>
              <w:right w:val="single" w:sz="4" w:space="0" w:color="A6A6A6"/>
            </w:tcBorders>
            <w:shd w:val="clear" w:color="000000" w:fill="00FF00"/>
            <w:noWrap/>
            <w:vAlign w:val="center"/>
            <w:hideMark/>
          </w:tcPr>
          <w:p w:rsidR="008D4F0F" w:rsidRPr="00271E26" w:rsidRDefault="008D4F0F" w:rsidP="00B75970">
            <w:pPr>
              <w:jc w:val="center"/>
              <w:rPr>
                <w:rFonts w:ascii="Arial" w:eastAsia="Times New Roman" w:hAnsi="Arial" w:cs="Arial"/>
                <w:b/>
                <w:bCs/>
                <w:color w:val="FFFFFF"/>
                <w:sz w:val="20"/>
                <w:szCs w:val="20"/>
                <w:lang w:eastAsia="fr-FR"/>
              </w:rPr>
            </w:pPr>
            <w:r w:rsidRPr="00271E26">
              <w:rPr>
                <w:rFonts w:ascii="Arial" w:eastAsia="Times New Roman" w:hAnsi="Arial" w:cs="Arial"/>
                <w:b/>
                <w:bCs/>
                <w:color w:val="FFFFFF"/>
                <w:sz w:val="20"/>
                <w:szCs w:val="20"/>
                <w:lang w:eastAsia="fr-FR"/>
              </w:rPr>
              <w:t>40%</w:t>
            </w:r>
          </w:p>
        </w:tc>
      </w:tr>
    </w:tbl>
    <w:p w:rsidR="008D4F0F" w:rsidRDefault="008D4F0F" w:rsidP="008D4F0F">
      <w:pPr>
        <w:rPr>
          <w:rFonts w:ascii="Arial" w:hAnsi="Arial"/>
          <w:sz w:val="22"/>
        </w:rPr>
      </w:pPr>
    </w:p>
    <w:p w:rsidR="008D4F0F" w:rsidRPr="00F84DA5" w:rsidRDefault="008D4F0F" w:rsidP="008D4F0F">
      <w:pPr>
        <w:jc w:val="both"/>
        <w:rPr>
          <w:rFonts w:ascii="Arial" w:hAnsi="Arial"/>
          <w:sz w:val="22"/>
        </w:rPr>
      </w:pPr>
      <w:r>
        <w:rPr>
          <w:rFonts w:ascii="Arial" w:hAnsi="Arial"/>
          <w:sz w:val="22"/>
        </w:rPr>
        <w:t>La représentation des femmes dans les jurys des concours et des examens professionnels est une garantie contre une préférence, même involontaire, qui serait susceptible d’être donnée aux candidats masculins.</w:t>
      </w:r>
    </w:p>
    <w:p w:rsidR="008D4F0F" w:rsidRDefault="008D4F0F" w:rsidP="008D4F0F">
      <w:pPr>
        <w:tabs>
          <w:tab w:val="left" w:pos="1220"/>
        </w:tabs>
        <w:jc w:val="both"/>
        <w:rPr>
          <w:rFonts w:ascii="BlairMdITC TT-Medium" w:hAnsi="BlairMdITC TT-Medium"/>
          <w:b/>
          <w:color w:val="800000"/>
          <w:sz w:val="48"/>
        </w:rPr>
      </w:pPr>
    </w:p>
    <w:p w:rsidR="0037455F" w:rsidRPr="007A4B95" w:rsidRDefault="0037455F" w:rsidP="0037455F">
      <w:pPr>
        <w:ind w:left="993" w:hanging="993"/>
        <w:rPr>
          <w:rFonts w:ascii="Florencesans Exp" w:hAnsi="Florencesans Exp"/>
          <w:sz w:val="22"/>
        </w:rPr>
      </w:pPr>
      <w:r>
        <w:rPr>
          <w:rFonts w:ascii="Florencesans Exp" w:hAnsi="Florencesans Exp"/>
          <w:b/>
          <w:color w:val="00FF80"/>
          <w:sz w:val="28"/>
        </w:rPr>
        <w:t>3. F</w:t>
      </w:r>
      <w:r w:rsidRPr="007A4B95">
        <w:rPr>
          <w:rFonts w:ascii="Florencesans Exp" w:hAnsi="Florencesans Exp"/>
          <w:b/>
          <w:color w:val="00FF80"/>
          <w:sz w:val="28"/>
        </w:rPr>
        <w:t xml:space="preserve">. </w:t>
      </w:r>
      <w:r w:rsidR="00736235">
        <w:rPr>
          <w:rFonts w:ascii="Florencesans Exp" w:hAnsi="Florencesans Exp"/>
          <w:b/>
          <w:color w:val="00FF80"/>
          <w:sz w:val="28"/>
        </w:rPr>
        <w:t>REMUNERATIONS COMPAREES FEMMES-HOMMES EN 2013 (DONNEES T2</w:t>
      </w:r>
      <w:r w:rsidRPr="007A4B95">
        <w:rPr>
          <w:rFonts w:ascii="Florencesans Exp" w:hAnsi="Florencesans Exp"/>
          <w:b/>
          <w:color w:val="00FF80"/>
          <w:sz w:val="28"/>
        </w:rPr>
        <w:t>)</w:t>
      </w:r>
    </w:p>
    <w:p w:rsidR="008D4F0F" w:rsidRDefault="008D4F0F" w:rsidP="008D4F0F">
      <w:pPr>
        <w:tabs>
          <w:tab w:val="left" w:pos="1220"/>
        </w:tabs>
        <w:jc w:val="both"/>
        <w:rPr>
          <w:rFonts w:ascii="BlairMdITC TT-Medium" w:hAnsi="BlairMdITC TT-Medium"/>
          <w:b/>
          <w:color w:val="800000"/>
          <w:sz w:val="48"/>
        </w:rPr>
      </w:pPr>
    </w:p>
    <w:p w:rsidR="0037455F" w:rsidRDefault="00E90BC6" w:rsidP="008D4F0F">
      <w:pPr>
        <w:tabs>
          <w:tab w:val="left" w:pos="1220"/>
        </w:tabs>
        <w:jc w:val="both"/>
        <w:rPr>
          <w:rFonts w:ascii="BlairMdITC TT-Medium" w:hAnsi="BlairMdITC TT-Medium"/>
          <w:b/>
          <w:color w:val="800000"/>
          <w:sz w:val="48"/>
        </w:rPr>
      </w:pPr>
      <w:r w:rsidRPr="00E90BC6">
        <w:rPr>
          <w:noProof/>
          <w:lang w:eastAsia="fr-FR"/>
        </w:rPr>
        <w:drawing>
          <wp:inline distT="0" distB="0" distL="0" distR="0">
            <wp:extent cx="6116320" cy="4150788"/>
            <wp:effectExtent l="0" t="0" r="0" b="254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116320" cy="4150788"/>
                    </a:xfrm>
                    <a:prstGeom prst="rect">
                      <a:avLst/>
                    </a:prstGeom>
                    <a:noFill/>
                    <a:ln>
                      <a:noFill/>
                    </a:ln>
                  </pic:spPr>
                </pic:pic>
              </a:graphicData>
            </a:graphic>
          </wp:inline>
        </w:drawing>
      </w:r>
    </w:p>
    <w:p w:rsidR="00251AE0" w:rsidRPr="00E90BC6" w:rsidRDefault="00251AE0" w:rsidP="008D4F0F">
      <w:pPr>
        <w:tabs>
          <w:tab w:val="left" w:pos="1220"/>
        </w:tabs>
        <w:jc w:val="both"/>
        <w:rPr>
          <w:rFonts w:ascii="Arial" w:hAnsi="Arial" w:cs="Arial"/>
          <w:b/>
          <w:color w:val="800000"/>
          <w:sz w:val="16"/>
          <w:szCs w:val="16"/>
        </w:rPr>
      </w:pP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Précisions :</w:t>
      </w:r>
    </w:p>
    <w:p w:rsidR="00E90BC6" w:rsidRPr="00E90BC6" w:rsidRDefault="00E90BC6" w:rsidP="00E90BC6">
      <w:pPr>
        <w:tabs>
          <w:tab w:val="left" w:pos="2090"/>
        </w:tabs>
        <w:jc w:val="both"/>
        <w:rPr>
          <w:rFonts w:ascii="Arial" w:hAnsi="Arial" w:cs="Arial"/>
          <w:sz w:val="22"/>
          <w:szCs w:val="22"/>
        </w:rPr>
      </w:pP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Le tableau ci-dessus présente pour chaque corps de titulaires, pour les femmes d'une part et pour les hommes d'autre part, le montant annuel moyen de primes versé et l'indice moyen de rémunération.</w:t>
      </w:r>
    </w:p>
    <w:p w:rsidR="00E90BC6" w:rsidRPr="00E90BC6" w:rsidRDefault="00E90BC6" w:rsidP="00E90BC6">
      <w:pPr>
        <w:tabs>
          <w:tab w:val="left" w:pos="2090"/>
        </w:tabs>
        <w:jc w:val="both"/>
        <w:rPr>
          <w:rFonts w:ascii="Arial" w:hAnsi="Arial" w:cs="Arial"/>
          <w:sz w:val="22"/>
          <w:szCs w:val="22"/>
        </w:rPr>
      </w:pP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Afin de neutraliser les différences indemnitaires liées à l'avancement dans la carrière, la comparaison n'est pas directement établies entre les montants indemnitaires moyens servis aux femmes et aux hommes, mais sur la base d'un indicateur construit comme suit : [montant moyen des primes servies aux femmes / IM moyen des femmes] /  [montant moyen des primes servies aux hommes / IM moyen des hommes].</w:t>
      </w:r>
    </w:p>
    <w:p w:rsidR="00E90BC6" w:rsidRPr="00E90BC6" w:rsidRDefault="00E90BC6" w:rsidP="00E90BC6">
      <w:pPr>
        <w:tabs>
          <w:tab w:val="left" w:pos="2090"/>
        </w:tabs>
        <w:jc w:val="both"/>
        <w:rPr>
          <w:rFonts w:ascii="Arial" w:hAnsi="Arial" w:cs="Arial"/>
          <w:sz w:val="22"/>
          <w:szCs w:val="22"/>
        </w:rPr>
      </w:pP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A titre d'exemple, l'indicateur ainsi calculé pour le corps des administrateurs civils est égal à 96% et témoigne, à indice de rémunération équivalent, d'une rémunération indemnitaire des femmes inférieure à celle des hommes. A contrario, dans le corps des inspecteurs et conseillers de la création, de l'enseignement artistique et de l'action culturelle, la rémunération indemnitaire des femmes est supérieure à celle des hommes avec un indicateur égal à 102%. </w:t>
      </w:r>
    </w:p>
    <w:p w:rsidR="00E90BC6" w:rsidRDefault="00E90BC6" w:rsidP="00E90BC6">
      <w:pPr>
        <w:tabs>
          <w:tab w:val="left" w:pos="2090"/>
        </w:tabs>
        <w:jc w:val="both"/>
        <w:rPr>
          <w:rFonts w:ascii="Arial" w:hAnsi="Arial" w:cs="Arial"/>
          <w:sz w:val="22"/>
          <w:szCs w:val="22"/>
        </w:rPr>
      </w:pPr>
    </w:p>
    <w:p w:rsidR="008143F3" w:rsidRDefault="00E90BC6" w:rsidP="00E90BC6">
      <w:pPr>
        <w:tabs>
          <w:tab w:val="left" w:pos="2090"/>
        </w:tabs>
        <w:jc w:val="both"/>
        <w:rPr>
          <w:rFonts w:ascii="Arial" w:hAnsi="Arial" w:cs="Arial"/>
          <w:sz w:val="22"/>
          <w:szCs w:val="22"/>
        </w:rPr>
      </w:pPr>
      <w:r w:rsidRPr="00E90BC6">
        <w:rPr>
          <w:rFonts w:ascii="Arial" w:hAnsi="Arial" w:cs="Arial"/>
          <w:sz w:val="22"/>
          <w:szCs w:val="22"/>
        </w:rPr>
        <w:t>Les montants indemnitaires moyens comparés femmes / hommes font ressortir une inégalité de la rémunération indemnitaire selon la catégorie statutaire et le corps d'appartenance. Des inégalités en défaveur des femmes sont observées au sein de la catégorie A, particulièrement dans la filière administrative. Au sein des catégories B et C, a contratrio, les inégalités peuvent être observées en faveur des femmes dans certains corps. Des particularités sont à signaler concernant les corps d'ingénieurs des services culturels, de bibliothécaires et de bibliothécaires assistants spécialisés.</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lastRenderedPageBreak/>
        <w:t xml:space="preserve">Périmètre : </w:t>
      </w:r>
    </w:p>
    <w:p w:rsidR="00E90BC6" w:rsidRPr="00E90BC6" w:rsidRDefault="00E90BC6" w:rsidP="00E90BC6">
      <w:pPr>
        <w:tabs>
          <w:tab w:val="left" w:pos="2090"/>
        </w:tabs>
        <w:jc w:val="both"/>
        <w:rPr>
          <w:rFonts w:ascii="Arial" w:hAnsi="Arial" w:cs="Arial"/>
          <w:sz w:val="22"/>
          <w:szCs w:val="22"/>
        </w:rPr>
      </w:pP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Le calcul du montant moyen des primes servies a été volontairement limité aux types de primes dans l'attribution desquelles une discrimination selon le genre est susceptible d'être observée : primes attachées à la manière de servir de l'agent par opposition aux primes de service fait. Ont été retenues à ce titre :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indemnités d'administration et de technicité D.2002-61 (adjoints administratifs, secrétaires administratifs, adjoints techniques, techniciens des services culturels, secrétaires de documentation, adjoints d'accueil, de surveillance et de magasinage, magasiniers),</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indemnités forfaitaires pour travaux supplémentaires D.2002-62 et D.2002-63 (secrétaires administratifs, techniciens d'art, chefs de travaux d'art, techniciens des services culturels, chargés d'études documentaires, bibliothécaires, bibliothécaires assistants spécialisés),</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primes de rendement D.50-196 (adjoints administratifs, secrétaires administratifs, adjoints techniques, secrétaires de documentation, chargés d'études documentaires),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primes de fonction et de résultats D.2008-1533 (administrateurs civils, emplois fonctionnels, attachés),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indemnités de fonctions, indemnités de performance (emplois fonctionnels)</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primes d'activité (inspecteurs généraux des affaires culturelles),</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indemnités de charges administratives D.94-751 (ICCEAAC),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indemnités de rendement et de fonctions D.2007-1366 (architectes urbanistes de l'Etat),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indemnités scientifiques D.90-409 (conservateurs du patrimoine),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primes de rendement D.90-408 (conservateurs généraux du patrimoine),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indemnités spéciales D.98-40 (conservateurs de bibliothèque),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primes de rendement D.92-33 (conservateurs généraux de bibliothèque), </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primes de technicité forfaitaire des bibliothèques (bibliothécaires, bibliothécaires assistants spécialisés),</w:t>
      </w:r>
    </w:p>
    <w:p w:rsidR="00E90BC6" w:rsidRPr="00E90BC6" w:rsidRDefault="00E90BC6" w:rsidP="00E90BC6">
      <w:pPr>
        <w:tabs>
          <w:tab w:val="left" w:pos="2090"/>
        </w:tabs>
        <w:jc w:val="both"/>
        <w:rPr>
          <w:rFonts w:ascii="Arial" w:hAnsi="Arial" w:cs="Arial"/>
          <w:sz w:val="22"/>
          <w:szCs w:val="22"/>
        </w:rPr>
      </w:pPr>
      <w:r w:rsidRPr="00E90BC6">
        <w:rPr>
          <w:rFonts w:ascii="Arial" w:hAnsi="Arial" w:cs="Arial"/>
          <w:sz w:val="22"/>
          <w:szCs w:val="22"/>
        </w:rPr>
        <w:t xml:space="preserve">- primes de participation à la recherche scientifique D.92-990 (ingénieurs de recherche, ingénieurs d'études, assistants ingénieurs, techniciens de recherche), </w:t>
      </w:r>
    </w:p>
    <w:p w:rsidR="009E05CE" w:rsidRDefault="00E90BC6" w:rsidP="00E90BC6">
      <w:pPr>
        <w:tabs>
          <w:tab w:val="left" w:pos="2090"/>
        </w:tabs>
        <w:jc w:val="both"/>
        <w:rPr>
          <w:rFonts w:ascii="Arial" w:hAnsi="Arial" w:cs="Arial"/>
          <w:sz w:val="22"/>
          <w:szCs w:val="22"/>
        </w:rPr>
      </w:pPr>
      <w:r w:rsidRPr="00E90BC6">
        <w:rPr>
          <w:rFonts w:ascii="Arial" w:hAnsi="Arial" w:cs="Arial"/>
          <w:sz w:val="22"/>
          <w:szCs w:val="22"/>
        </w:rPr>
        <w:t>- primes de service et de rendement D.200-950 (ingénieurs des services culturels).</w:t>
      </w:r>
    </w:p>
    <w:p w:rsidR="009E05CE" w:rsidRDefault="009E05CE" w:rsidP="002A3A09">
      <w:pPr>
        <w:tabs>
          <w:tab w:val="left" w:pos="2090"/>
        </w:tabs>
        <w:jc w:val="both"/>
        <w:rPr>
          <w:rFonts w:ascii="Arial" w:hAnsi="Arial" w:cs="Arial"/>
          <w:sz w:val="22"/>
          <w:szCs w:val="22"/>
        </w:rPr>
      </w:pPr>
    </w:p>
    <w:p w:rsidR="009E05CE" w:rsidRDefault="009E05CE" w:rsidP="002A3A09">
      <w:pPr>
        <w:tabs>
          <w:tab w:val="left" w:pos="2090"/>
        </w:tabs>
        <w:jc w:val="both"/>
        <w:rPr>
          <w:rFonts w:ascii="Arial" w:hAnsi="Arial" w:cs="Arial"/>
          <w:sz w:val="22"/>
          <w:szCs w:val="22"/>
        </w:rPr>
      </w:pPr>
    </w:p>
    <w:p w:rsidR="009E05CE" w:rsidRPr="002A3A09" w:rsidRDefault="009E05CE" w:rsidP="002A3A09">
      <w:pPr>
        <w:tabs>
          <w:tab w:val="left" w:pos="2090"/>
        </w:tabs>
        <w:jc w:val="both"/>
        <w:rPr>
          <w:rFonts w:ascii="Arial" w:hAnsi="Arial" w:cs="Arial"/>
          <w:sz w:val="22"/>
          <w:szCs w:val="22"/>
        </w:rPr>
        <w:sectPr w:rsidR="009E05CE" w:rsidRPr="002A3A09" w:rsidSect="00C43EE5">
          <w:headerReference w:type="default" r:id="rId179"/>
          <w:headerReference w:type="first" r:id="rId180"/>
          <w:pgSz w:w="11900" w:h="16840"/>
          <w:pgMar w:top="1077" w:right="1134" w:bottom="1077" w:left="1134" w:header="709" w:footer="709" w:gutter="0"/>
          <w:cols w:space="708"/>
          <w:titlePg/>
        </w:sectPr>
      </w:pPr>
    </w:p>
    <w:p w:rsidR="008D4F0F" w:rsidRPr="00B75970" w:rsidRDefault="008D4F0F" w:rsidP="008D4F0F">
      <w:pPr>
        <w:rPr>
          <w:rFonts w:ascii="Arial" w:hAnsi="Arial" w:cs="Arial"/>
          <w:sz w:val="22"/>
          <w:szCs w:val="22"/>
        </w:rPr>
      </w:pPr>
    </w:p>
    <w:p w:rsidR="00B75970" w:rsidRPr="00EB6E0B" w:rsidRDefault="00B75970" w:rsidP="00B75970">
      <w:pPr>
        <w:tabs>
          <w:tab w:val="left" w:pos="1220"/>
        </w:tabs>
        <w:jc w:val="both"/>
        <w:rPr>
          <w:rFonts w:ascii="BlairMdITC TT-Medium" w:eastAsia="Cambria" w:hAnsi="BlairMdITC TT-Medium" w:cs="Times New Roman"/>
          <w:b/>
          <w:color w:val="800000"/>
          <w:sz w:val="48"/>
        </w:rPr>
      </w:pPr>
    </w:p>
    <w:p w:rsidR="00B75970" w:rsidRPr="00EB6E0B" w:rsidRDefault="00B75970" w:rsidP="00B75970">
      <w:pPr>
        <w:tabs>
          <w:tab w:val="left" w:pos="1220"/>
        </w:tabs>
        <w:jc w:val="both"/>
        <w:rPr>
          <w:rFonts w:ascii="BlairMdITC TT-Medium" w:eastAsia="Cambria" w:hAnsi="BlairMdITC TT-Medium" w:cs="Times New Roman"/>
          <w:b/>
          <w:color w:val="800000"/>
          <w:sz w:val="48"/>
        </w:rPr>
      </w:pPr>
      <w:r w:rsidRPr="00EB6E0B">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799552" behindDoc="0" locked="0" layoutInCell="1" allowOverlap="1" wp14:anchorId="0F5E4772" wp14:editId="2EE79145">
                <wp:simplePos x="0" y="0"/>
                <wp:positionH relativeFrom="column">
                  <wp:posOffset>228600</wp:posOffset>
                </wp:positionH>
                <wp:positionV relativeFrom="paragraph">
                  <wp:posOffset>0</wp:posOffset>
                </wp:positionV>
                <wp:extent cx="457200" cy="457200"/>
                <wp:effectExtent l="0" t="0" r="3810" b="4445"/>
                <wp:wrapTight wrapText="bothSides">
                  <wp:wrapPolygon edited="0">
                    <wp:start x="0" y="0"/>
                    <wp:lineTo x="21600" y="0"/>
                    <wp:lineTo x="21600" y="21600"/>
                    <wp:lineTo x="0" y="21600"/>
                    <wp:lineTo x="0" y="0"/>
                  </wp:wrapPolygon>
                </wp:wrapTight>
                <wp:docPr id="220" name="Zone de texte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EB6E0B" w:rsidRDefault="007B1397" w:rsidP="00B75970">
                            <w:pPr>
                              <w:jc w:val="center"/>
                              <w:rPr>
                                <w:rFonts w:ascii="Apple Casual" w:eastAsia="GB18030 Bitmap" w:hAnsi="Apple Casual"/>
                                <w:b/>
                                <w:color w:val="FFFFFF"/>
                                <w:sz w:val="48"/>
                              </w:rPr>
                            </w:pPr>
                            <w:r w:rsidRPr="00EB6E0B">
                              <w:rPr>
                                <w:rFonts w:ascii="Apple Casual" w:eastAsia="GB18030 Bitmap" w:hAnsi="Apple Casual"/>
                                <w:b/>
                                <w:color w:val="FFFFFF"/>
                                <w:sz w:val="48"/>
                              </w:rPr>
                              <w:t>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E4772" id="Zone de texte 220" o:spid="_x0000_s1077" type="#_x0000_t202" style="position:absolute;left:0;text-align:left;margin-left:18pt;margin-top:0;width:36pt;height:3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" filled="f" stroked="f">
                <v:textbox inset=",7.2pt,,7.2pt">
                  <w:txbxContent>
                    <w:p w:rsidR="007B1397" w:rsidRPr="00EB6E0B" w:rsidRDefault="007B1397" w:rsidP="00B75970">
                      <w:pPr>
                        <w:jc w:val="center"/>
                        <w:rPr>
                          <w:rFonts w:ascii="Apple Casual" w:eastAsia="GB18030 Bitmap" w:hAnsi="Apple Casual"/>
                          <w:b/>
                          <w:color w:val="FFFFFF"/>
                          <w:sz w:val="48"/>
                        </w:rPr>
                      </w:pPr>
                      <w:r w:rsidRPr="00EB6E0B">
                        <w:rPr>
                          <w:rFonts w:ascii="Apple Casual" w:eastAsia="GB18030 Bitmap" w:hAnsi="Apple Casual"/>
                          <w:b/>
                          <w:color w:val="FFFFFF"/>
                          <w:sz w:val="48"/>
                        </w:rPr>
                        <w:t>4</w:t>
                      </w:r>
                    </w:p>
                  </w:txbxContent>
                </v:textbox>
                <w10:wrap type="tight"/>
              </v:shape>
            </w:pict>
          </mc:Fallback>
        </mc:AlternateContent>
      </w:r>
      <w:r w:rsidRPr="00EB6E0B">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798528" behindDoc="0" locked="0" layoutInCell="1" allowOverlap="1" wp14:anchorId="04BCC808" wp14:editId="595284B7">
                <wp:simplePos x="0" y="0"/>
                <wp:positionH relativeFrom="column">
                  <wp:posOffset>0</wp:posOffset>
                </wp:positionH>
                <wp:positionV relativeFrom="paragraph">
                  <wp:posOffset>-228600</wp:posOffset>
                </wp:positionV>
                <wp:extent cx="914400" cy="914400"/>
                <wp:effectExtent l="5715" t="5080" r="3810" b="4445"/>
                <wp:wrapNone/>
                <wp:docPr id="221" name="Ellips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800040"/>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51A6A5" id="Ellipse 221" o:spid="_x0000_s1026" style="position:absolute;margin-left:0;margin-top:-18pt;width:1in;height:1in;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" fillcolor="#800040" stroked="f" strokecolor="#4a7ebb" strokeweight="1.5pt">
                <v:shadow opacity="22938f" offset="0"/>
                <v:textbox inset=",7.2pt,,7.2pt"/>
              </v:oval>
            </w:pict>
          </mc:Fallback>
        </mc:AlternateContent>
      </w: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28"/>
        </w:rPr>
      </w:pPr>
    </w:p>
    <w:p w:rsidR="00B75970" w:rsidRPr="00716D86" w:rsidRDefault="00B75970" w:rsidP="00B75970">
      <w:pPr>
        <w:tabs>
          <w:tab w:val="left" w:pos="1220"/>
        </w:tabs>
        <w:rPr>
          <w:rFonts w:ascii="Florencesans Exp" w:eastAsia="Cambria" w:hAnsi="Florencesans Exp" w:cs="Times New Roman"/>
          <w:b/>
          <w:color w:val="800040"/>
          <w:sz w:val="48"/>
        </w:rPr>
      </w:pPr>
      <w:r w:rsidRPr="00716D86">
        <w:rPr>
          <w:rFonts w:ascii="Florencesans Exp" w:eastAsia="Cambria" w:hAnsi="Florencesans Exp" w:cs="Times New Roman"/>
          <w:b/>
          <w:color w:val="800040"/>
          <w:sz w:val="48"/>
        </w:rPr>
        <w:t>CONDITIONS DE SANTE ET DE SECURITE</w:t>
      </w: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r w:rsidRPr="00EB6E0B">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00576" behindDoc="0" locked="0" layoutInCell="1" allowOverlap="1" wp14:anchorId="4DBA47F5" wp14:editId="7E6755EC">
                <wp:simplePos x="0" y="0"/>
                <wp:positionH relativeFrom="column">
                  <wp:posOffset>3426460</wp:posOffset>
                </wp:positionH>
                <wp:positionV relativeFrom="paragraph">
                  <wp:posOffset>205105</wp:posOffset>
                </wp:positionV>
                <wp:extent cx="2943225" cy="6267450"/>
                <wp:effectExtent l="0" t="0" r="28575" b="19050"/>
                <wp:wrapTight wrapText="bothSides">
                  <wp:wrapPolygon edited="0">
                    <wp:start x="0" y="0"/>
                    <wp:lineTo x="0" y="21600"/>
                    <wp:lineTo x="21670" y="21600"/>
                    <wp:lineTo x="21670" y="0"/>
                    <wp:lineTo x="0" y="0"/>
                  </wp:wrapPolygon>
                </wp:wrapTight>
                <wp:docPr id="222"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6267450"/>
                        </a:xfrm>
                        <a:prstGeom prst="rect">
                          <a:avLst/>
                        </a:prstGeom>
                        <a:noFill/>
                        <a:ln w="19050">
                          <a:solidFill>
                            <a:srgbClr val="808080"/>
                          </a:solidFill>
                          <a:miter lim="800000"/>
                          <a:headEnd/>
                          <a:tailEnd/>
                        </a:ln>
                        <a:effectLst/>
                        <a:extLst>
                          <a:ext uri="{909E8E84-426E-40DD-AFC4-6F175D3DCCD1}">
                            <a14:hiddenFill xmlns:a14="http://schemas.microsoft.com/office/drawing/2010/main">
                              <a:solidFill>
                                <a:srgbClr val="008080">
                                  <a:alpha val="39999"/>
                                </a:srgbClr>
                              </a:soli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7B1397" w:rsidRDefault="007B1397" w:rsidP="00B75970">
                            <w:pPr>
                              <w:jc w:val="center"/>
                              <w:rPr>
                                <w:b/>
                              </w:rPr>
                            </w:pPr>
                          </w:p>
                          <w:p w:rsidR="007B1397" w:rsidRPr="00C5096D" w:rsidRDefault="007B1397" w:rsidP="00B75970">
                            <w:pPr>
                              <w:jc w:val="center"/>
                              <w:rPr>
                                <w:rFonts w:ascii="Arial" w:hAnsi="Arial"/>
                                <w:b/>
                                <w:color w:val="800040"/>
                                <w:sz w:val="32"/>
                              </w:rPr>
                            </w:pPr>
                            <w:r w:rsidRPr="003E35AC">
                              <w:rPr>
                                <w:rFonts w:ascii="Arial" w:hAnsi="Arial"/>
                                <w:b/>
                                <w:color w:val="800040"/>
                                <w:sz w:val="32"/>
                              </w:rPr>
                              <w:t>Chiffres clés</w:t>
                            </w:r>
                          </w:p>
                          <w:p w:rsidR="007B1397" w:rsidRDefault="007B1397" w:rsidP="00B75970">
                            <w:pPr>
                              <w:jc w:val="center"/>
                              <w:rPr>
                                <w:rFonts w:ascii="Arial" w:hAnsi="Arial"/>
                                <w:b/>
                                <w:color w:val="FF8000"/>
                              </w:rPr>
                            </w:pPr>
                          </w:p>
                          <w:p w:rsidR="007B1397" w:rsidRPr="00CB5F30" w:rsidRDefault="007B1397" w:rsidP="00B75970">
                            <w:pPr>
                              <w:jc w:val="center"/>
                              <w:rPr>
                                <w:rFonts w:ascii="Arial" w:hAnsi="Arial"/>
                                <w:b/>
                                <w:color w:val="FF8000"/>
                              </w:rPr>
                            </w:pPr>
                          </w:p>
                          <w:p w:rsidR="007B1397" w:rsidRDefault="007B1397" w:rsidP="00B75970">
                            <w:pPr>
                              <w:jc w:val="center"/>
                              <w:rPr>
                                <w:rFonts w:ascii="Arial" w:hAnsi="Arial"/>
                                <w:b/>
                              </w:rPr>
                            </w:pPr>
                            <w:r>
                              <w:rPr>
                                <w:rFonts w:ascii="Arial" w:hAnsi="Arial"/>
                                <w:b/>
                                <w:color w:val="800040"/>
                                <w:sz w:val="32"/>
                              </w:rPr>
                              <w:t>2 120</w:t>
                            </w:r>
                            <w:r>
                              <w:rPr>
                                <w:rFonts w:ascii="Arial" w:hAnsi="Arial"/>
                                <w:b/>
                              </w:rPr>
                              <w:t xml:space="preserve"> visites en médecine de prévention</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1 108</w:t>
                            </w:r>
                            <w:r>
                              <w:rPr>
                                <w:rFonts w:ascii="Arial" w:hAnsi="Arial"/>
                                <w:b/>
                              </w:rPr>
                              <w:t xml:space="preserve"> visites en médecine de prévention réalisées en administration centrale</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1 012</w:t>
                            </w:r>
                            <w:r>
                              <w:rPr>
                                <w:rFonts w:ascii="Arial" w:hAnsi="Arial"/>
                                <w:b/>
                              </w:rPr>
                              <w:t xml:space="preserve"> visites en médecine de prévention réalisées hors administration centrale</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61</w:t>
                            </w:r>
                            <w:r w:rsidRPr="0086617C">
                              <w:rPr>
                                <w:rFonts w:ascii="Arial" w:hAnsi="Arial"/>
                                <w:b/>
                                <w:color w:val="800040"/>
                                <w:sz w:val="32"/>
                              </w:rPr>
                              <w:t>%</w:t>
                            </w:r>
                            <w:r>
                              <w:rPr>
                                <w:rFonts w:ascii="Arial" w:hAnsi="Arial"/>
                                <w:b/>
                              </w:rPr>
                              <w:t xml:space="preserve"> des accidents du travail reconnus en 2013 sont dits «accidents de service»</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36</w:t>
                            </w:r>
                            <w:r w:rsidRPr="0086617C">
                              <w:rPr>
                                <w:rFonts w:ascii="Arial" w:hAnsi="Arial"/>
                                <w:b/>
                                <w:color w:val="800040"/>
                                <w:sz w:val="32"/>
                              </w:rPr>
                              <w:t>%</w:t>
                            </w:r>
                            <w:r>
                              <w:rPr>
                                <w:rFonts w:ascii="Arial" w:hAnsi="Arial"/>
                                <w:b/>
                              </w:rPr>
                              <w:t xml:space="preserve"> sont des accidents de trajet</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3</w:t>
                            </w:r>
                            <w:r w:rsidRPr="009A4107">
                              <w:rPr>
                                <w:rFonts w:ascii="Arial" w:hAnsi="Arial"/>
                                <w:b/>
                                <w:color w:val="800040"/>
                                <w:sz w:val="32"/>
                              </w:rPr>
                              <w:t>%</w:t>
                            </w:r>
                            <w:r>
                              <w:rPr>
                                <w:rFonts w:ascii="Arial" w:hAnsi="Arial"/>
                                <w:b/>
                              </w:rPr>
                              <w:t xml:space="preserve"> sont des accidents de mission</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rPr>
                              <w:t xml:space="preserve">Le CHSCT ministériel s’est réuni </w:t>
                            </w:r>
                          </w:p>
                          <w:p w:rsidR="007B1397" w:rsidRPr="009A4107" w:rsidRDefault="007B1397" w:rsidP="00B75970">
                            <w:pPr>
                              <w:jc w:val="center"/>
                              <w:rPr>
                                <w:rFonts w:ascii="Arial" w:hAnsi="Arial"/>
                                <w:b/>
                                <w:color w:val="800040"/>
                                <w:sz w:val="32"/>
                              </w:rPr>
                            </w:pPr>
                            <w:r>
                              <w:rPr>
                                <w:rFonts w:ascii="Arial" w:hAnsi="Arial"/>
                                <w:b/>
                                <w:color w:val="800040"/>
                                <w:sz w:val="32"/>
                              </w:rPr>
                              <w:t>5</w:t>
                            </w:r>
                            <w:r w:rsidRPr="009A4107">
                              <w:rPr>
                                <w:rFonts w:ascii="Arial" w:hAnsi="Arial"/>
                                <w:b/>
                                <w:color w:val="800040"/>
                                <w:sz w:val="32"/>
                              </w:rPr>
                              <w:t xml:space="preserve"> fois</w:t>
                            </w:r>
                          </w:p>
                          <w:p w:rsidR="007B1397" w:rsidRDefault="007B1397" w:rsidP="00B75970">
                            <w:pPr>
                              <w:jc w:val="center"/>
                              <w:rPr>
                                <w:rFonts w:ascii="Arial" w:hAnsi="Arial"/>
                                <w:b/>
                              </w:rPr>
                            </w:pPr>
                          </w:p>
                          <w:p w:rsidR="007B1397" w:rsidRPr="00CB5F30" w:rsidRDefault="007B1397" w:rsidP="00B75970">
                            <w:pPr>
                              <w:jc w:val="center"/>
                              <w:rPr>
                                <w:rFonts w:ascii="Arial" w:hAnsi="Arial"/>
                                <w:b/>
                              </w:rPr>
                            </w:pPr>
                            <w:r>
                              <w:rPr>
                                <w:rFonts w:ascii="Arial" w:hAnsi="Arial"/>
                                <w:b/>
                              </w:rPr>
                              <w:t xml:space="preserve">Le CHSCT d’administration centrale s’est réuni </w:t>
                            </w:r>
                            <w:r>
                              <w:rPr>
                                <w:rFonts w:ascii="Arial" w:hAnsi="Arial"/>
                                <w:b/>
                                <w:color w:val="800040"/>
                                <w:sz w:val="32"/>
                              </w:rPr>
                              <w:t>5</w:t>
                            </w:r>
                            <w:r w:rsidRPr="009A4107">
                              <w:rPr>
                                <w:rFonts w:ascii="Arial" w:hAnsi="Arial"/>
                                <w:b/>
                                <w:color w:val="800040"/>
                                <w:sz w:val="32"/>
                              </w:rPr>
                              <w:t xml:space="preserve"> fois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BA47F5" id="Rectangle 222" o:spid="_x0000_s1078" style="position:absolute;margin-left:269.8pt;margin-top:16.15pt;width:231.75pt;height:49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" filled="f" fillcolor="teal" strokecolor="gray" strokeweight="1.5pt">
                <v:fill opacity="26214f"/>
                <v:shadow opacity="22938f" offset="0"/>
                <v:textbox inset=",7.2pt,,7.2pt">
                  <w:txbxContent>
                    <w:p w:rsidR="007B1397" w:rsidRDefault="007B1397" w:rsidP="00B75970">
                      <w:pPr>
                        <w:jc w:val="center"/>
                        <w:rPr>
                          <w:b/>
                        </w:rPr>
                      </w:pPr>
                    </w:p>
                    <w:p w:rsidR="007B1397" w:rsidRPr="00C5096D" w:rsidRDefault="007B1397" w:rsidP="00B75970">
                      <w:pPr>
                        <w:jc w:val="center"/>
                        <w:rPr>
                          <w:rFonts w:ascii="Arial" w:hAnsi="Arial"/>
                          <w:b/>
                          <w:color w:val="800040"/>
                          <w:sz w:val="32"/>
                        </w:rPr>
                      </w:pPr>
                      <w:r w:rsidRPr="003E35AC">
                        <w:rPr>
                          <w:rFonts w:ascii="Arial" w:hAnsi="Arial"/>
                          <w:b/>
                          <w:color w:val="800040"/>
                          <w:sz w:val="32"/>
                        </w:rPr>
                        <w:t>Chiffres clés</w:t>
                      </w:r>
                    </w:p>
                    <w:p w:rsidR="007B1397" w:rsidRDefault="007B1397" w:rsidP="00B75970">
                      <w:pPr>
                        <w:jc w:val="center"/>
                        <w:rPr>
                          <w:rFonts w:ascii="Arial" w:hAnsi="Arial"/>
                          <w:b/>
                          <w:color w:val="FF8000"/>
                        </w:rPr>
                      </w:pPr>
                    </w:p>
                    <w:p w:rsidR="007B1397" w:rsidRPr="00CB5F30" w:rsidRDefault="007B1397" w:rsidP="00B75970">
                      <w:pPr>
                        <w:jc w:val="center"/>
                        <w:rPr>
                          <w:rFonts w:ascii="Arial" w:hAnsi="Arial"/>
                          <w:b/>
                          <w:color w:val="FF8000"/>
                        </w:rPr>
                      </w:pPr>
                    </w:p>
                    <w:p w:rsidR="007B1397" w:rsidRDefault="007B1397" w:rsidP="00B75970">
                      <w:pPr>
                        <w:jc w:val="center"/>
                        <w:rPr>
                          <w:rFonts w:ascii="Arial" w:hAnsi="Arial"/>
                          <w:b/>
                        </w:rPr>
                      </w:pPr>
                      <w:r>
                        <w:rPr>
                          <w:rFonts w:ascii="Arial" w:hAnsi="Arial"/>
                          <w:b/>
                          <w:color w:val="800040"/>
                          <w:sz w:val="32"/>
                        </w:rPr>
                        <w:t>2 120</w:t>
                      </w:r>
                      <w:r>
                        <w:rPr>
                          <w:rFonts w:ascii="Arial" w:hAnsi="Arial"/>
                          <w:b/>
                        </w:rPr>
                        <w:t xml:space="preserve"> visites en médecine de prévention</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1 108</w:t>
                      </w:r>
                      <w:r>
                        <w:rPr>
                          <w:rFonts w:ascii="Arial" w:hAnsi="Arial"/>
                          <w:b/>
                        </w:rPr>
                        <w:t xml:space="preserve"> visites en médecine de prévention réalisées en administration centrale</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1 012</w:t>
                      </w:r>
                      <w:r>
                        <w:rPr>
                          <w:rFonts w:ascii="Arial" w:hAnsi="Arial"/>
                          <w:b/>
                        </w:rPr>
                        <w:t xml:space="preserve"> visites en médecine de prévention réalisées hors administration centrale</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61</w:t>
                      </w:r>
                      <w:r w:rsidRPr="0086617C">
                        <w:rPr>
                          <w:rFonts w:ascii="Arial" w:hAnsi="Arial"/>
                          <w:b/>
                          <w:color w:val="800040"/>
                          <w:sz w:val="32"/>
                        </w:rPr>
                        <w:t>%</w:t>
                      </w:r>
                      <w:r>
                        <w:rPr>
                          <w:rFonts w:ascii="Arial" w:hAnsi="Arial"/>
                          <w:b/>
                        </w:rPr>
                        <w:t xml:space="preserve"> des accidents du travail reconnus en 2013 sont dits «accidents de service»</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36</w:t>
                      </w:r>
                      <w:r w:rsidRPr="0086617C">
                        <w:rPr>
                          <w:rFonts w:ascii="Arial" w:hAnsi="Arial"/>
                          <w:b/>
                          <w:color w:val="800040"/>
                          <w:sz w:val="32"/>
                        </w:rPr>
                        <w:t>%</w:t>
                      </w:r>
                      <w:r>
                        <w:rPr>
                          <w:rFonts w:ascii="Arial" w:hAnsi="Arial"/>
                          <w:b/>
                        </w:rPr>
                        <w:t xml:space="preserve"> sont des accidents de trajet</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color w:val="800040"/>
                          <w:sz w:val="32"/>
                        </w:rPr>
                        <w:t>3</w:t>
                      </w:r>
                      <w:r w:rsidRPr="009A4107">
                        <w:rPr>
                          <w:rFonts w:ascii="Arial" w:hAnsi="Arial"/>
                          <w:b/>
                          <w:color w:val="800040"/>
                          <w:sz w:val="32"/>
                        </w:rPr>
                        <w:t>%</w:t>
                      </w:r>
                      <w:r>
                        <w:rPr>
                          <w:rFonts w:ascii="Arial" w:hAnsi="Arial"/>
                          <w:b/>
                        </w:rPr>
                        <w:t xml:space="preserve"> sont des accidents de mission</w:t>
                      </w:r>
                    </w:p>
                    <w:p w:rsidR="007B1397" w:rsidRDefault="007B1397" w:rsidP="00B75970">
                      <w:pPr>
                        <w:jc w:val="center"/>
                        <w:rPr>
                          <w:rFonts w:ascii="Arial" w:hAnsi="Arial"/>
                          <w:b/>
                        </w:rPr>
                      </w:pPr>
                    </w:p>
                    <w:p w:rsidR="007B1397" w:rsidRDefault="007B1397" w:rsidP="00B75970">
                      <w:pPr>
                        <w:jc w:val="center"/>
                        <w:rPr>
                          <w:rFonts w:ascii="Arial" w:hAnsi="Arial"/>
                          <w:b/>
                        </w:rPr>
                      </w:pPr>
                      <w:r>
                        <w:rPr>
                          <w:rFonts w:ascii="Arial" w:hAnsi="Arial"/>
                          <w:b/>
                        </w:rPr>
                        <w:t xml:space="preserve">Le CHSCT ministériel s’est réuni </w:t>
                      </w:r>
                    </w:p>
                    <w:p w:rsidR="007B1397" w:rsidRPr="009A4107" w:rsidRDefault="007B1397" w:rsidP="00B75970">
                      <w:pPr>
                        <w:jc w:val="center"/>
                        <w:rPr>
                          <w:rFonts w:ascii="Arial" w:hAnsi="Arial"/>
                          <w:b/>
                          <w:color w:val="800040"/>
                          <w:sz w:val="32"/>
                        </w:rPr>
                      </w:pPr>
                      <w:r>
                        <w:rPr>
                          <w:rFonts w:ascii="Arial" w:hAnsi="Arial"/>
                          <w:b/>
                          <w:color w:val="800040"/>
                          <w:sz w:val="32"/>
                        </w:rPr>
                        <w:t>5</w:t>
                      </w:r>
                      <w:r w:rsidRPr="009A4107">
                        <w:rPr>
                          <w:rFonts w:ascii="Arial" w:hAnsi="Arial"/>
                          <w:b/>
                          <w:color w:val="800040"/>
                          <w:sz w:val="32"/>
                        </w:rPr>
                        <w:t xml:space="preserve"> fois</w:t>
                      </w:r>
                    </w:p>
                    <w:p w:rsidR="007B1397" w:rsidRDefault="007B1397" w:rsidP="00B75970">
                      <w:pPr>
                        <w:jc w:val="center"/>
                        <w:rPr>
                          <w:rFonts w:ascii="Arial" w:hAnsi="Arial"/>
                          <w:b/>
                        </w:rPr>
                      </w:pPr>
                    </w:p>
                    <w:p w:rsidR="007B1397" w:rsidRPr="00CB5F30" w:rsidRDefault="007B1397" w:rsidP="00B75970">
                      <w:pPr>
                        <w:jc w:val="center"/>
                        <w:rPr>
                          <w:rFonts w:ascii="Arial" w:hAnsi="Arial"/>
                          <w:b/>
                        </w:rPr>
                      </w:pPr>
                      <w:r>
                        <w:rPr>
                          <w:rFonts w:ascii="Arial" w:hAnsi="Arial"/>
                          <w:b/>
                        </w:rPr>
                        <w:t xml:space="preserve">Le CHSCT d’administration centrale s’est réuni </w:t>
                      </w:r>
                      <w:r>
                        <w:rPr>
                          <w:rFonts w:ascii="Arial" w:hAnsi="Arial"/>
                          <w:b/>
                          <w:color w:val="800040"/>
                          <w:sz w:val="32"/>
                        </w:rPr>
                        <w:t>5</w:t>
                      </w:r>
                      <w:r w:rsidRPr="009A4107">
                        <w:rPr>
                          <w:rFonts w:ascii="Arial" w:hAnsi="Arial"/>
                          <w:b/>
                          <w:color w:val="800040"/>
                          <w:sz w:val="32"/>
                        </w:rPr>
                        <w:t xml:space="preserve"> fois</w:t>
                      </w:r>
                    </w:p>
                  </w:txbxContent>
                </v:textbox>
                <w10:wrap type="tight"/>
              </v:rect>
            </w:pict>
          </mc:Fallback>
        </mc:AlternateContent>
      </w:r>
      <w:r w:rsidRPr="00EB6E0B">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01600" behindDoc="0" locked="0" layoutInCell="1" allowOverlap="1" wp14:anchorId="5D58295B" wp14:editId="1A37742F">
                <wp:simplePos x="0" y="0"/>
                <wp:positionH relativeFrom="column">
                  <wp:posOffset>0</wp:posOffset>
                </wp:positionH>
                <wp:positionV relativeFrom="paragraph">
                  <wp:posOffset>308610</wp:posOffset>
                </wp:positionV>
                <wp:extent cx="2971800" cy="5715000"/>
                <wp:effectExtent l="0" t="4445" r="3810" b="0"/>
                <wp:wrapTight wrapText="bothSides">
                  <wp:wrapPolygon edited="0">
                    <wp:start x="0" y="0"/>
                    <wp:lineTo x="21600" y="0"/>
                    <wp:lineTo x="21600" y="21600"/>
                    <wp:lineTo x="0" y="21600"/>
                    <wp:lineTo x="0" y="0"/>
                  </wp:wrapPolygon>
                </wp:wrapTight>
                <wp:docPr id="223" name="Zone de texte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227F0C" w:rsidRDefault="007B1397" w:rsidP="00B75970">
                            <w:pPr>
                              <w:jc w:val="both"/>
                              <w:rPr>
                                <w:rFonts w:ascii="Arial" w:hAnsi="Arial"/>
                                <w:sz w:val="22"/>
                                <w:szCs w:val="22"/>
                              </w:rPr>
                            </w:pPr>
                            <w:r w:rsidRPr="00227F0C">
                              <w:rPr>
                                <w:rFonts w:ascii="Arial" w:hAnsi="Arial"/>
                                <w:sz w:val="22"/>
                                <w:szCs w:val="22"/>
                              </w:rPr>
                              <w:t>L’investigation du lien santé – travail est au cœur des orientations prises par la politique de santé au travail impulsée par l’équipe de médecine de prévention.</w:t>
                            </w:r>
                          </w:p>
                          <w:p w:rsidR="007B1397" w:rsidRPr="00227F0C" w:rsidRDefault="007B1397" w:rsidP="00B75970">
                            <w:pPr>
                              <w:jc w:val="both"/>
                              <w:rPr>
                                <w:rFonts w:ascii="Arial" w:hAnsi="Arial"/>
                                <w:sz w:val="22"/>
                                <w:szCs w:val="22"/>
                              </w:rPr>
                            </w:pPr>
                          </w:p>
                          <w:p w:rsidR="007B1397" w:rsidRPr="00B75970" w:rsidRDefault="007B1397" w:rsidP="00B75970">
                            <w:pPr>
                              <w:jc w:val="both"/>
                              <w:rPr>
                                <w:rFonts w:ascii="Arial" w:hAnsi="Arial"/>
                                <w:sz w:val="22"/>
                                <w:szCs w:val="22"/>
                              </w:rPr>
                            </w:pPr>
                            <w:r w:rsidRPr="00227F0C">
                              <w:rPr>
                                <w:rFonts w:ascii="Arial" w:hAnsi="Arial"/>
                                <w:sz w:val="22"/>
                                <w:szCs w:val="22"/>
                              </w:rPr>
                              <w:t>La présence régulière d’un psychologue du travail renforce la pluridisciplinarité de l’équipe de médecine de prévention qui a été prise en compte conformément aux préconisations du décret n° 2011-774 du 28 juin 2011 portant modification du décret n° 82-453 du 28 mai 1982 relatif à l’hygiène et à la sécurité du travail ainsi qu’à la prévention médicale de la fonction publique. Cette pluridisciplinarité trouve également à se développer dans les travaux du groupe de prévention des RPS réunissant mensuellement médecins, infirmières, psychologue du travail, membres de la cellule mobilité, correspondantes handicaps ministérielles, membres du bureau de</w:t>
                            </w:r>
                            <w:r w:rsidRPr="00227F0C">
                              <w:rPr>
                                <w:rFonts w:ascii="Arial" w:hAnsi="Arial"/>
                              </w:rPr>
                              <w:t xml:space="preserve"> </w:t>
                            </w:r>
                            <w:r w:rsidRPr="00227F0C">
                              <w:rPr>
                                <w:rFonts w:ascii="Arial" w:hAnsi="Arial"/>
                                <w:sz w:val="22"/>
                                <w:szCs w:val="22"/>
                              </w:rPr>
                              <w:t>l’action sociale et de la prévention et des bureaux de gestion.</w:t>
                            </w:r>
                          </w:p>
                          <w:p w:rsidR="007B1397" w:rsidRDefault="007B1397" w:rsidP="00B75970">
                            <w:pPr>
                              <w:jc w:val="both"/>
                              <w:rPr>
                                <w:rFonts w:ascii="Arial" w:hAnsi="Arial"/>
                              </w:rPr>
                            </w:pPr>
                          </w:p>
                          <w:p w:rsidR="007B1397" w:rsidRDefault="007B1397" w:rsidP="00B75970">
                            <w:pPr>
                              <w:jc w:val="both"/>
                              <w:rPr>
                                <w:rFonts w:ascii="Arial" w:hAnsi="Arial"/>
                              </w:rPr>
                            </w:pPr>
                          </w:p>
                          <w:p w:rsidR="007B1397" w:rsidRPr="00191B7B" w:rsidRDefault="007B1397" w:rsidP="00B75970">
                            <w:pPr>
                              <w:jc w:val="both"/>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8295B" id="Zone de texte 223" o:spid="_x0000_s1079" type="#_x0000_t202" style="position:absolute;margin-left:0;margin-top:24.3pt;width:234pt;height:450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" filled="f" stroked="f">
                <v:textbox inset=",7.2pt,,7.2pt">
                  <w:txbxContent>
                    <w:p w:rsidR="007B1397" w:rsidRPr="00227F0C" w:rsidRDefault="007B1397" w:rsidP="00B75970">
                      <w:pPr>
                        <w:jc w:val="both"/>
                        <w:rPr>
                          <w:rFonts w:ascii="Arial" w:hAnsi="Arial"/>
                          <w:sz w:val="22"/>
                          <w:szCs w:val="22"/>
                        </w:rPr>
                      </w:pPr>
                      <w:r w:rsidRPr="00227F0C">
                        <w:rPr>
                          <w:rFonts w:ascii="Arial" w:hAnsi="Arial"/>
                          <w:sz w:val="22"/>
                          <w:szCs w:val="22"/>
                        </w:rPr>
                        <w:t>L’investigation du lien santé – travail est au cœur des orientations prises par la politique de santé au travail impulsée par l’équipe de médecine de prévention.</w:t>
                      </w:r>
                    </w:p>
                    <w:p w:rsidR="007B1397" w:rsidRPr="00227F0C" w:rsidRDefault="007B1397" w:rsidP="00B75970">
                      <w:pPr>
                        <w:jc w:val="both"/>
                        <w:rPr>
                          <w:rFonts w:ascii="Arial" w:hAnsi="Arial"/>
                          <w:sz w:val="22"/>
                          <w:szCs w:val="22"/>
                        </w:rPr>
                      </w:pPr>
                    </w:p>
                    <w:p w:rsidR="007B1397" w:rsidRPr="00B75970" w:rsidRDefault="007B1397" w:rsidP="00B75970">
                      <w:pPr>
                        <w:jc w:val="both"/>
                        <w:rPr>
                          <w:rFonts w:ascii="Arial" w:hAnsi="Arial"/>
                          <w:sz w:val="22"/>
                          <w:szCs w:val="22"/>
                        </w:rPr>
                      </w:pPr>
                      <w:r w:rsidRPr="00227F0C">
                        <w:rPr>
                          <w:rFonts w:ascii="Arial" w:hAnsi="Arial"/>
                          <w:sz w:val="22"/>
                          <w:szCs w:val="22"/>
                        </w:rPr>
                        <w:t>La présence régulière d’un psychologue du travail renforce la pluridisciplinarité de l’équipe de médecine de prévention qui a été prise en compte conformément aux préconisations du décret n° 2011-774 du 28 juin 2011 portant modification du décret n° 82-453 du 28 mai 1982 relatif à l’hygiène et à la sécurité du travail ainsi qu’à la prévention médicale de la fonction publique. Cette pluridisciplinarité trouve également à se développer dans les travaux du groupe de prévention des RPS réunissant mensuellement médecins, infirmières, psychologue du travail, membres de la cellule mobilité, correspondantes handicaps ministérielles, membres du bureau de</w:t>
                      </w:r>
                      <w:r w:rsidRPr="00227F0C">
                        <w:rPr>
                          <w:rFonts w:ascii="Arial" w:hAnsi="Arial"/>
                        </w:rPr>
                        <w:t xml:space="preserve"> </w:t>
                      </w:r>
                      <w:r w:rsidRPr="00227F0C">
                        <w:rPr>
                          <w:rFonts w:ascii="Arial" w:hAnsi="Arial"/>
                          <w:sz w:val="22"/>
                          <w:szCs w:val="22"/>
                        </w:rPr>
                        <w:t>l’action sociale et de la prévention et des bureaux de gestion.</w:t>
                      </w:r>
                    </w:p>
                    <w:p w:rsidR="007B1397" w:rsidRDefault="007B1397" w:rsidP="00B75970">
                      <w:pPr>
                        <w:jc w:val="both"/>
                        <w:rPr>
                          <w:rFonts w:ascii="Arial" w:hAnsi="Arial"/>
                        </w:rPr>
                      </w:pPr>
                    </w:p>
                    <w:p w:rsidR="007B1397" w:rsidRDefault="007B1397" w:rsidP="00B75970">
                      <w:pPr>
                        <w:jc w:val="both"/>
                        <w:rPr>
                          <w:rFonts w:ascii="Arial" w:hAnsi="Arial"/>
                        </w:rPr>
                      </w:pPr>
                    </w:p>
                    <w:p w:rsidR="007B1397" w:rsidRPr="00191B7B" w:rsidRDefault="007B1397" w:rsidP="00B75970">
                      <w:pPr>
                        <w:jc w:val="both"/>
                        <w:rPr>
                          <w:rFonts w:ascii="Arial" w:hAnsi="Arial"/>
                        </w:rPr>
                      </w:pPr>
                    </w:p>
                  </w:txbxContent>
                </v:textbox>
                <w10:wrap type="tight"/>
              </v:shape>
            </w:pict>
          </mc:Fallback>
        </mc:AlternateContent>
      </w: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sectPr w:rsidR="00B75970" w:rsidRPr="00EB6E0B" w:rsidSect="000A142C">
          <w:headerReference w:type="even" r:id="rId181"/>
          <w:headerReference w:type="default" r:id="rId182"/>
          <w:footerReference w:type="default" r:id="rId183"/>
          <w:headerReference w:type="first" r:id="rId184"/>
          <w:footerReference w:type="first" r:id="rId185"/>
          <w:pgSz w:w="11900" w:h="16840"/>
          <w:pgMar w:top="1077" w:right="1134" w:bottom="1077" w:left="1134" w:header="709" w:footer="709" w:gutter="0"/>
          <w:cols w:space="708"/>
          <w:titlePg/>
        </w:sect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Pr="00EB6E0B" w:rsidRDefault="00B75970" w:rsidP="00B75970">
      <w:pPr>
        <w:tabs>
          <w:tab w:val="left" w:pos="1220"/>
        </w:tabs>
        <w:rPr>
          <w:rFonts w:ascii="BlairMdITC TT-Medium" w:eastAsia="Cambria" w:hAnsi="BlairMdITC TT-Medium" w:cs="Times New Roman"/>
          <w:b/>
          <w:color w:val="800000"/>
          <w:sz w:val="48"/>
        </w:rPr>
      </w:pPr>
    </w:p>
    <w:p w:rsidR="00B75970" w:rsidRDefault="00B75970" w:rsidP="00B75970">
      <w:pPr>
        <w:rPr>
          <w:rFonts w:ascii="BlairMdITC TT-Medium" w:eastAsia="Cambria" w:hAnsi="BlairMdITC TT-Medium" w:cs="Times New Roman"/>
          <w:b/>
          <w:color w:val="800000"/>
          <w:sz w:val="48"/>
        </w:rPr>
      </w:pPr>
      <w:r>
        <w:rPr>
          <w:rFonts w:ascii="BlairMdITC TT-Medium" w:eastAsia="Cambria" w:hAnsi="BlairMdITC TT-Medium" w:cs="Times New Roman"/>
          <w:b/>
          <w:color w:val="800000"/>
          <w:sz w:val="48"/>
        </w:rPr>
        <w:br w:type="page"/>
      </w:r>
    </w:p>
    <w:p w:rsidR="00893B48" w:rsidRDefault="00893B48" w:rsidP="00B75970">
      <w:pPr>
        <w:tabs>
          <w:tab w:val="left" w:pos="1220"/>
        </w:tabs>
        <w:rPr>
          <w:rFonts w:ascii="Florencesans Exp" w:eastAsia="Cambria" w:hAnsi="Florencesans Exp" w:cs="Times New Roman"/>
          <w:b/>
          <w:color w:val="800040"/>
          <w:sz w:val="28"/>
        </w:rPr>
      </w:pPr>
    </w:p>
    <w:p w:rsidR="00B75970" w:rsidRPr="00716D86" w:rsidRDefault="00B75970" w:rsidP="00B75970">
      <w:pPr>
        <w:tabs>
          <w:tab w:val="left" w:pos="1220"/>
        </w:tabs>
        <w:rPr>
          <w:rFonts w:ascii="Florencesans Exp" w:eastAsia="Cambria" w:hAnsi="Florencesans Exp" w:cs="Times New Roman"/>
          <w:b/>
          <w:color w:val="800040"/>
          <w:sz w:val="28"/>
        </w:rPr>
      </w:pPr>
      <w:r w:rsidRPr="00893B48">
        <w:rPr>
          <w:rFonts w:ascii="Florencesans Exp" w:eastAsia="Cambria" w:hAnsi="Florencesans Exp" w:cs="Times New Roman"/>
          <w:b/>
          <w:color w:val="800040"/>
          <w:sz w:val="28"/>
        </w:rPr>
        <w:t>4. A. LA MEDECINE DE PREVENTION</w:t>
      </w:r>
    </w:p>
    <w:p w:rsidR="00B75970" w:rsidRPr="00EB6E0B" w:rsidRDefault="00B75970" w:rsidP="00B75970">
      <w:pPr>
        <w:tabs>
          <w:tab w:val="left" w:pos="1220"/>
        </w:tabs>
        <w:rPr>
          <w:rFonts w:ascii="BlairMdITC TT-Medium" w:eastAsia="Cambria" w:hAnsi="BlairMdITC TT-Medium" w:cs="Times New Roman"/>
          <w:b/>
          <w:color w:val="800040"/>
          <w:sz w:val="28"/>
        </w:rPr>
      </w:pPr>
    </w:p>
    <w:p w:rsidR="00B75970" w:rsidRPr="00B75970" w:rsidRDefault="00227F0C" w:rsidP="00B75970">
      <w:pPr>
        <w:widowControl w:val="0"/>
        <w:autoSpaceDE w:val="0"/>
        <w:autoSpaceDN w:val="0"/>
        <w:adjustRightInd w:val="0"/>
        <w:jc w:val="both"/>
        <w:rPr>
          <w:rFonts w:ascii="Arial" w:eastAsia="Cambria" w:hAnsi="Arial" w:cs="Times"/>
          <w:color w:val="000000"/>
          <w:sz w:val="22"/>
          <w:szCs w:val="22"/>
        </w:rPr>
      </w:pPr>
      <w:r w:rsidRPr="00B75970">
        <w:rPr>
          <w:rFonts w:ascii="Arial" w:eastAsia="Cambria" w:hAnsi="Arial" w:cs="Times"/>
          <w:color w:val="000000"/>
          <w:sz w:val="22"/>
          <w:szCs w:val="22"/>
        </w:rPr>
        <w:t>Au-delà</w:t>
      </w:r>
      <w:r w:rsidR="00B75970" w:rsidRPr="00B75970">
        <w:rPr>
          <w:rFonts w:ascii="Arial" w:eastAsia="Cambria" w:hAnsi="Arial" w:cs="Times"/>
          <w:color w:val="000000"/>
          <w:sz w:val="22"/>
          <w:szCs w:val="22"/>
        </w:rPr>
        <w:t xml:space="preserve"> des missions qu’il convient de rappeler, la médecine de prévention se structure et s’organise au sein du ministère sur des axes et des moyens qui ont été posés dans le cadre du comité d’hygiène et de sécurité ministériel (CHSM) du 26 novembre 2010.</w:t>
      </w: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B75970" w:rsidRDefault="00B75970" w:rsidP="00B75970">
      <w:pPr>
        <w:widowControl w:val="0"/>
        <w:autoSpaceDE w:val="0"/>
        <w:autoSpaceDN w:val="0"/>
        <w:adjustRightInd w:val="0"/>
        <w:jc w:val="both"/>
        <w:rPr>
          <w:rFonts w:ascii="Arial" w:eastAsia="Cambria" w:hAnsi="Arial" w:cs="Times"/>
          <w:b/>
          <w:color w:val="800040"/>
          <w:sz w:val="22"/>
          <w:szCs w:val="22"/>
          <w:u w:color="000000"/>
        </w:rPr>
      </w:pPr>
      <w:r w:rsidRPr="00B75970">
        <w:rPr>
          <w:rFonts w:ascii="Arial" w:eastAsia="Cambria" w:hAnsi="Arial" w:cs="Times"/>
          <w:b/>
          <w:color w:val="800040"/>
          <w:sz w:val="22"/>
          <w:szCs w:val="22"/>
          <w:u w:color="000000"/>
        </w:rPr>
        <w:t>Missions</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val="single" w:color="000000"/>
        </w:rPr>
      </w:pPr>
    </w:p>
    <w:p w:rsidR="00B75970" w:rsidRPr="00B75970" w:rsidRDefault="00B75970" w:rsidP="00B75970">
      <w:pPr>
        <w:widowControl w:val="0"/>
        <w:autoSpaceDE w:val="0"/>
        <w:autoSpaceDN w:val="0"/>
        <w:adjustRightInd w:val="0"/>
        <w:jc w:val="both"/>
        <w:rPr>
          <w:rFonts w:ascii="Arial" w:eastAsia="Cambria" w:hAnsi="Arial" w:cs="Times"/>
          <w:sz w:val="22"/>
          <w:szCs w:val="22"/>
          <w:u w:color="000000"/>
        </w:rPr>
      </w:pPr>
      <w:r w:rsidRPr="00B75970">
        <w:rPr>
          <w:rFonts w:ascii="Arial" w:eastAsia="Cambria" w:hAnsi="Arial" w:cs="Times"/>
          <w:color w:val="000000"/>
          <w:sz w:val="22"/>
          <w:szCs w:val="22"/>
          <w:u w:color="000000"/>
        </w:rPr>
        <w:t>La médecine de prévention est régie par le décret n° 2011-774 du 28 juin 2011 portant modification du décret n° 82-453 du 28 mai 1982 modifié relatif à l'hygiène et à la sécurité du travail ainsi qu'à la prévention médicale dans la fonction publique.</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color="000000"/>
        </w:rPr>
      </w:pP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Les textes réglementaires assoient le rôle de conseil du médecin de prévention tant à l'égard de  l’administration  que de l’agent et de ses représentants. Son rôle est également préventif, il a en effet pour mission de prévenir toute altération de la santé des agents du fait de leur travail.</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color="000000"/>
        </w:rPr>
      </w:pP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Il doit consacrer à sa mission sur le lieu de travail des agents au moins un tiers du temps consacré aux consultations. Dans le cadre de ce « tiers temps », il établit une fiche des risques professionnels sur un site. Il est dans le même cadre consulté sur les projets de travaux et d’aménagement des locaux ainsi que sur  l’acquisition de nouveaux outils impactant les conditions de travail. Il siège de droit en comité d'hygiène, de sécurité et des conditions de travail et est également associé aux actions de formation relatives à l’hygiène et à la sécurité.</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color="000000"/>
        </w:rPr>
      </w:pP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Au titre de ses missions vis-à-vis des agents, le médecin de prévention n’intervient qu’après l’embauche. Il reçoit régulièrement l’agent en consultation. En fonction de la situation de l’agent ou des risques auxquels il peut être exposé cette visite intervient à rythme annuel ou quinquennal. Cette consultation est établie dans l’intérêt de l’agent. Elle est obligatoire. Sur certains postes, elle est même essentielle pour valider l’aptitude de l’agent à exercer ses fonctions.</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color="000000"/>
        </w:rPr>
      </w:pP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La connaissance du site, des conditions de travail et de la santé de l’agent peut amener le médecin à l’issue d’une consultation, à préconiser l’aménagement d’un poste de travail. Cette préconisation peut également intervenir dès la première consultation d’un agent en situation de handicap nouvellement embauché. Depuis le décret du 28 juin 2011, un refus de l’administration d'aménager le poste d'un agent suite à une préconisation médicale doit être présenté au comité d'hygiène, de sécurité et de conditions de travail compétent.</w:t>
      </w:r>
    </w:p>
    <w:p w:rsidR="00B75970" w:rsidRPr="00227F0C" w:rsidRDefault="00B75970" w:rsidP="00B75970">
      <w:pPr>
        <w:widowControl w:val="0"/>
        <w:autoSpaceDE w:val="0"/>
        <w:autoSpaceDN w:val="0"/>
        <w:adjustRightInd w:val="0"/>
        <w:jc w:val="both"/>
        <w:rPr>
          <w:rFonts w:ascii="Arial" w:eastAsia="Cambria" w:hAnsi="Arial" w:cs="Times"/>
          <w:sz w:val="16"/>
          <w:szCs w:val="16"/>
          <w:u w:color="000000"/>
        </w:rPr>
      </w:pP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Il convient de rappeler que le médecin de prévention comme un médecin traitant est astreint au secret médical.</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color="000000"/>
        </w:rPr>
      </w:pPr>
    </w:p>
    <w:p w:rsidR="00B75970" w:rsidRPr="00B75970" w:rsidRDefault="00B75970" w:rsidP="00B75970">
      <w:pPr>
        <w:widowControl w:val="0"/>
        <w:autoSpaceDE w:val="0"/>
        <w:autoSpaceDN w:val="0"/>
        <w:adjustRightInd w:val="0"/>
        <w:jc w:val="both"/>
        <w:rPr>
          <w:rFonts w:ascii="Arial" w:eastAsia="Cambria" w:hAnsi="Arial" w:cs="Times"/>
          <w:b/>
          <w:color w:val="800040"/>
          <w:sz w:val="22"/>
          <w:szCs w:val="22"/>
          <w:u w:color="000000"/>
        </w:rPr>
      </w:pPr>
      <w:r w:rsidRPr="00B75970">
        <w:rPr>
          <w:rFonts w:ascii="Arial" w:eastAsia="Cambria" w:hAnsi="Arial" w:cs="Times"/>
          <w:b/>
          <w:color w:val="800040"/>
          <w:sz w:val="22"/>
          <w:szCs w:val="22"/>
          <w:u w:color="000000"/>
        </w:rPr>
        <w:t>Organisation</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color="000000"/>
        </w:rPr>
      </w:pP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Le s</w:t>
      </w:r>
      <w:r w:rsidR="00D138D1">
        <w:rPr>
          <w:rFonts w:ascii="Arial" w:eastAsia="Cambria" w:hAnsi="Arial" w:cs="Times"/>
          <w:color w:val="000000"/>
          <w:sz w:val="22"/>
          <w:szCs w:val="22"/>
          <w:u w:color="000000"/>
        </w:rPr>
        <w:t xml:space="preserve">ervice des ressources humaines, </w:t>
      </w:r>
      <w:r w:rsidRPr="00B75970">
        <w:rPr>
          <w:rFonts w:ascii="Arial" w:eastAsia="Cambria" w:hAnsi="Arial" w:cs="Times"/>
          <w:color w:val="000000"/>
          <w:sz w:val="22"/>
          <w:szCs w:val="22"/>
          <w:u w:color="000000"/>
        </w:rPr>
        <w:t>bureau de l'action sociale et de la prévention</w:t>
      </w:r>
      <w:r w:rsidR="00D138D1">
        <w:rPr>
          <w:rFonts w:ascii="Arial" w:eastAsia="Cambria" w:hAnsi="Arial" w:cs="Times"/>
          <w:color w:val="000000"/>
          <w:sz w:val="22"/>
          <w:szCs w:val="22"/>
          <w:u w:color="000000"/>
        </w:rPr>
        <w:t xml:space="preserve"> (BASP</w:t>
      </w:r>
      <w:r w:rsidRPr="00B75970">
        <w:rPr>
          <w:rFonts w:ascii="Arial" w:eastAsia="Cambria" w:hAnsi="Arial" w:cs="Times"/>
          <w:color w:val="000000"/>
          <w:sz w:val="22"/>
          <w:szCs w:val="22"/>
          <w:u w:color="000000"/>
        </w:rPr>
        <w:t xml:space="preserve">) assure la couverture de médecine de prévention des agents en s’appuyant sur les trois dispositifs </w:t>
      </w:r>
      <w:r w:rsidR="00D138D1">
        <w:rPr>
          <w:rFonts w:ascii="Arial" w:eastAsia="Cambria" w:hAnsi="Arial" w:cs="Times"/>
          <w:color w:val="000000"/>
          <w:sz w:val="22"/>
          <w:szCs w:val="22"/>
          <w:u w:color="000000"/>
        </w:rPr>
        <w:br/>
      </w:r>
      <w:r w:rsidRPr="00B75970">
        <w:rPr>
          <w:rFonts w:ascii="Arial" w:eastAsia="Cambria" w:hAnsi="Arial" w:cs="Times"/>
          <w:color w:val="000000"/>
          <w:sz w:val="22"/>
          <w:szCs w:val="22"/>
          <w:u w:color="000000"/>
        </w:rPr>
        <w:t xml:space="preserve">suivants : </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color="000000"/>
        </w:rPr>
      </w:pPr>
    </w:p>
    <w:p w:rsidR="00B75970" w:rsidRPr="00B75970" w:rsidRDefault="00B75970" w:rsidP="00B75970">
      <w:pPr>
        <w:widowControl w:val="0"/>
        <w:numPr>
          <w:ilvl w:val="0"/>
          <w:numId w:val="1"/>
        </w:numPr>
        <w:autoSpaceDE w:val="0"/>
        <w:autoSpaceDN w:val="0"/>
        <w:adjustRightInd w:val="0"/>
        <w:contextualSpacing/>
        <w:jc w:val="both"/>
        <w:rPr>
          <w:rFonts w:ascii="Arial" w:eastAsia="Cambria" w:hAnsi="Arial" w:cs="Times"/>
          <w:color w:val="000000"/>
          <w:sz w:val="22"/>
          <w:szCs w:val="22"/>
          <w:u w:color="000000"/>
        </w:rPr>
      </w:pPr>
      <w:r w:rsidRPr="00227F0C">
        <w:rPr>
          <w:rFonts w:ascii="Arial" w:eastAsia="Cambria" w:hAnsi="Arial" w:cs="Times"/>
          <w:i/>
          <w:color w:val="000000"/>
          <w:sz w:val="22"/>
          <w:szCs w:val="22"/>
          <w:u w:color="000000"/>
        </w:rPr>
        <w:t>le service de médecine de prévention du ministère</w:t>
      </w:r>
      <w:r w:rsidR="00227F0C">
        <w:rPr>
          <w:rFonts w:ascii="Arial" w:eastAsia="Cambria" w:hAnsi="Arial" w:cs="Times"/>
          <w:color w:val="000000"/>
          <w:sz w:val="22"/>
          <w:szCs w:val="22"/>
          <w:u w:color="000000"/>
        </w:rPr>
        <w:t xml:space="preserve"> </w:t>
      </w:r>
      <w:r w:rsidRPr="00B75970">
        <w:rPr>
          <w:rFonts w:ascii="Arial" w:eastAsia="Cambria" w:hAnsi="Arial" w:cs="Times"/>
          <w:color w:val="000000"/>
          <w:sz w:val="22"/>
          <w:szCs w:val="22"/>
          <w:u w:color="000000"/>
        </w:rPr>
        <w:t xml:space="preserve">: </w:t>
      </w: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ab/>
        <w:t xml:space="preserve">Implanté aux “Bons Enfants”, le pôle de médecine de prévention du bureau de l’action </w:t>
      </w:r>
      <w:r w:rsidRPr="00B75970">
        <w:rPr>
          <w:rFonts w:ascii="Arial" w:eastAsia="Cambria" w:hAnsi="Arial" w:cs="Times"/>
          <w:color w:val="000000"/>
          <w:sz w:val="22"/>
          <w:szCs w:val="22"/>
          <w:u w:color="000000"/>
        </w:rPr>
        <w:tab/>
        <w:t xml:space="preserve">sociale et de la prévention composé de cinq médecins et cinq infirmières couvre l’ensemble </w:t>
      </w:r>
      <w:r w:rsidRPr="00B75970">
        <w:rPr>
          <w:rFonts w:ascii="Arial" w:eastAsia="Cambria" w:hAnsi="Arial" w:cs="Times"/>
          <w:color w:val="000000"/>
          <w:sz w:val="22"/>
          <w:szCs w:val="22"/>
          <w:u w:color="000000"/>
        </w:rPr>
        <w:tab/>
        <w:t xml:space="preserve">des agents en poste en administration centrale ou en service à compétence nationale sur </w:t>
      </w:r>
      <w:r w:rsidRPr="00B75970">
        <w:rPr>
          <w:rFonts w:ascii="Arial" w:eastAsia="Cambria" w:hAnsi="Arial" w:cs="Times"/>
          <w:color w:val="000000"/>
          <w:sz w:val="22"/>
          <w:szCs w:val="22"/>
          <w:u w:color="000000"/>
        </w:rPr>
        <w:tab/>
        <w:t>Paris et en Île-de-France.</w:t>
      </w:r>
    </w:p>
    <w:p w:rsidR="00B75970" w:rsidRPr="00227F0C" w:rsidRDefault="00B75970" w:rsidP="00B75970">
      <w:pPr>
        <w:widowControl w:val="0"/>
        <w:autoSpaceDE w:val="0"/>
        <w:autoSpaceDN w:val="0"/>
        <w:adjustRightInd w:val="0"/>
        <w:jc w:val="both"/>
        <w:rPr>
          <w:rFonts w:ascii="Arial" w:eastAsia="Cambria" w:hAnsi="Arial" w:cs="Times"/>
          <w:color w:val="000000"/>
          <w:sz w:val="16"/>
          <w:szCs w:val="16"/>
          <w:u w:color="000000"/>
        </w:rPr>
      </w:pPr>
    </w:p>
    <w:p w:rsidR="00B75970" w:rsidRPr="00B75970" w:rsidRDefault="00B75970" w:rsidP="00B75970">
      <w:pPr>
        <w:widowControl w:val="0"/>
        <w:numPr>
          <w:ilvl w:val="0"/>
          <w:numId w:val="1"/>
        </w:numPr>
        <w:autoSpaceDE w:val="0"/>
        <w:autoSpaceDN w:val="0"/>
        <w:adjustRightInd w:val="0"/>
        <w:contextualSpacing/>
        <w:jc w:val="both"/>
        <w:rPr>
          <w:rFonts w:ascii="Arial" w:eastAsia="Cambria" w:hAnsi="Arial" w:cs="Times"/>
          <w:color w:val="000000"/>
          <w:sz w:val="22"/>
          <w:szCs w:val="22"/>
          <w:u w:color="000000"/>
        </w:rPr>
      </w:pPr>
      <w:r w:rsidRPr="00227F0C">
        <w:rPr>
          <w:rFonts w:ascii="Arial" w:eastAsia="Cambria" w:hAnsi="Arial" w:cs="Times"/>
          <w:i/>
          <w:color w:val="000000"/>
          <w:sz w:val="22"/>
          <w:szCs w:val="22"/>
          <w:u w:color="000000"/>
        </w:rPr>
        <w:t>le conventionnement avec les ministères financiers</w:t>
      </w:r>
      <w:r w:rsidR="00227F0C">
        <w:rPr>
          <w:rFonts w:ascii="Arial" w:eastAsia="Cambria" w:hAnsi="Arial" w:cs="Times"/>
          <w:color w:val="000000"/>
          <w:sz w:val="22"/>
          <w:szCs w:val="22"/>
          <w:u w:color="000000"/>
        </w:rPr>
        <w:t xml:space="preserve"> </w:t>
      </w:r>
      <w:r w:rsidRPr="00B75970">
        <w:rPr>
          <w:rFonts w:ascii="Arial" w:eastAsia="Cambria" w:hAnsi="Arial" w:cs="Times"/>
          <w:color w:val="000000"/>
          <w:sz w:val="22"/>
          <w:szCs w:val="22"/>
          <w:u w:color="000000"/>
        </w:rPr>
        <w:t>:</w:t>
      </w: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ab/>
        <w:t xml:space="preserve">Initié dès 2003, un partenariat s’est tissé avec le ministère des finances sur le fondement </w:t>
      </w:r>
      <w:r w:rsidRPr="00B75970">
        <w:rPr>
          <w:rFonts w:ascii="Arial" w:eastAsia="Cambria" w:hAnsi="Arial" w:cs="Times"/>
          <w:color w:val="000000"/>
          <w:sz w:val="22"/>
          <w:szCs w:val="22"/>
          <w:u w:color="000000"/>
        </w:rPr>
        <w:tab/>
        <w:t xml:space="preserve">d’une convention. Cette convention à titre onéreux permet d’assurer le service de suivi de </w:t>
      </w:r>
      <w:r w:rsidRPr="00B75970">
        <w:rPr>
          <w:rFonts w:ascii="Arial" w:eastAsia="Cambria" w:hAnsi="Arial" w:cs="Times"/>
          <w:color w:val="000000"/>
          <w:sz w:val="22"/>
          <w:szCs w:val="22"/>
          <w:u w:color="000000"/>
        </w:rPr>
        <w:tab/>
        <w:t xml:space="preserve">médecine de prévention pour la grande majorité des agents en poste en région qu’ils soient </w:t>
      </w:r>
      <w:r w:rsidRPr="00B75970">
        <w:rPr>
          <w:rFonts w:ascii="Arial" w:eastAsia="Cambria" w:hAnsi="Arial" w:cs="Times"/>
          <w:color w:val="000000"/>
          <w:sz w:val="22"/>
          <w:szCs w:val="22"/>
          <w:u w:color="000000"/>
        </w:rPr>
        <w:tab/>
        <w:t xml:space="preserve">positionnés en direction régionale des affaires culturelles (DRAC), en service territorial de </w:t>
      </w:r>
      <w:r w:rsidRPr="00B75970">
        <w:rPr>
          <w:rFonts w:ascii="Arial" w:eastAsia="Cambria" w:hAnsi="Arial" w:cs="Times"/>
          <w:color w:val="000000"/>
          <w:sz w:val="22"/>
          <w:szCs w:val="22"/>
          <w:u w:color="000000"/>
        </w:rPr>
        <w:tab/>
        <w:t>l'architecture et du patrimoine (STAP) ou en service à compétence nationale (SCN).</w:t>
      </w:r>
    </w:p>
    <w:p w:rsidR="00B75970"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893B48" w:rsidRDefault="00893B48">
      <w:pPr>
        <w:spacing w:after="160" w:line="259" w:lineRule="auto"/>
        <w:rPr>
          <w:rFonts w:ascii="Arial" w:eastAsia="Cambria" w:hAnsi="Arial" w:cs="Times"/>
          <w:color w:val="000000"/>
          <w:sz w:val="22"/>
          <w:szCs w:val="22"/>
          <w:u w:color="000000"/>
        </w:rPr>
      </w:pPr>
      <w:r>
        <w:rPr>
          <w:rFonts w:ascii="Arial" w:eastAsia="Cambria" w:hAnsi="Arial" w:cs="Times"/>
          <w:color w:val="000000"/>
          <w:sz w:val="22"/>
          <w:szCs w:val="22"/>
          <w:u w:color="000000"/>
        </w:rPr>
        <w:br w:type="page"/>
      </w:r>
    </w:p>
    <w:p w:rsidR="00227F0C" w:rsidRPr="00B75970" w:rsidRDefault="00227F0C" w:rsidP="00B75970">
      <w:pPr>
        <w:widowControl w:val="0"/>
        <w:autoSpaceDE w:val="0"/>
        <w:autoSpaceDN w:val="0"/>
        <w:adjustRightInd w:val="0"/>
        <w:jc w:val="both"/>
        <w:rPr>
          <w:rFonts w:ascii="Arial" w:eastAsia="Cambria" w:hAnsi="Arial" w:cs="Times"/>
          <w:color w:val="000000"/>
          <w:sz w:val="22"/>
          <w:szCs w:val="22"/>
          <w:u w:color="000000"/>
        </w:rPr>
      </w:pPr>
    </w:p>
    <w:p w:rsidR="00B75970" w:rsidRPr="00B75970" w:rsidRDefault="00B75970" w:rsidP="00B75970">
      <w:pPr>
        <w:widowControl w:val="0"/>
        <w:numPr>
          <w:ilvl w:val="0"/>
          <w:numId w:val="1"/>
        </w:numPr>
        <w:autoSpaceDE w:val="0"/>
        <w:autoSpaceDN w:val="0"/>
        <w:adjustRightInd w:val="0"/>
        <w:contextualSpacing/>
        <w:jc w:val="both"/>
        <w:rPr>
          <w:rFonts w:ascii="Arial" w:eastAsia="Cambria" w:hAnsi="Arial" w:cs="Times"/>
          <w:color w:val="000000"/>
          <w:sz w:val="22"/>
          <w:szCs w:val="22"/>
          <w:u w:color="000000"/>
        </w:rPr>
      </w:pPr>
      <w:r w:rsidRPr="00227F0C">
        <w:rPr>
          <w:rFonts w:ascii="Arial" w:eastAsia="Cambria" w:hAnsi="Arial" w:cs="Times"/>
          <w:i/>
          <w:color w:val="000000"/>
          <w:sz w:val="22"/>
          <w:szCs w:val="22"/>
          <w:u w:color="000000"/>
        </w:rPr>
        <w:t>le conventionnement ponctuel et en dernier ressort avec des services de médecine inter - entreprises</w:t>
      </w:r>
      <w:r w:rsidRPr="00B75970">
        <w:rPr>
          <w:rFonts w:ascii="Arial" w:eastAsia="Cambria" w:hAnsi="Arial" w:cs="Times"/>
          <w:color w:val="000000"/>
          <w:sz w:val="22"/>
          <w:szCs w:val="22"/>
          <w:u w:color="000000"/>
        </w:rPr>
        <w:t xml:space="preserve"> :</w:t>
      </w:r>
    </w:p>
    <w:p w:rsidR="00B75970" w:rsidRPr="00B75970" w:rsidRDefault="00B75970" w:rsidP="007367B4">
      <w:pPr>
        <w:widowControl w:val="0"/>
        <w:autoSpaceDE w:val="0"/>
        <w:autoSpaceDN w:val="0"/>
        <w:adjustRightInd w:val="0"/>
        <w:ind w:left="708"/>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 xml:space="preserve">Il arrive qu’en région la couverture assurée par les médecins </w:t>
      </w:r>
      <w:r w:rsidR="007367B4">
        <w:rPr>
          <w:rFonts w:ascii="Arial" w:eastAsia="Cambria" w:hAnsi="Arial" w:cs="Times"/>
          <w:color w:val="000000"/>
          <w:sz w:val="22"/>
          <w:szCs w:val="22"/>
          <w:u w:color="000000"/>
        </w:rPr>
        <w:t>soit incomplète</w:t>
      </w:r>
      <w:r w:rsidRPr="00B75970">
        <w:rPr>
          <w:rFonts w:ascii="Arial" w:eastAsia="Cambria" w:hAnsi="Arial" w:cs="Times"/>
          <w:color w:val="000000"/>
          <w:sz w:val="22"/>
          <w:szCs w:val="22"/>
          <w:u w:color="000000"/>
        </w:rPr>
        <w:t>. Aussi le</w:t>
      </w:r>
      <w:r w:rsidR="007367B4">
        <w:rPr>
          <w:rFonts w:ascii="Arial" w:eastAsia="Cambria" w:hAnsi="Arial" w:cs="Times"/>
          <w:color w:val="000000"/>
          <w:sz w:val="22"/>
          <w:szCs w:val="22"/>
          <w:u w:color="000000"/>
        </w:rPr>
        <w:t xml:space="preserve"> BASP, en lien étroit avec les </w:t>
      </w:r>
      <w:r w:rsidRPr="00B75970">
        <w:rPr>
          <w:rFonts w:ascii="Arial" w:eastAsia="Cambria" w:hAnsi="Arial" w:cs="Times"/>
          <w:color w:val="000000"/>
          <w:sz w:val="22"/>
          <w:szCs w:val="22"/>
          <w:u w:color="000000"/>
        </w:rPr>
        <w:t>responsables de la structure concernée, a</w:t>
      </w:r>
      <w:r w:rsidR="00C37AC1">
        <w:rPr>
          <w:rFonts w:ascii="Arial" w:eastAsia="Cambria" w:hAnsi="Arial" w:cs="Times"/>
          <w:color w:val="000000"/>
          <w:sz w:val="22"/>
          <w:szCs w:val="22"/>
          <w:u w:color="000000"/>
        </w:rPr>
        <w:t>-</w:t>
      </w:r>
      <w:r w:rsidRPr="00B75970">
        <w:rPr>
          <w:rFonts w:ascii="Arial" w:eastAsia="Cambria" w:hAnsi="Arial" w:cs="Times"/>
          <w:color w:val="000000"/>
          <w:sz w:val="22"/>
          <w:szCs w:val="22"/>
          <w:u w:color="000000"/>
        </w:rPr>
        <w:t xml:space="preserve"> pris en c</w:t>
      </w:r>
      <w:r w:rsidR="007367B4">
        <w:rPr>
          <w:rFonts w:ascii="Arial" w:eastAsia="Cambria" w:hAnsi="Arial" w:cs="Times"/>
          <w:color w:val="000000"/>
          <w:sz w:val="22"/>
          <w:szCs w:val="22"/>
          <w:u w:color="000000"/>
        </w:rPr>
        <w:t xml:space="preserve">harge et conclu à ce jour huit </w:t>
      </w:r>
      <w:r w:rsidRPr="00B75970">
        <w:rPr>
          <w:rFonts w:ascii="Arial" w:eastAsia="Cambria" w:hAnsi="Arial" w:cs="Times"/>
          <w:color w:val="000000"/>
          <w:sz w:val="22"/>
          <w:szCs w:val="22"/>
          <w:u w:color="000000"/>
        </w:rPr>
        <w:t xml:space="preserve">conventions avec des services de médecine inter - </w:t>
      </w:r>
      <w:r w:rsidR="007367B4">
        <w:rPr>
          <w:rFonts w:ascii="Arial" w:eastAsia="Cambria" w:hAnsi="Arial" w:cs="Times"/>
          <w:color w:val="000000"/>
          <w:sz w:val="22"/>
          <w:szCs w:val="22"/>
          <w:u w:color="000000"/>
        </w:rPr>
        <w:t xml:space="preserve">entreprises pour compenser des </w:t>
      </w:r>
      <w:r w:rsidRPr="00B75970">
        <w:rPr>
          <w:rFonts w:ascii="Arial" w:eastAsia="Cambria" w:hAnsi="Arial" w:cs="Times"/>
          <w:color w:val="000000"/>
          <w:sz w:val="22"/>
          <w:szCs w:val="22"/>
          <w:u w:color="000000"/>
        </w:rPr>
        <w:t>carences durables sur quelques départements et garant</w:t>
      </w:r>
      <w:r w:rsidR="007367B4">
        <w:rPr>
          <w:rFonts w:ascii="Arial" w:eastAsia="Cambria" w:hAnsi="Arial" w:cs="Times"/>
          <w:color w:val="000000"/>
          <w:sz w:val="22"/>
          <w:szCs w:val="22"/>
          <w:u w:color="000000"/>
        </w:rPr>
        <w:t xml:space="preserve">ir la continuité d’un suivi de </w:t>
      </w:r>
      <w:r w:rsidRPr="00B75970">
        <w:rPr>
          <w:rFonts w:ascii="Arial" w:eastAsia="Cambria" w:hAnsi="Arial" w:cs="Times"/>
          <w:color w:val="000000"/>
          <w:sz w:val="22"/>
          <w:szCs w:val="22"/>
          <w:u w:color="000000"/>
        </w:rPr>
        <w:t>médecine de prévention. Ce périmètre de couverture (</w:t>
      </w:r>
      <w:r w:rsidR="0081452D">
        <w:rPr>
          <w:rFonts w:ascii="Arial" w:eastAsia="Cambria" w:hAnsi="Arial" w:cs="Times"/>
          <w:color w:val="000000"/>
          <w:sz w:val="22"/>
          <w:szCs w:val="22"/>
          <w:u w:color="000000"/>
        </w:rPr>
        <w:t xml:space="preserve">administration centrale, DRAC, </w:t>
      </w:r>
      <w:r w:rsidRPr="00B75970">
        <w:rPr>
          <w:rFonts w:ascii="Arial" w:eastAsia="Cambria" w:hAnsi="Arial" w:cs="Times"/>
          <w:color w:val="000000"/>
          <w:sz w:val="22"/>
          <w:szCs w:val="22"/>
          <w:u w:color="000000"/>
        </w:rPr>
        <w:t xml:space="preserve">STAP, </w:t>
      </w:r>
      <w:r w:rsidR="0081452D">
        <w:rPr>
          <w:rFonts w:ascii="Arial" w:eastAsia="Cambria" w:hAnsi="Arial" w:cs="Times"/>
          <w:color w:val="000000"/>
          <w:sz w:val="22"/>
          <w:szCs w:val="22"/>
          <w:u w:color="000000"/>
        </w:rPr>
        <w:t xml:space="preserve">SCN) relève </w:t>
      </w:r>
      <w:r w:rsidRPr="00B75970">
        <w:rPr>
          <w:rFonts w:ascii="Arial" w:eastAsia="Cambria" w:hAnsi="Arial" w:cs="Times"/>
          <w:color w:val="000000"/>
          <w:sz w:val="22"/>
          <w:szCs w:val="22"/>
          <w:u w:color="000000"/>
        </w:rPr>
        <w:t>directement du secrétariat général.</w:t>
      </w: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Dans le cadre du CHSM du 26 novembre 2010, une clarification des relations avec les établissements publics administratifs (EPA) d’Île-de-France a été avancée. Comme pour tout EPA, l'article 2-1 du décret n° 82-453 du 28/05/1982 implique qu’il appartient au chef d’établissement d'assurer la médecine de prévention pour les agents placés sous sa responsabilité et ce quel que soit leur statut (agents titulaires État, comme agents non titulaires État ou EP).</w:t>
      </w: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B75970">
        <w:rPr>
          <w:rFonts w:ascii="Arial" w:eastAsia="Cambria" w:hAnsi="Arial" w:cs="Times"/>
          <w:color w:val="000000"/>
          <w:sz w:val="22"/>
          <w:szCs w:val="22"/>
          <w:u w:color="000000"/>
        </w:rPr>
        <w:t>Plusieurs EPA en ont déjà tiré les conséquences en créant en leur sein un service de médecine de prévention ou en passant des accords avec des services de médecine inter - entreprises. Les médecins de prévention du ministère ne sont fondés à intervenir régulièrement auprès des agents des EPA, dans le cadre d'un conventionnement entre le ministère et l'EPA concerné.</w:t>
      </w: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7670A0" w:rsidRPr="007670A0" w:rsidRDefault="007670A0" w:rsidP="007670A0">
      <w:pPr>
        <w:jc w:val="both"/>
        <w:rPr>
          <w:rFonts w:ascii="Liberation Sans" w:eastAsia="Times New Roman" w:hAnsi="Liberation Sans" w:cs="Liberation Sans"/>
          <w:color w:val="000000"/>
          <w:lang w:eastAsia="fr-FR"/>
        </w:rPr>
      </w:pPr>
      <w:r w:rsidRPr="007670A0">
        <w:rPr>
          <w:rFonts w:ascii="Arial" w:eastAsia="Times New Roman" w:hAnsi="Arial" w:cs="Arial"/>
          <w:color w:val="000000"/>
          <w:sz w:val="22"/>
          <w:szCs w:val="22"/>
          <w:lang w:eastAsia="fr-FR"/>
        </w:rPr>
        <w:t xml:space="preserve">La signature des conventions de ce type initiées en 2011 couvre désormais 14 EPA sans que les effectifs et moyens de l'équipe de médecine de prévention ne permettent d'en couvrir plus. </w:t>
      </w:r>
    </w:p>
    <w:p w:rsidR="00B75970" w:rsidRPr="00B75970"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B75970" w:rsidRDefault="00B75970" w:rsidP="00B75970">
      <w:pPr>
        <w:widowControl w:val="0"/>
        <w:autoSpaceDE w:val="0"/>
        <w:autoSpaceDN w:val="0"/>
        <w:adjustRightInd w:val="0"/>
        <w:rPr>
          <w:rFonts w:ascii="Times" w:eastAsia="Cambria" w:hAnsi="Times" w:cs="Times"/>
          <w:sz w:val="22"/>
          <w:szCs w:val="22"/>
        </w:rPr>
      </w:pPr>
    </w:p>
    <w:p w:rsidR="00B75970" w:rsidRPr="00EB6E0B" w:rsidRDefault="00893B48" w:rsidP="00B75970">
      <w:pPr>
        <w:widowControl w:val="0"/>
        <w:autoSpaceDE w:val="0"/>
        <w:autoSpaceDN w:val="0"/>
        <w:adjustRightInd w:val="0"/>
        <w:jc w:val="both"/>
        <w:rPr>
          <w:rFonts w:ascii="Arial" w:eastAsia="Cambria" w:hAnsi="Arial" w:cs="Times"/>
          <w:b/>
          <w:color w:val="800040"/>
          <w:u w:color="000000"/>
        </w:rPr>
      </w:pPr>
      <w:r w:rsidRPr="00893B48">
        <w:rPr>
          <w:noProof/>
          <w:lang w:eastAsia="fr-FR"/>
        </w:rPr>
        <w:drawing>
          <wp:anchor distT="0" distB="0" distL="114300" distR="114300" simplePos="0" relativeHeight="251885568" behindDoc="1" locked="0" layoutInCell="1" allowOverlap="1" wp14:anchorId="7A452BB0" wp14:editId="4AAA006A">
            <wp:simplePos x="0" y="0"/>
            <wp:positionH relativeFrom="margin">
              <wp:align>center</wp:align>
            </wp:positionH>
            <wp:positionV relativeFrom="paragraph">
              <wp:posOffset>313055</wp:posOffset>
            </wp:positionV>
            <wp:extent cx="5949950" cy="3225800"/>
            <wp:effectExtent l="0" t="0" r="0" b="0"/>
            <wp:wrapTight wrapText="bothSides">
              <wp:wrapPolygon edited="0">
                <wp:start x="0" y="0"/>
                <wp:lineTo x="0" y="21430"/>
                <wp:lineTo x="21508" y="21430"/>
                <wp:lineTo x="21508" y="15307"/>
                <wp:lineTo x="20470" y="14287"/>
                <wp:lineTo x="21508" y="14159"/>
                <wp:lineTo x="21508" y="12756"/>
                <wp:lineTo x="20609" y="12246"/>
                <wp:lineTo x="21508" y="11735"/>
                <wp:lineTo x="21508" y="10205"/>
                <wp:lineTo x="20332" y="10205"/>
                <wp:lineTo x="21508" y="9312"/>
                <wp:lineTo x="21508" y="7271"/>
                <wp:lineTo x="20401" y="6378"/>
                <wp:lineTo x="21508" y="5868"/>
                <wp:lineTo x="21508" y="4465"/>
                <wp:lineTo x="18880" y="4082"/>
                <wp:lineTo x="21439" y="3444"/>
                <wp:lineTo x="21508" y="3317"/>
                <wp:lineTo x="20609" y="2041"/>
                <wp:lineTo x="21162" y="2041"/>
                <wp:lineTo x="21508" y="1276"/>
                <wp:lineTo x="21508" y="0"/>
                <wp:lineTo x="0" y="0"/>
              </wp:wrapPolygon>
            </wp:wrapTight>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9950" cy="3225800"/>
                    </a:xfrm>
                    <a:prstGeom prst="rect">
                      <a:avLst/>
                    </a:prstGeom>
                    <a:noFill/>
                    <a:ln>
                      <a:noFill/>
                    </a:ln>
                  </pic:spPr>
                </pic:pic>
              </a:graphicData>
            </a:graphic>
          </wp:anchor>
        </w:drawing>
      </w:r>
      <w:r w:rsidR="00B75970" w:rsidRPr="00EB6E0B">
        <w:rPr>
          <w:rFonts w:ascii="Arial" w:eastAsia="Cambria" w:hAnsi="Arial" w:cs="Times"/>
          <w:b/>
          <w:color w:val="800040"/>
          <w:u w:color="000000"/>
        </w:rPr>
        <w:t>Examens médicaux effectués</w:t>
      </w:r>
    </w:p>
    <w:p w:rsidR="00674EE9" w:rsidRPr="00674EE9" w:rsidRDefault="00674EE9" w:rsidP="00EF333F">
      <w:pPr>
        <w:spacing w:before="240" w:line="102" w:lineRule="atLeast"/>
        <w:jc w:val="both"/>
        <w:rPr>
          <w:rFonts w:ascii="Liberation Sans" w:eastAsia="Times New Roman" w:hAnsi="Liberation Sans" w:cs="Liberation Sans"/>
          <w:color w:val="000000"/>
          <w:lang w:eastAsia="fr-FR"/>
        </w:rPr>
      </w:pPr>
      <w:r w:rsidRPr="00674EE9">
        <w:rPr>
          <w:rFonts w:ascii="Arial" w:eastAsia="Times New Roman" w:hAnsi="Arial" w:cs="Arial"/>
          <w:color w:val="000000"/>
          <w:sz w:val="22"/>
          <w:szCs w:val="22"/>
          <w:lang w:eastAsia="fr-FR"/>
        </w:rPr>
        <w:t xml:space="preserve">Pour les agents hors Administration Centrale (AC) : (agents des SCN, des EP et de la DRAC IDF) reçus dans le service de médecine de prévention des </w:t>
      </w:r>
      <w:r w:rsidR="00D138D1" w:rsidRPr="005F7236">
        <w:rPr>
          <w:rFonts w:ascii="Arial" w:eastAsia="Times New Roman" w:hAnsi="Arial" w:cs="Arial"/>
          <w:color w:val="000000"/>
          <w:sz w:val="22"/>
          <w:szCs w:val="22"/>
          <w:lang w:eastAsia="fr-FR"/>
        </w:rPr>
        <w:t>B</w:t>
      </w:r>
      <w:r w:rsidR="00D138D1">
        <w:rPr>
          <w:rFonts w:ascii="Arial" w:eastAsia="Times New Roman" w:hAnsi="Arial" w:cs="Arial"/>
          <w:color w:val="000000"/>
          <w:sz w:val="22"/>
          <w:szCs w:val="22"/>
          <w:lang w:eastAsia="fr-FR"/>
        </w:rPr>
        <w:t xml:space="preserve">ons </w:t>
      </w:r>
      <w:r w:rsidR="00D138D1" w:rsidRPr="005F7236">
        <w:rPr>
          <w:rFonts w:ascii="Arial" w:eastAsia="Times New Roman" w:hAnsi="Arial" w:cs="Arial"/>
          <w:color w:val="000000"/>
          <w:sz w:val="22"/>
          <w:szCs w:val="22"/>
          <w:lang w:eastAsia="fr-FR"/>
        </w:rPr>
        <w:t>E</w:t>
      </w:r>
      <w:r w:rsidR="00D138D1">
        <w:rPr>
          <w:rFonts w:ascii="Arial" w:eastAsia="Times New Roman" w:hAnsi="Arial" w:cs="Arial"/>
          <w:color w:val="000000"/>
          <w:sz w:val="22"/>
          <w:szCs w:val="22"/>
          <w:lang w:eastAsia="fr-FR"/>
        </w:rPr>
        <w:t>nfants</w:t>
      </w:r>
      <w:r w:rsidRPr="00674EE9">
        <w:rPr>
          <w:rFonts w:ascii="Arial" w:eastAsia="Times New Roman" w:hAnsi="Arial" w:cs="Arial"/>
          <w:color w:val="000000"/>
          <w:sz w:val="22"/>
          <w:szCs w:val="22"/>
          <w:lang w:eastAsia="fr-FR"/>
        </w:rPr>
        <w:t xml:space="preserve">, les médecins de prévention ont assuré </w:t>
      </w:r>
      <w:r w:rsidRPr="00674EE9">
        <w:rPr>
          <w:rFonts w:ascii="Arial" w:eastAsia="Times New Roman" w:hAnsi="Arial" w:cs="Arial"/>
          <w:b/>
          <w:bCs/>
          <w:color w:val="000000"/>
          <w:sz w:val="22"/>
          <w:szCs w:val="22"/>
          <w:lang w:eastAsia="fr-FR"/>
        </w:rPr>
        <w:t>1012</w:t>
      </w:r>
      <w:r w:rsidRPr="00674EE9">
        <w:rPr>
          <w:rFonts w:ascii="Arial" w:eastAsia="Times New Roman" w:hAnsi="Arial" w:cs="Arial"/>
          <w:color w:val="000000"/>
          <w:sz w:val="22"/>
          <w:szCs w:val="22"/>
          <w:lang w:eastAsia="fr-FR"/>
        </w:rPr>
        <w:t xml:space="preserve"> visites médicales dont :</w:t>
      </w:r>
    </w:p>
    <w:p w:rsidR="00674EE9" w:rsidRPr="00674EE9" w:rsidRDefault="00674EE9" w:rsidP="0034289D">
      <w:pPr>
        <w:numPr>
          <w:ilvl w:val="3"/>
          <w:numId w:val="42"/>
        </w:numPr>
        <w:tabs>
          <w:tab w:val="clear" w:pos="2880"/>
        </w:tabs>
        <w:spacing w:line="259" w:lineRule="auto"/>
        <w:ind w:left="1276"/>
        <w:jc w:val="both"/>
        <w:rPr>
          <w:rFonts w:ascii="Liberation Sans" w:eastAsia="Times New Roman" w:hAnsi="Liberation Sans" w:cs="Liberation Sans"/>
          <w:color w:val="000000"/>
          <w:lang w:eastAsia="fr-FR"/>
        </w:rPr>
      </w:pPr>
      <w:r w:rsidRPr="00674EE9">
        <w:rPr>
          <w:rFonts w:ascii="Arial" w:eastAsia="Times New Roman" w:hAnsi="Arial" w:cs="Arial"/>
          <w:b/>
          <w:bCs/>
          <w:color w:val="000000"/>
          <w:sz w:val="22"/>
          <w:szCs w:val="22"/>
          <w:lang w:eastAsia="fr-FR"/>
        </w:rPr>
        <w:t>635</w:t>
      </w:r>
      <w:r w:rsidRPr="00674EE9">
        <w:rPr>
          <w:rFonts w:ascii="Arial" w:eastAsia="Times New Roman" w:hAnsi="Arial" w:cs="Arial"/>
          <w:color w:val="000000"/>
          <w:sz w:val="22"/>
          <w:szCs w:val="22"/>
          <w:lang w:eastAsia="fr-FR"/>
        </w:rPr>
        <w:t xml:space="preserve"> visites réglementaires,</w:t>
      </w:r>
    </w:p>
    <w:p w:rsidR="00674EE9" w:rsidRPr="00674EE9" w:rsidRDefault="00674EE9" w:rsidP="0034289D">
      <w:pPr>
        <w:numPr>
          <w:ilvl w:val="3"/>
          <w:numId w:val="42"/>
        </w:numPr>
        <w:tabs>
          <w:tab w:val="clear" w:pos="2880"/>
        </w:tabs>
        <w:spacing w:line="259" w:lineRule="auto"/>
        <w:ind w:left="1276"/>
        <w:jc w:val="both"/>
        <w:rPr>
          <w:rFonts w:ascii="Liberation Sans" w:eastAsia="Times New Roman" w:hAnsi="Liberation Sans" w:cs="Liberation Sans"/>
          <w:color w:val="000000"/>
          <w:lang w:eastAsia="fr-FR"/>
        </w:rPr>
      </w:pPr>
      <w:r w:rsidRPr="00674EE9">
        <w:rPr>
          <w:rFonts w:ascii="Arial" w:eastAsia="Times New Roman" w:hAnsi="Arial" w:cs="Arial"/>
          <w:b/>
          <w:bCs/>
          <w:color w:val="000000"/>
          <w:sz w:val="22"/>
          <w:szCs w:val="22"/>
          <w:lang w:eastAsia="fr-FR"/>
        </w:rPr>
        <w:t>377</w:t>
      </w:r>
      <w:r w:rsidRPr="00674EE9">
        <w:rPr>
          <w:rFonts w:ascii="Arial" w:eastAsia="Times New Roman" w:hAnsi="Arial" w:cs="Arial"/>
          <w:color w:val="000000"/>
          <w:sz w:val="22"/>
          <w:szCs w:val="22"/>
          <w:lang w:eastAsia="fr-FR"/>
        </w:rPr>
        <w:t xml:space="preserve"> visites médicales autres (VDA, VDH, VDM, urgences...)</w:t>
      </w:r>
    </w:p>
    <w:p w:rsidR="00674EE9" w:rsidRPr="00674EE9" w:rsidRDefault="00674EE9" w:rsidP="00674EE9">
      <w:pPr>
        <w:spacing w:line="102" w:lineRule="atLeast"/>
        <w:jc w:val="both"/>
        <w:rPr>
          <w:rFonts w:ascii="Liberation Sans" w:eastAsia="Times New Roman" w:hAnsi="Liberation Sans" w:cs="Liberation Sans"/>
          <w:color w:val="000000"/>
          <w:lang w:eastAsia="fr-FR"/>
        </w:rPr>
      </w:pPr>
      <w:r w:rsidRPr="00674EE9">
        <w:rPr>
          <w:rFonts w:ascii="Arial" w:eastAsia="Times New Roman" w:hAnsi="Arial" w:cs="Arial"/>
          <w:color w:val="000000"/>
          <w:sz w:val="22"/>
          <w:szCs w:val="22"/>
          <w:lang w:eastAsia="fr-FR"/>
        </w:rPr>
        <w:t>A noter pour 2013, 264 «nouveaux dossiers». Ce terme recouvre soit des nouveaux arrivants au MCC, soit des agents ayant une nouvelle affectation.</w:t>
      </w:r>
    </w:p>
    <w:p w:rsidR="00674EE9" w:rsidRPr="00674EE9" w:rsidRDefault="00674EE9" w:rsidP="00674EE9">
      <w:pPr>
        <w:spacing w:line="102" w:lineRule="atLeast"/>
        <w:jc w:val="both"/>
        <w:rPr>
          <w:rFonts w:ascii="Liberation Sans" w:eastAsia="Times New Roman" w:hAnsi="Liberation Sans" w:cs="Liberation Sans"/>
          <w:color w:val="000000"/>
          <w:lang w:eastAsia="fr-FR"/>
        </w:rPr>
      </w:pPr>
    </w:p>
    <w:p w:rsidR="00674EE9" w:rsidRPr="00674EE9" w:rsidRDefault="00674EE9" w:rsidP="00674EE9">
      <w:pPr>
        <w:spacing w:after="159" w:line="259" w:lineRule="auto"/>
        <w:jc w:val="both"/>
        <w:rPr>
          <w:rFonts w:ascii="Liberation Sans" w:eastAsia="Times New Roman" w:hAnsi="Liberation Sans" w:cs="Liberation Sans"/>
          <w:color w:val="000000"/>
          <w:lang w:eastAsia="fr-FR"/>
        </w:rPr>
      </w:pPr>
      <w:r w:rsidRPr="00674EE9">
        <w:rPr>
          <w:rFonts w:ascii="Arial" w:eastAsia="Times New Roman" w:hAnsi="Arial" w:cs="Arial"/>
          <w:color w:val="000000"/>
          <w:sz w:val="22"/>
          <w:szCs w:val="22"/>
          <w:lang w:eastAsia="fr-FR"/>
        </w:rPr>
        <w:lastRenderedPageBreak/>
        <w:t xml:space="preserve">Dans un souci de respect absolu du secret médical, de la confidentialité, nous intitulons sur les convocations «visites à la demande du MDP» (VDM), les visites liées à l'existence d’une pathologie (SMPP) afin que les agents malades ne puissent pas être repérés par la hiérarchie ou les collègues. </w:t>
      </w:r>
    </w:p>
    <w:p w:rsidR="00674EE9" w:rsidRPr="00674EE9" w:rsidRDefault="00674EE9" w:rsidP="00674EE9">
      <w:pPr>
        <w:spacing w:line="259" w:lineRule="auto"/>
        <w:jc w:val="both"/>
        <w:rPr>
          <w:rFonts w:ascii="Liberation Sans" w:eastAsia="Times New Roman" w:hAnsi="Liberation Sans" w:cs="Liberation Sans"/>
          <w:color w:val="000000"/>
          <w:lang w:eastAsia="fr-FR"/>
        </w:rPr>
      </w:pPr>
      <w:r w:rsidRPr="00674EE9">
        <w:rPr>
          <w:rFonts w:ascii="Arial" w:eastAsia="Times New Roman" w:hAnsi="Arial" w:cs="Arial"/>
          <w:color w:val="000000"/>
          <w:sz w:val="22"/>
          <w:szCs w:val="22"/>
          <w:lang w:eastAsia="fr-FR"/>
        </w:rPr>
        <w:t xml:space="preserve">Les consultations sont ensuite « saisies » dans le suivi médical au moment du </w:t>
      </w:r>
      <w:r w:rsidR="00EF333F" w:rsidRPr="00674EE9">
        <w:rPr>
          <w:rFonts w:ascii="Arial" w:eastAsia="Times New Roman" w:hAnsi="Arial" w:cs="Arial"/>
          <w:color w:val="000000"/>
          <w:sz w:val="22"/>
          <w:szCs w:val="22"/>
          <w:lang w:eastAsia="fr-FR"/>
        </w:rPr>
        <w:t>débriefing</w:t>
      </w:r>
      <w:r w:rsidRPr="00674EE9">
        <w:rPr>
          <w:rFonts w:ascii="Arial" w:eastAsia="Times New Roman" w:hAnsi="Arial" w:cs="Arial"/>
          <w:color w:val="000000"/>
          <w:sz w:val="22"/>
          <w:szCs w:val="22"/>
          <w:lang w:eastAsia="fr-FR"/>
        </w:rPr>
        <w:t xml:space="preserve"> de la consultation selon leur véritable intitulé.</w:t>
      </w:r>
    </w:p>
    <w:p w:rsidR="00B75970" w:rsidRPr="003207A4" w:rsidRDefault="00B75970" w:rsidP="00B75970">
      <w:pPr>
        <w:tabs>
          <w:tab w:val="left" w:pos="1220"/>
        </w:tabs>
        <w:rPr>
          <w:rFonts w:ascii="Arial" w:eastAsia="Cambria" w:hAnsi="Arial" w:cs="Times New Roman"/>
          <w:b/>
          <w:color w:val="800040"/>
          <w:sz w:val="22"/>
          <w:szCs w:val="22"/>
        </w:rPr>
      </w:pPr>
    </w:p>
    <w:p w:rsidR="00B75970" w:rsidRPr="003207A4" w:rsidRDefault="00B75970" w:rsidP="00B75970">
      <w:pPr>
        <w:tabs>
          <w:tab w:val="left" w:pos="1220"/>
        </w:tabs>
        <w:rPr>
          <w:rFonts w:ascii="Arial" w:eastAsia="Cambria" w:hAnsi="Arial" w:cs="Times New Roman"/>
          <w:b/>
          <w:color w:val="800040"/>
          <w:sz w:val="22"/>
          <w:szCs w:val="22"/>
        </w:rPr>
      </w:pPr>
      <w:r w:rsidRPr="003207A4">
        <w:rPr>
          <w:rFonts w:ascii="Arial" w:eastAsia="Cambria" w:hAnsi="Arial" w:cs="Times New Roman"/>
          <w:b/>
          <w:color w:val="800040"/>
          <w:sz w:val="22"/>
          <w:szCs w:val="22"/>
        </w:rPr>
        <w:t>Commentaires et observations du médecin de prévention sur son activité clinique</w:t>
      </w:r>
    </w:p>
    <w:p w:rsidR="00B75970" w:rsidRPr="003207A4" w:rsidRDefault="00B75970" w:rsidP="00B75970">
      <w:pPr>
        <w:tabs>
          <w:tab w:val="left" w:pos="1220"/>
        </w:tabs>
        <w:rPr>
          <w:rFonts w:ascii="Arial" w:eastAsia="Cambria" w:hAnsi="Arial" w:cs="Times New Roman"/>
          <w:sz w:val="22"/>
          <w:szCs w:val="22"/>
        </w:rPr>
      </w:pP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r w:rsidRPr="003207A4">
        <w:rPr>
          <w:rFonts w:ascii="Arial" w:eastAsia="Cambria" w:hAnsi="Arial" w:cs="Times"/>
          <w:color w:val="000000"/>
          <w:sz w:val="22"/>
          <w:szCs w:val="22"/>
        </w:rPr>
        <w:t>Nous tenons à ce que l’ensemble des agents bénéficie de la même attention en particulier pour le premier examen. Souvent les agents n’en voient pas l'intérêt confondant cet examen avec la visite passée auprès d’un médecin agréé dans le contexte de leur recrutement.</w:t>
      </w: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p>
    <w:p w:rsidR="00B75970" w:rsidRPr="003207A4" w:rsidRDefault="00B75970" w:rsidP="00EF333F">
      <w:pPr>
        <w:pStyle w:val="western"/>
        <w:spacing w:before="0" w:beforeAutospacing="0" w:after="0" w:line="102" w:lineRule="atLeast"/>
        <w:jc w:val="both"/>
        <w:rPr>
          <w:rFonts w:eastAsia="Cambria" w:cs="Times"/>
          <w:sz w:val="22"/>
          <w:szCs w:val="22"/>
        </w:rPr>
      </w:pPr>
      <w:r w:rsidRPr="003207A4">
        <w:rPr>
          <w:rFonts w:eastAsia="Cambria" w:cs="Times"/>
          <w:sz w:val="22"/>
          <w:szCs w:val="22"/>
        </w:rPr>
        <w:t>Un effort d’information a été poursuivi pour préciser notre spécificité, à savoir le lien «santé travail». La  visite médicale est centrée sur l’activité professionnelle en cours mais elle s'intéresse aussi à l’activité passée (réalisation d'un cursus laboris) et parfois à l'activité à venir</w:t>
      </w:r>
      <w:r w:rsidR="00EF333F" w:rsidRPr="00EF333F">
        <w:rPr>
          <w:sz w:val="22"/>
          <w:szCs w:val="22"/>
        </w:rPr>
        <w:t>, informations données par exemple, sur la nécessité de réaliser des examens biologiques...</w:t>
      </w:r>
      <w:r w:rsidRPr="003207A4">
        <w:rPr>
          <w:rFonts w:eastAsia="Cambria" w:cs="Times"/>
          <w:sz w:val="22"/>
          <w:szCs w:val="22"/>
        </w:rPr>
        <w:t xml:space="preserve"> Nous avons attiré l'attention de l'administration sur ce point.</w:t>
      </w: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r w:rsidRPr="003207A4">
        <w:rPr>
          <w:rFonts w:ascii="Arial" w:eastAsia="Cambria" w:hAnsi="Arial" w:cs="Times"/>
          <w:color w:val="000000"/>
          <w:sz w:val="22"/>
          <w:szCs w:val="22"/>
        </w:rPr>
        <w:t xml:space="preserve">Il est en effet important de prévenir le service de </w:t>
      </w:r>
      <w:r w:rsidR="00D138D1" w:rsidRPr="005F7236">
        <w:rPr>
          <w:rFonts w:ascii="Arial" w:eastAsia="Times New Roman" w:hAnsi="Arial" w:cs="Arial"/>
          <w:color w:val="000000"/>
          <w:sz w:val="22"/>
          <w:szCs w:val="22"/>
          <w:lang w:eastAsia="fr-FR"/>
        </w:rPr>
        <w:t>médecine de prévention</w:t>
      </w:r>
      <w:r w:rsidRPr="003207A4">
        <w:rPr>
          <w:rFonts w:ascii="Arial" w:eastAsia="Cambria" w:hAnsi="Arial" w:cs="Times"/>
          <w:color w:val="000000"/>
          <w:sz w:val="22"/>
          <w:szCs w:val="22"/>
        </w:rPr>
        <w:t xml:space="preserve"> lorsqu'un agent change de service si son futur poste est dit «à risque». Un agent peut tout à fait présenter une incompatibilité à un poste de travail alors qu'il n'en présentait pas pour le poste précédent.</w:t>
      </w: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p>
    <w:p w:rsidR="00F837F1" w:rsidRPr="00F837F1" w:rsidRDefault="00B75970" w:rsidP="008E0D32">
      <w:pPr>
        <w:pStyle w:val="western"/>
        <w:spacing w:before="0" w:beforeAutospacing="0" w:after="0" w:line="102" w:lineRule="atLeast"/>
        <w:jc w:val="both"/>
        <w:rPr>
          <w:rFonts w:ascii="Liberation Sans" w:hAnsi="Liberation Sans" w:cs="Liberation Sans"/>
        </w:rPr>
      </w:pPr>
      <w:r w:rsidRPr="003207A4">
        <w:rPr>
          <w:rFonts w:eastAsia="Cambria" w:cs="Times"/>
          <w:sz w:val="22"/>
          <w:szCs w:val="22"/>
        </w:rPr>
        <w:t xml:space="preserve">La réalisation d'examens complémentaires est parfois indispensable à la définition de la compatibilité au nouveau poste. </w:t>
      </w:r>
      <w:r w:rsidR="00F837F1" w:rsidRPr="00F837F1">
        <w:rPr>
          <w:sz w:val="22"/>
          <w:szCs w:val="22"/>
        </w:rPr>
        <w:t>Lorsque la prescription d’examens complémentaires entre dans le cadre de la compatibilité de l’agent à son poste de travail, nous insistons auprès des agents sur l’importance de ces examens.</w:t>
      </w:r>
      <w:r w:rsidR="00F837F1">
        <w:rPr>
          <w:sz w:val="22"/>
          <w:szCs w:val="22"/>
        </w:rPr>
        <w:t xml:space="preserve"> </w:t>
      </w:r>
      <w:r w:rsidR="00F837F1" w:rsidRPr="00F837F1">
        <w:rPr>
          <w:sz w:val="22"/>
          <w:szCs w:val="22"/>
        </w:rPr>
        <w:t>Ce point particulier de la consultation médicale répond aussi à la mission d’ «information sanitaire » qui nous est dévolue.</w:t>
      </w:r>
      <w:r w:rsidR="00F837F1">
        <w:rPr>
          <w:sz w:val="22"/>
          <w:szCs w:val="22"/>
        </w:rPr>
        <w:t xml:space="preserve"> </w:t>
      </w:r>
      <w:r w:rsidR="00F837F1" w:rsidRPr="00F837F1">
        <w:rPr>
          <w:sz w:val="22"/>
          <w:szCs w:val="22"/>
        </w:rPr>
        <w:t>Nous convenons d’un délai avec les agents pour la réalisation de ces examens.</w:t>
      </w:r>
      <w:r w:rsidR="008E0D32">
        <w:rPr>
          <w:sz w:val="22"/>
          <w:szCs w:val="22"/>
        </w:rPr>
        <w:t xml:space="preserve"> </w:t>
      </w:r>
      <w:r w:rsidR="00F837F1" w:rsidRPr="00F837F1">
        <w:rPr>
          <w:sz w:val="22"/>
          <w:szCs w:val="22"/>
        </w:rPr>
        <w:t>Au terme de ce délai, si nous n’avons pas reçu les résultats demandés nous en informons par écrit le référent du service de l’agent.</w:t>
      </w:r>
    </w:p>
    <w:p w:rsidR="008E0D32" w:rsidRDefault="008E0D32" w:rsidP="00B75970">
      <w:pPr>
        <w:widowControl w:val="0"/>
        <w:autoSpaceDE w:val="0"/>
        <w:autoSpaceDN w:val="0"/>
        <w:adjustRightInd w:val="0"/>
        <w:spacing w:line="100" w:lineRule="atLeast"/>
        <w:jc w:val="both"/>
        <w:rPr>
          <w:rFonts w:ascii="Arial" w:eastAsia="Cambria" w:hAnsi="Arial" w:cs="Times"/>
          <w:color w:val="000000"/>
          <w:sz w:val="22"/>
          <w:szCs w:val="22"/>
        </w:rPr>
      </w:pPr>
    </w:p>
    <w:p w:rsidR="008E0D32" w:rsidRPr="008E0D32" w:rsidRDefault="00B75970" w:rsidP="009E55D3">
      <w:pPr>
        <w:pStyle w:val="western"/>
        <w:spacing w:before="0" w:beforeAutospacing="0" w:after="0" w:line="102" w:lineRule="atLeast"/>
        <w:jc w:val="both"/>
        <w:rPr>
          <w:rFonts w:ascii="Liberation Sans" w:hAnsi="Liberation Sans" w:cs="Liberation Sans"/>
          <w:sz w:val="24"/>
          <w:szCs w:val="24"/>
        </w:rPr>
      </w:pPr>
      <w:r w:rsidRPr="003207A4">
        <w:rPr>
          <w:rFonts w:eastAsia="Cambria" w:cs="Times"/>
          <w:sz w:val="22"/>
          <w:szCs w:val="22"/>
        </w:rPr>
        <w:t>Le désir de rechercher un autre poste de travail se rencontre plus particulièrement dans le cadre d’une visite « à la demande ». Nous sommes restées particulièrement attentives aux demandes de visite de la part des agents et de la hiérarchie.</w:t>
      </w:r>
      <w:r w:rsidR="008E0D32">
        <w:rPr>
          <w:rFonts w:eastAsia="Cambria" w:cs="Times"/>
          <w:sz w:val="22"/>
          <w:szCs w:val="22"/>
        </w:rPr>
        <w:t xml:space="preserve"> </w:t>
      </w:r>
      <w:r w:rsidR="008E0D32" w:rsidRPr="008E0D32">
        <w:rPr>
          <w:sz w:val="22"/>
          <w:szCs w:val="22"/>
        </w:rPr>
        <w:t>Nous notons une augmentation du nombre de visite à la demande de l’agent (+32) ainsi qu’une augmentation des visites d’urgence visées par le MDP (+47) par rapport à l’année 2012.</w:t>
      </w: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p>
    <w:p w:rsidR="005F7236" w:rsidRPr="005F7236" w:rsidRDefault="005F7236" w:rsidP="005F7236">
      <w:pPr>
        <w:jc w:val="both"/>
        <w:rPr>
          <w:rFonts w:ascii="Arial" w:eastAsia="Times New Roman" w:hAnsi="Arial" w:cs="Arial"/>
          <w:color w:val="000000"/>
          <w:lang w:eastAsia="fr-FR"/>
        </w:rPr>
      </w:pPr>
      <w:r w:rsidRPr="005F7236">
        <w:rPr>
          <w:rFonts w:ascii="Arial" w:eastAsia="Times New Roman" w:hAnsi="Arial" w:cs="Arial"/>
          <w:color w:val="000000"/>
          <w:sz w:val="22"/>
          <w:szCs w:val="22"/>
          <w:lang w:eastAsia="fr-FR"/>
        </w:rPr>
        <w:t>En 2013, dans le service de médecine de prévention des B</w:t>
      </w:r>
      <w:r>
        <w:rPr>
          <w:rFonts w:ascii="Arial" w:eastAsia="Times New Roman" w:hAnsi="Arial" w:cs="Arial"/>
          <w:color w:val="000000"/>
          <w:sz w:val="22"/>
          <w:szCs w:val="22"/>
          <w:lang w:eastAsia="fr-FR"/>
        </w:rPr>
        <w:t xml:space="preserve">ons </w:t>
      </w:r>
      <w:r w:rsidRPr="005F7236">
        <w:rPr>
          <w:rFonts w:ascii="Arial" w:eastAsia="Times New Roman" w:hAnsi="Arial" w:cs="Arial"/>
          <w:color w:val="000000"/>
          <w:sz w:val="22"/>
          <w:szCs w:val="22"/>
          <w:lang w:eastAsia="fr-FR"/>
        </w:rPr>
        <w:t>E</w:t>
      </w:r>
      <w:r>
        <w:rPr>
          <w:rFonts w:ascii="Arial" w:eastAsia="Times New Roman" w:hAnsi="Arial" w:cs="Arial"/>
          <w:color w:val="000000"/>
          <w:sz w:val="22"/>
          <w:szCs w:val="22"/>
          <w:lang w:eastAsia="fr-FR"/>
        </w:rPr>
        <w:t>nfants</w:t>
      </w:r>
      <w:r w:rsidRPr="005F7236">
        <w:rPr>
          <w:rFonts w:ascii="Arial" w:eastAsia="Times New Roman" w:hAnsi="Arial" w:cs="Arial"/>
          <w:color w:val="000000"/>
          <w:sz w:val="22"/>
          <w:szCs w:val="22"/>
          <w:lang w:eastAsia="fr-FR"/>
        </w:rPr>
        <w:t xml:space="preserve">, nous avons effectué 293 consultations dites </w:t>
      </w:r>
      <w:r w:rsidRPr="005F7236">
        <w:rPr>
          <w:rFonts w:ascii="Arial" w:eastAsia="Times New Roman" w:hAnsi="Arial" w:cs="Arial"/>
          <w:b/>
          <w:bCs/>
          <w:color w:val="000000"/>
          <w:sz w:val="22"/>
          <w:szCs w:val="22"/>
          <w:lang w:eastAsia="fr-FR"/>
        </w:rPr>
        <w:t>“</w:t>
      </w:r>
      <w:r w:rsidRPr="005F7236">
        <w:rPr>
          <w:rFonts w:ascii="Arial" w:eastAsia="Times New Roman" w:hAnsi="Arial" w:cs="Arial"/>
          <w:b/>
          <w:bCs/>
          <w:color w:val="800040"/>
          <w:sz w:val="22"/>
          <w:szCs w:val="22"/>
          <w:lang w:eastAsia="fr-FR"/>
        </w:rPr>
        <w:t>consultations de souffrance au travail</w:t>
      </w:r>
      <w:r w:rsidRPr="005F7236">
        <w:rPr>
          <w:rFonts w:ascii="Arial" w:eastAsia="Times New Roman" w:hAnsi="Arial" w:cs="Arial"/>
          <w:b/>
          <w:bCs/>
          <w:color w:val="000000"/>
          <w:sz w:val="22"/>
          <w:szCs w:val="22"/>
          <w:lang w:eastAsia="fr-FR"/>
        </w:rPr>
        <w:t>”</w:t>
      </w:r>
      <w:r w:rsidRPr="005F7236">
        <w:rPr>
          <w:rFonts w:ascii="Arial" w:eastAsia="Times New Roman" w:hAnsi="Arial" w:cs="Arial"/>
          <w:color w:val="000000"/>
          <w:sz w:val="22"/>
          <w:szCs w:val="22"/>
          <w:lang w:eastAsia="fr-FR"/>
        </w:rPr>
        <w:t xml:space="preserve"> diagnostic du médecin de prévention, soit 51 de plus qu’en 2012 (21 % d’augmentation)</w:t>
      </w:r>
      <w:r w:rsidRPr="005F7236">
        <w:rPr>
          <w:rFonts w:ascii="Arial" w:eastAsia="Times New Roman" w:hAnsi="Arial" w:cs="Arial"/>
          <w:i/>
          <w:iCs/>
          <w:color w:val="000000"/>
          <w:sz w:val="22"/>
          <w:szCs w:val="22"/>
          <w:lang w:eastAsia="fr-FR"/>
        </w:rPr>
        <w:t>.</w:t>
      </w:r>
      <w:r>
        <w:rPr>
          <w:rFonts w:ascii="Arial" w:eastAsia="Times New Roman" w:hAnsi="Arial" w:cs="Arial"/>
          <w:i/>
          <w:iCs/>
          <w:color w:val="000000"/>
          <w:sz w:val="22"/>
          <w:szCs w:val="22"/>
          <w:lang w:eastAsia="fr-FR"/>
        </w:rPr>
        <w:t xml:space="preserve"> </w:t>
      </w:r>
      <w:r w:rsidRPr="005F7236">
        <w:rPr>
          <w:rFonts w:ascii="Arial" w:eastAsia="Times New Roman" w:hAnsi="Arial" w:cs="Arial"/>
          <w:color w:val="000000"/>
          <w:sz w:val="22"/>
          <w:szCs w:val="22"/>
          <w:lang w:eastAsia="fr-FR"/>
        </w:rPr>
        <w:t>Ce sont toujours des consultations complexes et préoccupantes, difficiles et douloureuses. Leur durée moyenne est de 90 mn voire plus dans certaines situations aiguës.</w:t>
      </w:r>
      <w:r>
        <w:rPr>
          <w:rFonts w:ascii="Arial" w:eastAsia="Times New Roman" w:hAnsi="Arial" w:cs="Arial"/>
          <w:color w:val="000000"/>
          <w:sz w:val="22"/>
          <w:szCs w:val="22"/>
          <w:lang w:eastAsia="fr-FR"/>
        </w:rPr>
        <w:t xml:space="preserve"> </w:t>
      </w:r>
      <w:r w:rsidRPr="005F7236">
        <w:rPr>
          <w:rFonts w:ascii="Arial" w:eastAsia="Times New Roman" w:hAnsi="Arial" w:cs="Arial"/>
          <w:color w:val="000000"/>
          <w:sz w:val="22"/>
          <w:szCs w:val="22"/>
          <w:lang w:eastAsia="fr-FR"/>
        </w:rPr>
        <w:t xml:space="preserve">Il arrive que lors de situations particulièrement préoccupantes, l’agent soit reçu par deux médecins de prévention. Ce chiffre porte sur l’ensemble des agents reçus dans le service de médecine de prévention </w:t>
      </w:r>
      <w:r>
        <w:rPr>
          <w:rFonts w:ascii="Arial" w:eastAsia="Times New Roman" w:hAnsi="Arial" w:cs="Arial"/>
          <w:color w:val="000000"/>
          <w:sz w:val="22"/>
          <w:szCs w:val="22"/>
          <w:lang w:eastAsia="fr-FR"/>
        </w:rPr>
        <w:t>aux</w:t>
      </w:r>
      <w:r w:rsidRPr="005F7236">
        <w:rPr>
          <w:rFonts w:ascii="Arial" w:eastAsia="Times New Roman" w:hAnsi="Arial" w:cs="Arial"/>
          <w:color w:val="000000"/>
          <w:sz w:val="22"/>
          <w:szCs w:val="22"/>
          <w:lang w:eastAsia="fr-FR"/>
        </w:rPr>
        <w:t xml:space="preserve"> B</w:t>
      </w:r>
      <w:r>
        <w:rPr>
          <w:rFonts w:ascii="Arial" w:eastAsia="Times New Roman" w:hAnsi="Arial" w:cs="Arial"/>
          <w:color w:val="000000"/>
          <w:sz w:val="22"/>
          <w:szCs w:val="22"/>
          <w:lang w:eastAsia="fr-FR"/>
        </w:rPr>
        <w:t xml:space="preserve">ons </w:t>
      </w:r>
      <w:r w:rsidRPr="005F7236">
        <w:rPr>
          <w:rFonts w:ascii="Arial" w:eastAsia="Times New Roman" w:hAnsi="Arial" w:cs="Arial"/>
          <w:color w:val="000000"/>
          <w:sz w:val="22"/>
          <w:szCs w:val="22"/>
          <w:lang w:eastAsia="fr-FR"/>
        </w:rPr>
        <w:t>E</w:t>
      </w:r>
      <w:r>
        <w:rPr>
          <w:rFonts w:ascii="Arial" w:eastAsia="Times New Roman" w:hAnsi="Arial" w:cs="Arial"/>
          <w:color w:val="000000"/>
          <w:sz w:val="22"/>
          <w:szCs w:val="22"/>
          <w:lang w:eastAsia="fr-FR"/>
        </w:rPr>
        <w:t>nfants</w:t>
      </w:r>
      <w:r w:rsidRPr="005F7236">
        <w:rPr>
          <w:rFonts w:ascii="Arial" w:eastAsia="Times New Roman" w:hAnsi="Arial" w:cs="Arial"/>
          <w:color w:val="000000"/>
          <w:sz w:val="22"/>
          <w:szCs w:val="22"/>
          <w:lang w:eastAsia="fr-FR"/>
        </w:rPr>
        <w:t xml:space="preserve"> et donc ne correspond pas exclusivement aux agents de l’Administration Centrale.</w:t>
      </w:r>
    </w:p>
    <w:p w:rsidR="005F7236" w:rsidRDefault="005F7236" w:rsidP="005F7236">
      <w:pPr>
        <w:spacing w:line="102" w:lineRule="atLeast"/>
        <w:jc w:val="both"/>
        <w:rPr>
          <w:rFonts w:ascii="Arial" w:eastAsia="Times New Roman" w:hAnsi="Arial" w:cs="Arial"/>
          <w:color w:val="000000"/>
          <w:sz w:val="22"/>
          <w:szCs w:val="22"/>
          <w:lang w:eastAsia="fr-FR"/>
        </w:rPr>
      </w:pPr>
      <w:r w:rsidRPr="005F7236">
        <w:rPr>
          <w:rFonts w:ascii="Arial" w:eastAsia="Times New Roman" w:hAnsi="Arial" w:cs="Arial"/>
          <w:color w:val="000000"/>
          <w:sz w:val="22"/>
          <w:szCs w:val="22"/>
          <w:lang w:eastAsia="fr-FR"/>
        </w:rPr>
        <w:t>En d'autres termes, le temps passé pour une consultation de souffrance au travail correspond au temps passé pour 3 ou 4 visites médicales réglementaires.</w:t>
      </w:r>
    </w:p>
    <w:p w:rsidR="005F7236" w:rsidRPr="005F7236" w:rsidRDefault="005F7236" w:rsidP="005F7236">
      <w:pPr>
        <w:spacing w:line="102" w:lineRule="atLeast"/>
        <w:jc w:val="both"/>
        <w:rPr>
          <w:rFonts w:ascii="Arial" w:eastAsia="Times New Roman" w:hAnsi="Arial" w:cs="Arial"/>
          <w:color w:val="000000"/>
          <w:lang w:eastAsia="fr-FR"/>
        </w:rPr>
      </w:pPr>
    </w:p>
    <w:p w:rsidR="005F7236" w:rsidRPr="005F7236" w:rsidRDefault="005F7236" w:rsidP="005F7236">
      <w:pPr>
        <w:spacing w:line="102" w:lineRule="atLeast"/>
        <w:jc w:val="both"/>
        <w:rPr>
          <w:rFonts w:ascii="Arial" w:eastAsia="Times New Roman" w:hAnsi="Arial" w:cs="Arial"/>
          <w:color w:val="000000"/>
          <w:lang w:eastAsia="fr-FR"/>
        </w:rPr>
      </w:pPr>
      <w:r w:rsidRPr="005F7236">
        <w:rPr>
          <w:rFonts w:ascii="Arial" w:eastAsia="Times New Roman" w:hAnsi="Arial" w:cs="Arial"/>
          <w:color w:val="000000"/>
          <w:sz w:val="22"/>
          <w:szCs w:val="22"/>
          <w:lang w:eastAsia="fr-FR"/>
        </w:rPr>
        <w:t>De plus, une première consultation de souffrance au travail donne lieu à un suivi médical systématique.</w:t>
      </w:r>
      <w:r>
        <w:rPr>
          <w:rFonts w:ascii="Arial" w:eastAsia="Times New Roman" w:hAnsi="Arial" w:cs="Arial"/>
          <w:color w:val="000000"/>
          <w:sz w:val="22"/>
          <w:szCs w:val="22"/>
          <w:lang w:eastAsia="fr-FR"/>
        </w:rPr>
        <w:t xml:space="preserve"> </w:t>
      </w:r>
      <w:r w:rsidRPr="005F7236">
        <w:rPr>
          <w:rFonts w:ascii="Arial" w:eastAsia="Times New Roman" w:hAnsi="Arial" w:cs="Arial"/>
          <w:color w:val="000000"/>
          <w:sz w:val="22"/>
          <w:szCs w:val="22"/>
          <w:lang w:eastAsia="fr-FR"/>
        </w:rPr>
        <w:t>Les échanges téléphoniques avec les agents en difficulté, les lignes hiérarchiques, les médecins traitants (toujours après accord avec les agents) n'ont pas été comptabilisés dans ce rapport.</w:t>
      </w:r>
    </w:p>
    <w:p w:rsidR="00C37AC1" w:rsidRDefault="00C37AC1">
      <w:pPr>
        <w:spacing w:after="160" w:line="259" w:lineRule="auto"/>
        <w:rPr>
          <w:rFonts w:ascii="Arial" w:eastAsia="Cambria" w:hAnsi="Arial" w:cs="Times"/>
          <w:color w:val="000000"/>
          <w:sz w:val="22"/>
          <w:szCs w:val="22"/>
        </w:rPr>
      </w:pPr>
      <w:r>
        <w:rPr>
          <w:rFonts w:ascii="Arial" w:eastAsia="Cambria" w:hAnsi="Arial" w:cs="Times"/>
          <w:color w:val="000000"/>
          <w:sz w:val="22"/>
          <w:szCs w:val="22"/>
        </w:rPr>
        <w:br w:type="page"/>
      </w: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000000"/>
          <w:sz w:val="22"/>
          <w:szCs w:val="22"/>
        </w:rPr>
      </w:pPr>
      <w:r w:rsidRPr="003207A4">
        <w:rPr>
          <w:rFonts w:ascii="Arial" w:eastAsia="Cambria" w:hAnsi="Arial" w:cs="Times"/>
          <w:i/>
          <w:iCs/>
          <w:color w:val="000000"/>
          <w:sz w:val="22"/>
          <w:szCs w:val="22"/>
        </w:rPr>
        <w:t>Pour mémoire, rappel de la procédure mise en place par l'équipe médicale devant une suspicion de souffrance au travail.</w:t>
      </w: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000000"/>
          <w:sz w:val="22"/>
          <w:szCs w:val="22"/>
        </w:rPr>
      </w:pP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000000"/>
          <w:sz w:val="22"/>
          <w:szCs w:val="22"/>
        </w:rPr>
      </w:pPr>
      <w:r w:rsidRPr="003207A4">
        <w:rPr>
          <w:rFonts w:ascii="Arial" w:eastAsia="Cambria" w:hAnsi="Arial" w:cs="Times"/>
          <w:i/>
          <w:iCs/>
          <w:color w:val="000000"/>
          <w:sz w:val="22"/>
          <w:szCs w:val="22"/>
        </w:rPr>
        <w:t>Devant une suspicion de souffrance au travail, l’équipe des médecins de prévention travaille de la manière suivante :</w:t>
      </w:r>
    </w:p>
    <w:p w:rsidR="00B75970" w:rsidRPr="003207A4" w:rsidRDefault="00B75970" w:rsidP="00C37AC1">
      <w:pPr>
        <w:widowControl w:val="0"/>
        <w:autoSpaceDE w:val="0"/>
        <w:autoSpaceDN w:val="0"/>
        <w:adjustRightInd w:val="0"/>
        <w:spacing w:before="240" w:line="100" w:lineRule="atLeast"/>
        <w:jc w:val="both"/>
        <w:rPr>
          <w:rFonts w:ascii="Arial" w:eastAsia="Cambria" w:hAnsi="Arial" w:cs="Times"/>
          <w:i/>
          <w:iCs/>
          <w:color w:val="000000"/>
          <w:sz w:val="22"/>
          <w:szCs w:val="22"/>
        </w:rPr>
      </w:pPr>
      <w:r w:rsidRPr="003207A4">
        <w:rPr>
          <w:rFonts w:ascii="Arial" w:eastAsia="Cambria" w:hAnsi="Arial" w:cs="Times"/>
          <w:i/>
          <w:iCs/>
          <w:color w:val="000000"/>
          <w:sz w:val="22"/>
          <w:szCs w:val="22"/>
        </w:rPr>
        <w:t>1 - Face à une alerte collective, quelle qu’en soit la porte d’entrée, nous travaillons en binôme. Le médecin en charge du service est aidé par une collègue. Elles reçoivent individuellement les agents qui le désirent, il n'est pas exclu qu’elles décident de rencontrer en colloque singulier l'ensemble des agents du service.</w:t>
      </w:r>
      <w:r w:rsidR="00C37AC1">
        <w:rPr>
          <w:rFonts w:ascii="Arial" w:eastAsia="Cambria" w:hAnsi="Arial" w:cs="Times"/>
          <w:i/>
          <w:iCs/>
          <w:color w:val="000000"/>
          <w:sz w:val="22"/>
          <w:szCs w:val="22"/>
        </w:rPr>
        <w:t xml:space="preserve"> </w:t>
      </w:r>
      <w:r w:rsidRPr="003207A4">
        <w:rPr>
          <w:rFonts w:ascii="Arial" w:eastAsia="Cambria" w:hAnsi="Arial" w:cs="Times"/>
          <w:i/>
          <w:iCs/>
          <w:color w:val="000000"/>
          <w:sz w:val="22"/>
          <w:szCs w:val="22"/>
        </w:rPr>
        <w:t>Chaque consultation se conclut par une évaluation avec l'aide d'un outil choisi au préalable (grille INRS).</w:t>
      </w: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000000"/>
          <w:sz w:val="22"/>
          <w:szCs w:val="22"/>
        </w:rPr>
      </w:pPr>
      <w:r w:rsidRPr="003207A4">
        <w:rPr>
          <w:rFonts w:ascii="Arial" w:eastAsia="Cambria" w:hAnsi="Arial" w:cs="Times"/>
          <w:i/>
          <w:iCs/>
          <w:color w:val="000000"/>
          <w:sz w:val="22"/>
          <w:szCs w:val="22"/>
        </w:rPr>
        <w:t>La durée moyenne prévue pour chaque consultation est de 1 h, en pratique elle est de 90 mn.</w:t>
      </w: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FF0000"/>
          <w:sz w:val="22"/>
          <w:szCs w:val="22"/>
        </w:rPr>
      </w:pPr>
      <w:r w:rsidRPr="003207A4">
        <w:rPr>
          <w:rFonts w:ascii="Arial" w:eastAsia="Cambria" w:hAnsi="Arial" w:cs="Times"/>
          <w:i/>
          <w:iCs/>
          <w:color w:val="000000"/>
          <w:sz w:val="22"/>
          <w:szCs w:val="22"/>
        </w:rPr>
        <w:t>Nous croisons ensuite nos approches, afin de conclure ensemble sur le point consultations. Nous sommes alors en capacité de faire le lien avec le travail et ses conditions, lorsque ce lien existe. Nous rencontrons ensuite les responsables afin d'entendre ce qu'ils comprennent de la situation et éventuellement leurs difficultés propres.</w:t>
      </w:r>
      <w:r w:rsidRPr="003207A4">
        <w:rPr>
          <w:rFonts w:ascii="Arial" w:eastAsia="Cambria" w:hAnsi="Arial" w:cs="Times"/>
          <w:i/>
          <w:iCs/>
          <w:color w:val="FF0000"/>
          <w:sz w:val="22"/>
          <w:szCs w:val="22"/>
        </w:rPr>
        <w:t xml:space="preserve"> </w:t>
      </w:r>
      <w:r w:rsidRPr="003207A4">
        <w:rPr>
          <w:rFonts w:ascii="Arial" w:eastAsia="Cambria" w:hAnsi="Arial" w:cs="Times"/>
          <w:i/>
          <w:iCs/>
          <w:color w:val="000000"/>
          <w:sz w:val="22"/>
          <w:szCs w:val="22"/>
        </w:rPr>
        <w:t>De la même façon, nous rencontrons les organisations syndicales. Les médecins rédigent ensemble leurs conclusions.</w:t>
      </w: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FF0000"/>
          <w:sz w:val="22"/>
          <w:szCs w:val="22"/>
        </w:rPr>
      </w:pP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000000"/>
          <w:sz w:val="22"/>
          <w:szCs w:val="22"/>
        </w:rPr>
      </w:pPr>
      <w:r w:rsidRPr="003207A4">
        <w:rPr>
          <w:rFonts w:ascii="Arial" w:eastAsia="Cambria" w:hAnsi="Arial" w:cs="Times"/>
          <w:i/>
          <w:iCs/>
          <w:color w:val="000000"/>
          <w:sz w:val="22"/>
          <w:szCs w:val="22"/>
        </w:rPr>
        <w:t>2 - En ce qui concerne les demandes individuelles, nous travaillons avec des modalités voisines.</w:t>
      </w: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000000"/>
          <w:sz w:val="22"/>
          <w:szCs w:val="22"/>
        </w:rPr>
      </w:pPr>
      <w:r w:rsidRPr="003207A4">
        <w:rPr>
          <w:rFonts w:ascii="Arial" w:eastAsia="Cambria" w:hAnsi="Arial" w:cs="Times"/>
          <w:i/>
          <w:iCs/>
          <w:color w:val="000000"/>
          <w:sz w:val="22"/>
          <w:szCs w:val="22"/>
        </w:rPr>
        <w:t>Il se peut en effet que nous nous sentions démunies face à des agents qui, souvent par peur, nous demandent de « surtout ne rien dire », que ce sentiment de peur soit justifié ou non.</w:t>
      </w: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000000"/>
          <w:sz w:val="22"/>
          <w:szCs w:val="22"/>
        </w:rPr>
      </w:pPr>
      <w:r w:rsidRPr="003207A4">
        <w:rPr>
          <w:rFonts w:ascii="Arial" w:eastAsia="Cambria" w:hAnsi="Arial" w:cs="Times"/>
          <w:i/>
          <w:iCs/>
          <w:color w:val="000000"/>
          <w:sz w:val="22"/>
          <w:szCs w:val="22"/>
        </w:rPr>
        <w:t xml:space="preserve">Nous nous devons de respecter leur volonté; cependant il est aussi de notre responsabilité d'alerter afin de toujours préserver la santé des agents. Lorsque nous diagnostiquons une souffrance en lien avec le travail, si malgré nos efforts nous n'arrivons pas à tranquilliser les agents, </w:t>
      </w:r>
      <w:r w:rsidRPr="003207A4">
        <w:rPr>
          <w:rFonts w:ascii="Arial" w:eastAsia="Cambria" w:hAnsi="Arial" w:cs="Times"/>
          <w:i/>
          <w:iCs/>
          <w:color w:val="000000"/>
          <w:sz w:val="22"/>
          <w:szCs w:val="22"/>
          <w:u w:val="single"/>
        </w:rPr>
        <w:t>à distance de la consultation dans le temps</w:t>
      </w:r>
      <w:r w:rsidRPr="003207A4">
        <w:rPr>
          <w:rFonts w:ascii="Arial" w:eastAsia="Cambria" w:hAnsi="Arial" w:cs="Times"/>
          <w:i/>
          <w:iCs/>
          <w:color w:val="000000"/>
          <w:sz w:val="22"/>
          <w:szCs w:val="22"/>
        </w:rPr>
        <w:t>, nous effectuerons une étude de poste et/ou une visite des locaux. Nous convoquons aussi l'ensemble des agents du service concerné, en binôme, afin de savoir si nous retenons (ou non) une problématique collective.</w:t>
      </w:r>
    </w:p>
    <w:p w:rsidR="00B75970" w:rsidRPr="003207A4" w:rsidRDefault="00B75970" w:rsidP="00B75970">
      <w:pPr>
        <w:widowControl w:val="0"/>
        <w:autoSpaceDE w:val="0"/>
        <w:autoSpaceDN w:val="0"/>
        <w:adjustRightInd w:val="0"/>
        <w:spacing w:line="100" w:lineRule="atLeast"/>
        <w:jc w:val="both"/>
        <w:rPr>
          <w:rFonts w:ascii="Arial" w:eastAsia="Cambria" w:hAnsi="Arial" w:cs="Times"/>
          <w:i/>
          <w:iCs/>
          <w:color w:val="000000"/>
          <w:sz w:val="22"/>
          <w:szCs w:val="22"/>
        </w:rPr>
      </w:pPr>
      <w:r w:rsidRPr="003207A4">
        <w:rPr>
          <w:rFonts w:ascii="Arial" w:eastAsia="Cambria" w:hAnsi="Arial" w:cs="Times"/>
          <w:i/>
          <w:iCs/>
          <w:color w:val="000000"/>
          <w:sz w:val="22"/>
          <w:szCs w:val="22"/>
        </w:rPr>
        <w:t>Cette distance dans le temps ainsi que l'approche collective nous semblent être des garants de la confidentialité.</w:t>
      </w:r>
    </w:p>
    <w:p w:rsidR="00B75970" w:rsidRPr="003207A4" w:rsidRDefault="00B75970" w:rsidP="00C37AC1">
      <w:pPr>
        <w:widowControl w:val="0"/>
        <w:autoSpaceDE w:val="0"/>
        <w:autoSpaceDN w:val="0"/>
        <w:adjustRightInd w:val="0"/>
        <w:spacing w:before="240" w:line="100" w:lineRule="atLeast"/>
        <w:jc w:val="both"/>
        <w:rPr>
          <w:rFonts w:ascii="Arial" w:eastAsia="Cambria" w:hAnsi="Arial" w:cs="Times"/>
          <w:color w:val="000000"/>
          <w:sz w:val="22"/>
          <w:szCs w:val="22"/>
        </w:rPr>
      </w:pPr>
      <w:r w:rsidRPr="003207A4">
        <w:rPr>
          <w:rFonts w:ascii="Arial" w:eastAsia="Cambria" w:hAnsi="Arial" w:cs="Times"/>
          <w:color w:val="000000"/>
          <w:sz w:val="22"/>
          <w:szCs w:val="22"/>
        </w:rPr>
        <w:t>Les visites à la demande dites de « souffrance au travail » sont nombreuses. Elles sont terriblement chronophages. C'est une donnée qui a contribué à modifier notre activité.</w:t>
      </w: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FF0000"/>
          <w:sz w:val="22"/>
          <w:szCs w:val="22"/>
        </w:rPr>
      </w:pP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r w:rsidRPr="003207A4">
        <w:rPr>
          <w:rFonts w:ascii="Arial" w:eastAsia="Cambria" w:hAnsi="Arial" w:cs="Times"/>
          <w:color w:val="000000"/>
          <w:sz w:val="22"/>
          <w:szCs w:val="22"/>
        </w:rPr>
        <w:t xml:space="preserve">Les  </w:t>
      </w:r>
      <w:r w:rsidRPr="003207A4">
        <w:rPr>
          <w:rFonts w:ascii="Arial" w:eastAsia="Cambria" w:hAnsi="Arial" w:cs="Times"/>
          <w:b/>
          <w:bCs/>
          <w:color w:val="800040"/>
          <w:sz w:val="22"/>
          <w:szCs w:val="22"/>
        </w:rPr>
        <w:t>« Urgences » </w:t>
      </w:r>
      <w:r w:rsidRPr="003207A4">
        <w:rPr>
          <w:rFonts w:ascii="Arial" w:eastAsia="Cambria" w:hAnsi="Arial" w:cs="Times"/>
          <w:color w:val="000000"/>
          <w:sz w:val="22"/>
          <w:szCs w:val="22"/>
        </w:rPr>
        <w:t>:</w:t>
      </w:r>
    </w:p>
    <w:p w:rsidR="00B75970" w:rsidRPr="003207A4" w:rsidRDefault="00B75970" w:rsidP="0019162F">
      <w:pPr>
        <w:widowControl w:val="0"/>
        <w:autoSpaceDE w:val="0"/>
        <w:autoSpaceDN w:val="0"/>
        <w:adjustRightInd w:val="0"/>
        <w:spacing w:line="100" w:lineRule="atLeast"/>
        <w:jc w:val="both"/>
        <w:rPr>
          <w:rFonts w:ascii="Arial" w:eastAsia="Cambria" w:hAnsi="Arial" w:cs="Times"/>
          <w:color w:val="000000"/>
          <w:sz w:val="22"/>
          <w:szCs w:val="22"/>
        </w:rPr>
      </w:pPr>
      <w:r w:rsidRPr="003207A4">
        <w:rPr>
          <w:rFonts w:ascii="Arial" w:eastAsia="Cambria" w:hAnsi="Arial" w:cs="Times"/>
          <w:color w:val="000000"/>
          <w:sz w:val="22"/>
          <w:szCs w:val="22"/>
        </w:rPr>
        <w:t xml:space="preserve">Les agents sont pris en charge par le service de </w:t>
      </w:r>
      <w:r w:rsidR="00C37AC1">
        <w:rPr>
          <w:rFonts w:ascii="Arial" w:eastAsia="Cambria" w:hAnsi="Arial" w:cs="Times"/>
          <w:color w:val="000000"/>
          <w:sz w:val="22"/>
          <w:szCs w:val="22"/>
        </w:rPr>
        <w:t>médecine de prévention</w:t>
      </w:r>
      <w:r w:rsidRPr="003207A4">
        <w:rPr>
          <w:rFonts w:ascii="Arial" w:eastAsia="Cambria" w:hAnsi="Arial" w:cs="Times"/>
          <w:color w:val="000000"/>
          <w:sz w:val="22"/>
          <w:szCs w:val="22"/>
        </w:rPr>
        <w:t>. Ils peuvent être orientés vers le médecin traitant ou les établissements de soins si besoin.</w:t>
      </w:r>
      <w:r w:rsidR="0019162F">
        <w:rPr>
          <w:rFonts w:ascii="Arial" w:eastAsia="Cambria" w:hAnsi="Arial" w:cs="Times"/>
          <w:color w:val="000000"/>
          <w:sz w:val="22"/>
          <w:szCs w:val="22"/>
        </w:rPr>
        <w:t xml:space="preserve"> </w:t>
      </w:r>
      <w:r w:rsidR="00C37AC1">
        <w:rPr>
          <w:rFonts w:ascii="Arial" w:eastAsia="Cambria" w:hAnsi="Arial" w:cs="Times"/>
          <w:color w:val="000000"/>
          <w:sz w:val="22"/>
          <w:szCs w:val="22"/>
        </w:rPr>
        <w:t xml:space="preserve">En </w:t>
      </w:r>
      <w:r w:rsidRPr="003207A4">
        <w:rPr>
          <w:rFonts w:ascii="Arial" w:eastAsia="Cambria" w:hAnsi="Arial" w:cs="Times"/>
          <w:color w:val="000000"/>
          <w:sz w:val="22"/>
          <w:szCs w:val="22"/>
        </w:rPr>
        <w:t>201</w:t>
      </w:r>
      <w:r w:rsidR="00C37AC1">
        <w:rPr>
          <w:rFonts w:ascii="Arial" w:eastAsia="Cambria" w:hAnsi="Arial" w:cs="Times"/>
          <w:color w:val="000000"/>
          <w:sz w:val="22"/>
          <w:szCs w:val="22"/>
        </w:rPr>
        <w:t>3</w:t>
      </w:r>
      <w:r w:rsidRPr="003207A4">
        <w:rPr>
          <w:rFonts w:ascii="Arial" w:eastAsia="Cambria" w:hAnsi="Arial" w:cs="Times"/>
          <w:color w:val="000000"/>
          <w:sz w:val="22"/>
          <w:szCs w:val="22"/>
        </w:rPr>
        <w:t xml:space="preserve"> : </w:t>
      </w:r>
      <w:r w:rsidR="00C37AC1">
        <w:rPr>
          <w:rFonts w:ascii="Arial" w:eastAsia="Cambria" w:hAnsi="Arial" w:cs="Times"/>
          <w:color w:val="000000"/>
          <w:sz w:val="22"/>
          <w:szCs w:val="22"/>
        </w:rPr>
        <w:t>22</w:t>
      </w:r>
      <w:r w:rsidRPr="003207A4">
        <w:rPr>
          <w:rFonts w:ascii="Arial" w:eastAsia="Cambria" w:hAnsi="Arial" w:cs="Times"/>
          <w:color w:val="000000"/>
          <w:sz w:val="22"/>
          <w:szCs w:val="22"/>
        </w:rPr>
        <w:t xml:space="preserve"> évacuations vers les urgences hospitalières dont 4 par le SAMU</w:t>
      </w:r>
      <w:r w:rsidR="0019162F">
        <w:rPr>
          <w:rFonts w:ascii="Arial" w:eastAsia="Cambria" w:hAnsi="Arial" w:cs="Times"/>
          <w:color w:val="000000"/>
          <w:sz w:val="22"/>
          <w:szCs w:val="22"/>
        </w:rPr>
        <w:t>.</w:t>
      </w:r>
    </w:p>
    <w:p w:rsidR="00B75970" w:rsidRPr="003207A4" w:rsidRDefault="00B75970" w:rsidP="00B75970">
      <w:pPr>
        <w:widowControl w:val="0"/>
        <w:autoSpaceDE w:val="0"/>
        <w:autoSpaceDN w:val="0"/>
        <w:adjustRightInd w:val="0"/>
        <w:spacing w:line="100" w:lineRule="atLeast"/>
        <w:jc w:val="both"/>
        <w:rPr>
          <w:rFonts w:ascii="Arial" w:eastAsia="Cambria" w:hAnsi="Arial" w:cs="Times"/>
          <w:color w:val="000000"/>
          <w:sz w:val="22"/>
          <w:szCs w:val="22"/>
        </w:rPr>
      </w:pPr>
    </w:p>
    <w:p w:rsidR="00C37AC1" w:rsidRPr="00C37AC1" w:rsidRDefault="00B75970" w:rsidP="00C37AC1">
      <w:pPr>
        <w:pStyle w:val="western"/>
        <w:spacing w:before="0" w:beforeAutospacing="0" w:after="0" w:line="102" w:lineRule="atLeast"/>
        <w:ind w:left="28"/>
        <w:jc w:val="both"/>
        <w:rPr>
          <w:rFonts w:ascii="Liberation Sans" w:hAnsi="Liberation Sans" w:cs="Liberation Sans"/>
          <w:sz w:val="24"/>
          <w:szCs w:val="24"/>
        </w:rPr>
      </w:pPr>
      <w:r w:rsidRPr="003207A4">
        <w:rPr>
          <w:rFonts w:eastAsia="Cambria" w:cs="Times"/>
          <w:sz w:val="22"/>
          <w:szCs w:val="22"/>
        </w:rPr>
        <w:t xml:space="preserve">Dans certains cas, les agents ne sont pas en capacité de se rendre par leurs propres moyens aux rendez-vous médicaux et les personnes de leur entourage sont dans l'impossibilité de les accompagner. </w:t>
      </w:r>
      <w:r w:rsidR="00C37AC1">
        <w:rPr>
          <w:rFonts w:eastAsia="Cambria" w:cs="Times"/>
          <w:sz w:val="22"/>
          <w:szCs w:val="22"/>
        </w:rPr>
        <w:t xml:space="preserve">Ainsi en 2013, </w:t>
      </w:r>
      <w:r w:rsidR="00C37AC1" w:rsidRPr="00C37AC1">
        <w:rPr>
          <w:sz w:val="22"/>
          <w:szCs w:val="22"/>
        </w:rPr>
        <w:t>32 agents ont bénéficié de la « procédure taxi » qui permet de conduire un agent chez son médecin traitant.</w:t>
      </w:r>
    </w:p>
    <w:p w:rsidR="00B75970" w:rsidRPr="003207A4" w:rsidRDefault="00B75970" w:rsidP="00B75970">
      <w:pPr>
        <w:tabs>
          <w:tab w:val="left" w:pos="1220"/>
        </w:tabs>
        <w:jc w:val="both"/>
        <w:rPr>
          <w:rFonts w:ascii="Arial" w:eastAsia="Cambria" w:hAnsi="Arial" w:cs="Times New Roman"/>
          <w:sz w:val="22"/>
          <w:szCs w:val="22"/>
        </w:rPr>
      </w:pPr>
    </w:p>
    <w:p w:rsidR="00B75970" w:rsidRPr="003207A4" w:rsidRDefault="00B75970" w:rsidP="00B75970">
      <w:pPr>
        <w:tabs>
          <w:tab w:val="left" w:pos="1220"/>
        </w:tabs>
        <w:rPr>
          <w:rFonts w:ascii="Arial" w:eastAsia="Cambria" w:hAnsi="Arial" w:cs="Times New Roman"/>
          <w:b/>
          <w:color w:val="800040"/>
          <w:sz w:val="22"/>
          <w:szCs w:val="22"/>
        </w:rPr>
      </w:pPr>
      <w:r w:rsidRPr="003207A4">
        <w:rPr>
          <w:rFonts w:ascii="Arial" w:eastAsia="Cambria" w:hAnsi="Arial" w:cs="Times New Roman"/>
          <w:b/>
          <w:color w:val="800040"/>
          <w:sz w:val="22"/>
          <w:szCs w:val="22"/>
        </w:rPr>
        <w:t>Visites médicales et absentéisme</w:t>
      </w:r>
    </w:p>
    <w:p w:rsidR="00B75970" w:rsidRPr="0019162F" w:rsidRDefault="00B75970" w:rsidP="00B75970">
      <w:pPr>
        <w:tabs>
          <w:tab w:val="left" w:pos="1220"/>
        </w:tabs>
        <w:rPr>
          <w:rFonts w:ascii="Arial" w:eastAsia="Cambria" w:hAnsi="Arial" w:cs="Arial"/>
          <w:b/>
          <w:bCs/>
          <w:spacing w:val="-10"/>
          <w:kern w:val="1"/>
          <w:sz w:val="22"/>
          <w:szCs w:val="22"/>
          <w:u w:val="single"/>
        </w:rPr>
      </w:pPr>
    </w:p>
    <w:p w:rsidR="0019162F" w:rsidRPr="0019162F" w:rsidRDefault="00414843" w:rsidP="0019162F">
      <w:pPr>
        <w:spacing w:line="102" w:lineRule="atLeast"/>
        <w:jc w:val="both"/>
        <w:rPr>
          <w:rFonts w:ascii="Arial" w:eastAsia="Times New Roman" w:hAnsi="Arial" w:cs="Arial"/>
          <w:color w:val="000000"/>
          <w:lang w:eastAsia="fr-FR"/>
        </w:rPr>
      </w:pPr>
      <w:r>
        <w:rPr>
          <w:rFonts w:ascii="Arial" w:eastAsia="Times New Roman" w:hAnsi="Arial" w:cs="Arial"/>
          <w:color w:val="000000"/>
          <w:sz w:val="22"/>
          <w:szCs w:val="22"/>
          <w:lang w:eastAsia="fr-FR"/>
        </w:rPr>
        <w:t>L</w:t>
      </w:r>
      <w:r w:rsidR="0019162F" w:rsidRPr="0019162F">
        <w:rPr>
          <w:rFonts w:ascii="Arial" w:eastAsia="Times New Roman" w:hAnsi="Arial" w:cs="Arial"/>
          <w:color w:val="000000"/>
          <w:sz w:val="22"/>
          <w:szCs w:val="22"/>
          <w:lang w:eastAsia="fr-FR"/>
        </w:rPr>
        <w:t xml:space="preserve">es convocations pour les visites périodiques sont le plus souvent faites par contact téléphonique préalable à l'envoi de la </w:t>
      </w:r>
      <w:r>
        <w:rPr>
          <w:rFonts w:ascii="Arial" w:eastAsia="Times New Roman" w:hAnsi="Arial" w:cs="Arial"/>
          <w:color w:val="000000"/>
          <w:sz w:val="22"/>
          <w:szCs w:val="22"/>
          <w:lang w:eastAsia="fr-FR"/>
        </w:rPr>
        <w:t>convocation par courriel ou par</w:t>
      </w:r>
      <w:r w:rsidR="0019162F" w:rsidRPr="0019162F">
        <w:rPr>
          <w:rFonts w:ascii="Arial" w:eastAsia="Times New Roman" w:hAnsi="Arial" w:cs="Arial"/>
          <w:color w:val="000000"/>
          <w:sz w:val="22"/>
          <w:szCs w:val="22"/>
          <w:lang w:eastAsia="fr-FR"/>
        </w:rPr>
        <w:t xml:space="preserve"> courrier à partir des données trouvées sur Sémaphore.</w:t>
      </w:r>
      <w:r>
        <w:rPr>
          <w:rFonts w:ascii="Arial" w:eastAsia="Times New Roman" w:hAnsi="Arial" w:cs="Arial"/>
          <w:color w:val="000000"/>
          <w:sz w:val="22"/>
          <w:szCs w:val="22"/>
          <w:lang w:eastAsia="fr-FR"/>
        </w:rPr>
        <w:t xml:space="preserve"> </w:t>
      </w:r>
      <w:r w:rsidR="0019162F" w:rsidRPr="0019162F">
        <w:rPr>
          <w:rFonts w:ascii="Arial" w:eastAsia="Times New Roman" w:hAnsi="Arial" w:cs="Arial"/>
          <w:color w:val="000000"/>
          <w:sz w:val="22"/>
          <w:szCs w:val="22"/>
          <w:lang w:eastAsia="fr-FR"/>
        </w:rPr>
        <w:t>Le courriel tend à devenir le seul mode de convocation.</w:t>
      </w:r>
    </w:p>
    <w:p w:rsidR="00414843" w:rsidRDefault="00414843" w:rsidP="0019162F">
      <w:pPr>
        <w:spacing w:line="102" w:lineRule="atLeast"/>
        <w:jc w:val="both"/>
        <w:rPr>
          <w:rFonts w:ascii="Arial" w:eastAsia="Times New Roman" w:hAnsi="Arial" w:cs="Arial"/>
          <w:color w:val="000000"/>
          <w:sz w:val="22"/>
          <w:szCs w:val="22"/>
          <w:lang w:eastAsia="fr-FR"/>
        </w:rPr>
      </w:pPr>
    </w:p>
    <w:p w:rsidR="0019162F" w:rsidRPr="0019162F" w:rsidRDefault="0019162F" w:rsidP="0019162F">
      <w:pPr>
        <w:spacing w:line="102" w:lineRule="atLeast"/>
        <w:jc w:val="both"/>
        <w:rPr>
          <w:rFonts w:ascii="Arial" w:eastAsia="Times New Roman" w:hAnsi="Arial" w:cs="Arial"/>
          <w:color w:val="000000"/>
          <w:lang w:eastAsia="fr-FR"/>
        </w:rPr>
      </w:pPr>
      <w:r w:rsidRPr="0019162F">
        <w:rPr>
          <w:rFonts w:ascii="Arial" w:eastAsia="Times New Roman" w:hAnsi="Arial" w:cs="Arial"/>
          <w:color w:val="000000"/>
          <w:sz w:val="22"/>
          <w:szCs w:val="22"/>
          <w:lang w:eastAsia="fr-FR"/>
        </w:rPr>
        <w:t xml:space="preserve">En 2013, </w:t>
      </w:r>
      <w:r w:rsidRPr="0019162F">
        <w:rPr>
          <w:rFonts w:ascii="Arial" w:eastAsia="Times New Roman" w:hAnsi="Arial" w:cs="Arial"/>
          <w:b/>
          <w:bCs/>
          <w:color w:val="000000"/>
          <w:sz w:val="22"/>
          <w:szCs w:val="22"/>
          <w:lang w:eastAsia="fr-FR"/>
        </w:rPr>
        <w:t xml:space="preserve">1243 </w:t>
      </w:r>
      <w:r w:rsidRPr="0019162F">
        <w:rPr>
          <w:rFonts w:ascii="Arial" w:eastAsia="Times New Roman" w:hAnsi="Arial" w:cs="Arial"/>
          <w:color w:val="000000"/>
          <w:sz w:val="22"/>
          <w:szCs w:val="22"/>
          <w:lang w:eastAsia="fr-FR"/>
        </w:rPr>
        <w:t xml:space="preserve">agents ont été </w:t>
      </w:r>
      <w:r w:rsidR="00414843">
        <w:rPr>
          <w:rFonts w:ascii="Arial" w:eastAsia="Times New Roman" w:hAnsi="Arial" w:cs="Arial"/>
          <w:color w:val="000000"/>
          <w:sz w:val="22"/>
          <w:szCs w:val="22"/>
          <w:lang w:eastAsia="fr-FR"/>
        </w:rPr>
        <w:t>convoqués à une visite médicale, dont :</w:t>
      </w:r>
    </w:p>
    <w:p w:rsidR="0019162F" w:rsidRPr="0019162F" w:rsidRDefault="0019162F" w:rsidP="0034289D">
      <w:pPr>
        <w:numPr>
          <w:ilvl w:val="0"/>
          <w:numId w:val="43"/>
        </w:numPr>
        <w:spacing w:line="102" w:lineRule="atLeast"/>
        <w:jc w:val="both"/>
        <w:rPr>
          <w:rFonts w:ascii="Arial" w:eastAsia="Times New Roman" w:hAnsi="Arial" w:cs="Arial"/>
          <w:color w:val="000000"/>
          <w:lang w:eastAsia="fr-FR"/>
        </w:rPr>
      </w:pPr>
      <w:r w:rsidRPr="0019162F">
        <w:rPr>
          <w:rFonts w:ascii="Arial" w:eastAsia="Times New Roman" w:hAnsi="Arial" w:cs="Arial"/>
          <w:b/>
          <w:bCs/>
          <w:color w:val="000000"/>
          <w:sz w:val="22"/>
          <w:szCs w:val="22"/>
          <w:lang w:eastAsia="fr-FR"/>
        </w:rPr>
        <w:t>876</w:t>
      </w:r>
      <w:r w:rsidRPr="0019162F">
        <w:rPr>
          <w:rFonts w:ascii="Arial" w:eastAsia="Times New Roman" w:hAnsi="Arial" w:cs="Arial"/>
          <w:color w:val="000000"/>
          <w:sz w:val="22"/>
          <w:szCs w:val="22"/>
          <w:lang w:eastAsia="fr-FR"/>
        </w:rPr>
        <w:t xml:space="preserve"> se sont présentés à la visite médicale, soit 70,5 %</w:t>
      </w:r>
    </w:p>
    <w:p w:rsidR="0019162F" w:rsidRPr="0019162F" w:rsidRDefault="0019162F" w:rsidP="0034289D">
      <w:pPr>
        <w:numPr>
          <w:ilvl w:val="0"/>
          <w:numId w:val="43"/>
        </w:numPr>
        <w:spacing w:line="102" w:lineRule="atLeast"/>
        <w:jc w:val="both"/>
        <w:rPr>
          <w:rFonts w:ascii="Arial" w:eastAsia="Times New Roman" w:hAnsi="Arial" w:cs="Arial"/>
          <w:color w:val="000000"/>
          <w:lang w:eastAsia="fr-FR"/>
        </w:rPr>
      </w:pPr>
      <w:r w:rsidRPr="0019162F">
        <w:rPr>
          <w:rFonts w:ascii="Arial" w:eastAsia="Times New Roman" w:hAnsi="Arial" w:cs="Arial"/>
          <w:b/>
          <w:bCs/>
          <w:color w:val="000000"/>
          <w:sz w:val="22"/>
          <w:szCs w:val="22"/>
          <w:lang w:eastAsia="fr-FR"/>
        </w:rPr>
        <w:t>367</w:t>
      </w:r>
      <w:r w:rsidRPr="0019162F">
        <w:rPr>
          <w:rFonts w:ascii="Arial" w:eastAsia="Times New Roman" w:hAnsi="Arial" w:cs="Arial"/>
          <w:color w:val="000000"/>
          <w:sz w:val="22"/>
          <w:szCs w:val="22"/>
          <w:lang w:eastAsia="fr-FR"/>
        </w:rPr>
        <w:t xml:space="preserve"> ne se sont pas présentés à la visite médicale, soit 29,5%</w:t>
      </w:r>
    </w:p>
    <w:p w:rsidR="00414843" w:rsidRDefault="00414843">
      <w:pPr>
        <w:spacing w:after="160" w:line="259" w:lineRule="auto"/>
        <w:rPr>
          <w:rFonts w:ascii="Arial" w:eastAsia="Times New Roman" w:hAnsi="Arial" w:cs="Arial"/>
          <w:color w:val="000000"/>
          <w:lang w:eastAsia="fr-FR"/>
        </w:rPr>
      </w:pPr>
      <w:r>
        <w:rPr>
          <w:rFonts w:ascii="Arial" w:eastAsia="Times New Roman" w:hAnsi="Arial" w:cs="Arial"/>
          <w:color w:val="000000"/>
          <w:lang w:eastAsia="fr-FR"/>
        </w:rPr>
        <w:br w:type="page"/>
      </w:r>
    </w:p>
    <w:p w:rsidR="0019162F" w:rsidRPr="0019162F" w:rsidRDefault="0019162F" w:rsidP="0019162F">
      <w:pPr>
        <w:spacing w:line="102" w:lineRule="atLeast"/>
        <w:jc w:val="both"/>
        <w:rPr>
          <w:rFonts w:ascii="Arial" w:eastAsia="Times New Roman" w:hAnsi="Arial" w:cs="Arial"/>
          <w:color w:val="000000"/>
          <w:lang w:eastAsia="fr-FR"/>
        </w:rPr>
      </w:pPr>
    </w:p>
    <w:p w:rsidR="0019162F" w:rsidRPr="0019162F" w:rsidRDefault="0019162F" w:rsidP="0019162F">
      <w:pPr>
        <w:spacing w:line="102" w:lineRule="atLeast"/>
        <w:jc w:val="both"/>
        <w:rPr>
          <w:rFonts w:ascii="Arial" w:eastAsia="Times New Roman" w:hAnsi="Arial" w:cs="Arial"/>
          <w:color w:val="000000"/>
          <w:lang w:eastAsia="fr-FR"/>
        </w:rPr>
      </w:pPr>
      <w:r w:rsidRPr="0019162F">
        <w:rPr>
          <w:rFonts w:ascii="Arial" w:eastAsia="Times New Roman" w:hAnsi="Arial" w:cs="Arial"/>
          <w:color w:val="000000"/>
          <w:sz w:val="22"/>
          <w:szCs w:val="22"/>
          <w:lang w:eastAsia="fr-FR"/>
        </w:rPr>
        <w:t xml:space="preserve">Parmi les </w:t>
      </w:r>
      <w:r w:rsidRPr="0019162F">
        <w:rPr>
          <w:rFonts w:ascii="Arial" w:eastAsia="Times New Roman" w:hAnsi="Arial" w:cs="Arial"/>
          <w:b/>
          <w:bCs/>
          <w:color w:val="000000"/>
          <w:sz w:val="22"/>
          <w:szCs w:val="22"/>
          <w:lang w:eastAsia="fr-FR"/>
        </w:rPr>
        <w:t>367</w:t>
      </w:r>
      <w:r w:rsidRPr="0019162F">
        <w:rPr>
          <w:rFonts w:ascii="Arial" w:eastAsia="Times New Roman" w:hAnsi="Arial" w:cs="Arial"/>
          <w:color w:val="000000"/>
          <w:sz w:val="22"/>
          <w:szCs w:val="22"/>
          <w:lang w:eastAsia="fr-FR"/>
        </w:rPr>
        <w:t xml:space="preserve"> agents non venus, nous distinguons : </w:t>
      </w:r>
    </w:p>
    <w:p w:rsidR="0019162F" w:rsidRPr="0019162F" w:rsidRDefault="0019162F" w:rsidP="0034289D">
      <w:pPr>
        <w:numPr>
          <w:ilvl w:val="0"/>
          <w:numId w:val="44"/>
        </w:numPr>
        <w:spacing w:line="102" w:lineRule="atLeast"/>
        <w:jc w:val="both"/>
        <w:rPr>
          <w:rFonts w:ascii="Arial" w:eastAsia="Times New Roman" w:hAnsi="Arial" w:cs="Arial"/>
          <w:color w:val="000000"/>
          <w:lang w:eastAsia="fr-FR"/>
        </w:rPr>
      </w:pPr>
      <w:r w:rsidRPr="0019162F">
        <w:rPr>
          <w:rFonts w:ascii="Arial" w:eastAsia="Times New Roman" w:hAnsi="Arial" w:cs="Arial"/>
          <w:color w:val="000000"/>
          <w:sz w:val="22"/>
          <w:szCs w:val="22"/>
          <w:lang w:eastAsia="fr-FR"/>
        </w:rPr>
        <w:t>les agents non venus excusés « NVE » soit 175 (14%)</w:t>
      </w:r>
      <w:r w:rsidR="00414843">
        <w:rPr>
          <w:rFonts w:ascii="Arial" w:eastAsia="Times New Roman" w:hAnsi="Arial" w:cs="Arial"/>
          <w:color w:val="000000"/>
          <w:sz w:val="22"/>
          <w:szCs w:val="22"/>
          <w:lang w:eastAsia="fr-FR"/>
        </w:rPr>
        <w:t xml:space="preserve"> : </w:t>
      </w:r>
      <w:r w:rsidRPr="0019162F">
        <w:rPr>
          <w:rFonts w:ascii="Arial" w:eastAsia="Times New Roman" w:hAnsi="Arial" w:cs="Arial"/>
          <w:color w:val="000000"/>
          <w:sz w:val="22"/>
          <w:szCs w:val="22"/>
          <w:lang w:eastAsia="fr-FR"/>
        </w:rPr>
        <w:t xml:space="preserve">les agents nous ont informés par courriel ou téléphone de leur impossibilité de venir à ce rendez-vous. Un report est programmé en fonction des disponibilités des plannings des médecins de prévention. </w:t>
      </w:r>
    </w:p>
    <w:p w:rsidR="0019162F" w:rsidRPr="0019162F" w:rsidRDefault="0019162F" w:rsidP="00414843">
      <w:pPr>
        <w:spacing w:line="102" w:lineRule="atLeast"/>
        <w:ind w:left="709"/>
        <w:jc w:val="both"/>
        <w:rPr>
          <w:rFonts w:ascii="Arial" w:eastAsia="Times New Roman" w:hAnsi="Arial" w:cs="Arial"/>
          <w:color w:val="000000"/>
          <w:lang w:eastAsia="fr-FR"/>
        </w:rPr>
      </w:pPr>
      <w:r w:rsidRPr="0019162F">
        <w:rPr>
          <w:rFonts w:ascii="Arial" w:eastAsia="Times New Roman" w:hAnsi="Arial" w:cs="Arial"/>
          <w:color w:val="000000"/>
          <w:sz w:val="22"/>
          <w:szCs w:val="22"/>
          <w:lang w:eastAsia="fr-FR"/>
        </w:rPr>
        <w:t>Les agents, pour la plupart, évoquent une impossibilité de se libérer</w:t>
      </w:r>
      <w:r w:rsidR="00414843">
        <w:rPr>
          <w:rFonts w:ascii="Arial" w:eastAsia="Times New Roman" w:hAnsi="Arial" w:cs="Arial"/>
          <w:color w:val="000000"/>
          <w:sz w:val="22"/>
          <w:szCs w:val="22"/>
          <w:lang w:eastAsia="fr-FR"/>
        </w:rPr>
        <w:t>, liée à leur charge de travail ;</w:t>
      </w:r>
    </w:p>
    <w:p w:rsidR="0019162F" w:rsidRPr="0019162F" w:rsidRDefault="0019162F" w:rsidP="0034289D">
      <w:pPr>
        <w:numPr>
          <w:ilvl w:val="0"/>
          <w:numId w:val="45"/>
        </w:numPr>
        <w:spacing w:line="102" w:lineRule="atLeast"/>
        <w:jc w:val="both"/>
        <w:rPr>
          <w:rFonts w:ascii="Arial" w:eastAsia="Times New Roman" w:hAnsi="Arial" w:cs="Arial"/>
          <w:color w:val="000000"/>
          <w:lang w:eastAsia="fr-FR"/>
        </w:rPr>
      </w:pPr>
      <w:r w:rsidRPr="0019162F">
        <w:rPr>
          <w:rFonts w:ascii="Arial" w:eastAsia="Times New Roman" w:hAnsi="Arial" w:cs="Arial"/>
          <w:color w:val="000000"/>
          <w:sz w:val="22"/>
          <w:szCs w:val="22"/>
          <w:lang w:eastAsia="fr-FR"/>
        </w:rPr>
        <w:t xml:space="preserve">les agents non venus absents « NVA » soit 164 (13,25%) ne se sont pas présentés et ne se sont pas excusés. En l'absence de risque spécifique, une visite médicale sera </w:t>
      </w:r>
      <w:r w:rsidR="00414843">
        <w:rPr>
          <w:rFonts w:ascii="Arial" w:eastAsia="Times New Roman" w:hAnsi="Arial" w:cs="Arial"/>
          <w:color w:val="000000"/>
          <w:sz w:val="22"/>
          <w:szCs w:val="22"/>
          <w:lang w:eastAsia="fr-FR"/>
        </w:rPr>
        <w:t>alors proposée l'année suivante ;</w:t>
      </w:r>
    </w:p>
    <w:p w:rsidR="0019162F" w:rsidRPr="0019162F" w:rsidRDefault="0019162F" w:rsidP="0034289D">
      <w:pPr>
        <w:numPr>
          <w:ilvl w:val="0"/>
          <w:numId w:val="46"/>
        </w:numPr>
        <w:spacing w:line="102" w:lineRule="atLeast"/>
        <w:jc w:val="both"/>
        <w:rPr>
          <w:rFonts w:ascii="Arial" w:eastAsia="Times New Roman" w:hAnsi="Arial" w:cs="Arial"/>
          <w:color w:val="000000"/>
          <w:lang w:eastAsia="fr-FR"/>
        </w:rPr>
      </w:pPr>
      <w:r w:rsidRPr="0019162F">
        <w:rPr>
          <w:rFonts w:ascii="Arial" w:eastAsia="Times New Roman" w:hAnsi="Arial" w:cs="Arial"/>
          <w:color w:val="000000"/>
          <w:sz w:val="22"/>
          <w:szCs w:val="22"/>
          <w:lang w:eastAsia="fr-FR"/>
        </w:rPr>
        <w:t xml:space="preserve">les autres, soit 28 (2,25%) ne sont pas venus  du fait de l’annulation des visites médicales : réunions nécessitant la présence d’un </w:t>
      </w:r>
      <w:r w:rsidR="00414843">
        <w:rPr>
          <w:rFonts w:ascii="Arial" w:eastAsia="Times New Roman" w:hAnsi="Arial" w:cs="Arial"/>
          <w:color w:val="000000"/>
          <w:sz w:val="22"/>
          <w:szCs w:val="22"/>
          <w:lang w:eastAsia="fr-FR"/>
        </w:rPr>
        <w:t>médecin de prévention</w:t>
      </w:r>
      <w:r w:rsidRPr="0019162F">
        <w:rPr>
          <w:rFonts w:ascii="Arial" w:eastAsia="Times New Roman" w:hAnsi="Arial" w:cs="Arial"/>
          <w:color w:val="000000"/>
          <w:sz w:val="22"/>
          <w:szCs w:val="22"/>
          <w:lang w:eastAsia="fr-FR"/>
        </w:rPr>
        <w:t>, planifiées par les services à très court terme.</w:t>
      </w:r>
    </w:p>
    <w:p w:rsidR="00414843" w:rsidRDefault="00414843" w:rsidP="0019162F">
      <w:pPr>
        <w:spacing w:line="102" w:lineRule="atLeast"/>
        <w:jc w:val="both"/>
        <w:rPr>
          <w:rFonts w:ascii="Arial" w:eastAsia="Times New Roman" w:hAnsi="Arial" w:cs="Arial"/>
          <w:color w:val="000000"/>
          <w:sz w:val="22"/>
          <w:szCs w:val="22"/>
          <w:lang w:eastAsia="fr-FR"/>
        </w:rPr>
      </w:pPr>
    </w:p>
    <w:p w:rsidR="0019162F" w:rsidRPr="0019162F" w:rsidRDefault="0019162F" w:rsidP="0019162F">
      <w:pPr>
        <w:spacing w:line="102" w:lineRule="atLeast"/>
        <w:jc w:val="both"/>
        <w:rPr>
          <w:rFonts w:ascii="Arial" w:eastAsia="Times New Roman" w:hAnsi="Arial" w:cs="Arial"/>
          <w:color w:val="000000"/>
          <w:lang w:eastAsia="fr-FR"/>
        </w:rPr>
      </w:pPr>
      <w:r w:rsidRPr="0019162F">
        <w:rPr>
          <w:rFonts w:ascii="Arial" w:eastAsia="Times New Roman" w:hAnsi="Arial" w:cs="Arial"/>
          <w:color w:val="000000"/>
          <w:sz w:val="22"/>
          <w:szCs w:val="22"/>
          <w:lang w:eastAsia="fr-FR"/>
        </w:rPr>
        <w:t>Ces chiffres sont comparables à ceux de l’année précédente.</w:t>
      </w:r>
    </w:p>
    <w:p w:rsidR="00B75970" w:rsidRPr="0019162F" w:rsidRDefault="00B75970" w:rsidP="00414843">
      <w:pPr>
        <w:widowControl w:val="0"/>
        <w:autoSpaceDE w:val="0"/>
        <w:autoSpaceDN w:val="0"/>
        <w:adjustRightInd w:val="0"/>
        <w:contextualSpacing/>
        <w:jc w:val="both"/>
        <w:rPr>
          <w:rFonts w:ascii="Arial" w:eastAsia="Cambria" w:hAnsi="Arial" w:cs="Arial"/>
          <w:kern w:val="1"/>
          <w:sz w:val="22"/>
          <w:szCs w:val="22"/>
        </w:rPr>
      </w:pPr>
    </w:p>
    <w:p w:rsidR="00B75970" w:rsidRPr="0019162F" w:rsidRDefault="00B75970" w:rsidP="0019162F">
      <w:pPr>
        <w:tabs>
          <w:tab w:val="left" w:pos="1220"/>
        </w:tabs>
        <w:jc w:val="both"/>
        <w:rPr>
          <w:rFonts w:ascii="Arial" w:eastAsia="Cambria" w:hAnsi="Arial" w:cs="Arial"/>
        </w:rPr>
      </w:pPr>
    </w:p>
    <w:p w:rsidR="003207A4" w:rsidRDefault="003207A4">
      <w:pPr>
        <w:spacing w:after="160" w:line="259" w:lineRule="auto"/>
        <w:rPr>
          <w:rFonts w:ascii="BlairMdITC TT-Medium" w:eastAsia="Cambria" w:hAnsi="BlairMdITC TT-Medium" w:cs="Times New Roman"/>
          <w:b/>
          <w:color w:val="800040"/>
          <w:sz w:val="28"/>
        </w:rPr>
      </w:pPr>
      <w:r>
        <w:rPr>
          <w:rFonts w:ascii="BlairMdITC TT-Medium" w:eastAsia="Cambria" w:hAnsi="BlairMdITC TT-Medium" w:cs="Times New Roman"/>
          <w:b/>
          <w:color w:val="800040"/>
          <w:sz w:val="28"/>
        </w:rPr>
        <w:br w:type="page"/>
      </w:r>
    </w:p>
    <w:p w:rsidR="00B75970" w:rsidRPr="00EB6E0B" w:rsidRDefault="00B75970" w:rsidP="00B75970">
      <w:pPr>
        <w:tabs>
          <w:tab w:val="left" w:pos="1220"/>
        </w:tabs>
        <w:rPr>
          <w:rFonts w:ascii="BlairMdITC TT-Medium" w:eastAsia="Cambria" w:hAnsi="BlairMdITC TT-Medium" w:cs="Times New Roman"/>
          <w:b/>
          <w:color w:val="800040"/>
          <w:sz w:val="28"/>
        </w:rPr>
      </w:pPr>
    </w:p>
    <w:p w:rsidR="00B75970" w:rsidRPr="00EB6E0B" w:rsidRDefault="00B75970" w:rsidP="00B75970">
      <w:pPr>
        <w:tabs>
          <w:tab w:val="left" w:pos="1220"/>
        </w:tabs>
        <w:rPr>
          <w:rFonts w:ascii="BlairMdITC TT-Medium" w:eastAsia="Cambria" w:hAnsi="BlairMdITC TT-Medium" w:cs="Times New Roman"/>
          <w:b/>
          <w:color w:val="800040"/>
          <w:sz w:val="28"/>
        </w:rPr>
      </w:pPr>
    </w:p>
    <w:p w:rsidR="00B75970" w:rsidRPr="00716D86" w:rsidRDefault="00B75970" w:rsidP="00B75970">
      <w:pPr>
        <w:tabs>
          <w:tab w:val="left" w:pos="1220"/>
        </w:tabs>
        <w:rPr>
          <w:rFonts w:ascii="Florencesans Exp" w:eastAsia="Cambria" w:hAnsi="Florencesans Exp" w:cs="Times New Roman"/>
          <w:b/>
          <w:color w:val="800040"/>
          <w:sz w:val="28"/>
        </w:rPr>
      </w:pPr>
      <w:r w:rsidRPr="0039265F">
        <w:rPr>
          <w:rFonts w:ascii="Florencesans Exp" w:eastAsia="Cambria" w:hAnsi="Florencesans Exp" w:cs="Times New Roman"/>
          <w:b/>
          <w:color w:val="800040"/>
          <w:sz w:val="28"/>
        </w:rPr>
        <w:t>4. B. LA MEDECINE STATUTAIRE</w:t>
      </w:r>
    </w:p>
    <w:p w:rsidR="00B75970" w:rsidRPr="00EB6E0B" w:rsidRDefault="00B75970" w:rsidP="00B75970">
      <w:pPr>
        <w:tabs>
          <w:tab w:val="left" w:pos="1220"/>
        </w:tabs>
        <w:rPr>
          <w:rFonts w:ascii="BlairMdITC TT-Medium" w:eastAsia="Cambria" w:hAnsi="BlairMdITC TT-Medium" w:cs="Times New Roman"/>
          <w:b/>
          <w:color w:val="800040"/>
          <w:sz w:val="28"/>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L'examen de situations particulières liées à la santé des fonctionnaires peut induire au terme du décret n° 86-442 du 14 mars 1986 des conséquences statutaires pour les agents concernés. Le comité médical et la commission de réforme sont les deux instances qui sont sollicitées dans ces processus.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b/>
          <w:color w:val="800040"/>
          <w:sz w:val="22"/>
          <w:szCs w:val="22"/>
        </w:rPr>
      </w:pPr>
      <w:r w:rsidRPr="003207A4">
        <w:rPr>
          <w:rFonts w:ascii="Arial" w:eastAsia="Cambria" w:hAnsi="Arial" w:cs="Times"/>
          <w:b/>
          <w:color w:val="800040"/>
          <w:sz w:val="22"/>
          <w:szCs w:val="22"/>
        </w:rPr>
        <w:t>A l'issue d'un examen de sa situation en comité médical le fonctionnaire peut être placé en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1)</w:t>
      </w:r>
      <w:r w:rsidRPr="003207A4">
        <w:rPr>
          <w:rFonts w:ascii="Arial" w:eastAsia="Cambria" w:hAnsi="Arial" w:cs="Times"/>
          <w:b/>
          <w:bCs/>
          <w:color w:val="000000"/>
          <w:sz w:val="22"/>
          <w:szCs w:val="22"/>
        </w:rPr>
        <w:t xml:space="preserve"> congé de longue maladie (CLM)</w:t>
      </w:r>
      <w:r w:rsidRPr="003207A4">
        <w:rPr>
          <w:rFonts w:ascii="Arial" w:eastAsia="Cambria" w:hAnsi="Arial" w:cs="Times"/>
          <w:color w:val="000000"/>
          <w:sz w:val="22"/>
          <w:szCs w:val="22"/>
        </w:rPr>
        <w:t>, après avis du comité médical, lorsque la maladie présente un caractère invalidant et de gravité confirmée et nécessite un traitement et des soins prolongés. Le bénéfice du CLM est ouvert pour maladie professionnelle ou non professionnelle.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 xml:space="preserve">2) </w:t>
      </w:r>
      <w:r w:rsidRPr="003207A4">
        <w:rPr>
          <w:rFonts w:ascii="Arial" w:eastAsia="Cambria" w:hAnsi="Arial" w:cs="Times"/>
          <w:b/>
          <w:bCs/>
          <w:color w:val="000000"/>
          <w:sz w:val="22"/>
          <w:szCs w:val="22"/>
        </w:rPr>
        <w:t>congé de longue durée (CLD)</w:t>
      </w:r>
      <w:r w:rsidRPr="003207A4">
        <w:rPr>
          <w:rFonts w:ascii="Arial" w:eastAsia="Cambria" w:hAnsi="Arial" w:cs="Times"/>
          <w:color w:val="000000"/>
          <w:sz w:val="22"/>
          <w:szCs w:val="22"/>
        </w:rPr>
        <w:t>, après avis du comité médical, lorsque le fonctionnaire (stagiaire ou titulaire) est atteint de certaines pathologies, d'origine professionnelle ou non professionnelle (tuberculose, maladie mentale, affection cancéreuse, poliomyélite ou déficit immunitaire grave et acquis).</w:t>
      </w:r>
    </w:p>
    <w:p w:rsidR="00B75970" w:rsidRPr="003207A4" w:rsidRDefault="00B75970" w:rsidP="00B75970">
      <w:pPr>
        <w:widowControl w:val="0"/>
        <w:autoSpaceDE w:val="0"/>
        <w:autoSpaceDN w:val="0"/>
        <w:adjustRightInd w:val="0"/>
        <w:jc w:val="both"/>
        <w:rPr>
          <w:rFonts w:ascii="Arial" w:eastAsia="Cambria" w:hAnsi="Arial" w:cs="Times"/>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3)</w:t>
      </w:r>
      <w:r w:rsidRPr="003207A4">
        <w:rPr>
          <w:rFonts w:ascii="Arial" w:eastAsia="Cambria" w:hAnsi="Arial" w:cs="Times"/>
          <w:b/>
          <w:bCs/>
          <w:color w:val="000000"/>
          <w:sz w:val="22"/>
          <w:szCs w:val="22"/>
        </w:rPr>
        <w:t xml:space="preserve"> reclassement professionnel pour inaptitude physique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L'agent de la fonction publique dont l'état de santé est altéré peut bénéficier d'un aménagement de son poste de travail conforme à son état physique. Lorsque cet aménagement est impossible ou insuffisant, il peut bénéficier d'un reclassement professionnel pour inaptitude physique. Le reclassement s'effectue sur un autre emploi du même grade, sur un emploi relevant d'un autre grade du même corps ou cadre d'emplois ou sur un emploi relevant d'un autre corps ou cadre d'emplois.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b/>
          <w:color w:val="800040"/>
          <w:sz w:val="22"/>
          <w:szCs w:val="22"/>
        </w:rPr>
      </w:pPr>
      <w:r w:rsidRPr="003207A4">
        <w:rPr>
          <w:rFonts w:ascii="Arial" w:eastAsia="Cambria" w:hAnsi="Arial" w:cs="Times"/>
          <w:b/>
          <w:color w:val="800040"/>
          <w:sz w:val="22"/>
          <w:szCs w:val="22"/>
        </w:rPr>
        <w:t xml:space="preserve">L'agent non titulaire qui voit sa situation examinée en comité médical peut être placé en :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1)</w:t>
      </w:r>
      <w:r w:rsidRPr="003207A4">
        <w:rPr>
          <w:rFonts w:ascii="Arial" w:eastAsia="Cambria" w:hAnsi="Arial" w:cs="Times"/>
          <w:b/>
          <w:bCs/>
          <w:color w:val="000000"/>
          <w:sz w:val="22"/>
          <w:szCs w:val="22"/>
        </w:rPr>
        <w:t xml:space="preserve"> congé de grave maladie </w:t>
      </w:r>
      <w:r w:rsidRPr="003207A4">
        <w:rPr>
          <w:rFonts w:ascii="Arial" w:eastAsia="Cambria" w:hAnsi="Arial" w:cs="Times"/>
          <w:color w:val="000000"/>
          <w:sz w:val="22"/>
          <w:szCs w:val="22"/>
        </w:rPr>
        <w:t>quand il est constaté que sa maladie le met dans l'impossibilité d'exercer son activité et qu'un traitement et des soins prolongés sont nécessaires et que cette maladie présente un caractère invalidant et de gravité confirmée.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 xml:space="preserve">2) </w:t>
      </w:r>
      <w:r w:rsidRPr="003207A4">
        <w:rPr>
          <w:rFonts w:ascii="Arial" w:eastAsia="Cambria" w:hAnsi="Arial" w:cs="Times"/>
          <w:b/>
          <w:bCs/>
          <w:color w:val="000000"/>
          <w:sz w:val="22"/>
          <w:szCs w:val="22"/>
        </w:rPr>
        <w:t>invalidité des agents non titulaires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L'agent non titulaire dont l'invalidité résulte d'une maladie ou d'un accident non professionnels et réduit sa capacité de travail, peut bénéficier d'une pension d'invalidité.</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rPr>
      </w:pPr>
      <w:r w:rsidRPr="003207A4">
        <w:rPr>
          <w:rFonts w:ascii="Arial" w:eastAsia="Cambria" w:hAnsi="Arial" w:cs="Times"/>
          <w:b/>
          <w:bCs/>
          <w:color w:val="800040"/>
          <w:sz w:val="22"/>
          <w:szCs w:val="22"/>
        </w:rPr>
        <w:t xml:space="preserve">Accidents du travail </w:t>
      </w:r>
    </w:p>
    <w:p w:rsidR="00B75970" w:rsidRPr="003207A4" w:rsidRDefault="00B75970" w:rsidP="00B75970">
      <w:pPr>
        <w:widowControl w:val="0"/>
        <w:autoSpaceDE w:val="0"/>
        <w:autoSpaceDN w:val="0"/>
        <w:adjustRightInd w:val="0"/>
        <w:jc w:val="both"/>
        <w:rPr>
          <w:rFonts w:ascii="Arial" w:eastAsia="Cambria" w:hAnsi="Arial" w:cs="Times"/>
          <w:b/>
          <w:bC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Est considéré comme accident du travail, quelle qu'en soit la cause, l'accident qui survient à un salarié du fait ou à l'occasion de son travail. Est également considéré comme accident du travail, l'accident de trajet qui survient à un salarié pendant le trajet entre sa résidence et son lieu de travail, ou son lieu de travail et le lieu où il prend habituellement ses repas.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rPr>
      </w:pPr>
      <w:r w:rsidRPr="003207A4">
        <w:rPr>
          <w:rFonts w:ascii="Arial" w:eastAsia="Cambria" w:hAnsi="Arial" w:cs="Times"/>
          <w:b/>
          <w:bCs/>
          <w:color w:val="800040"/>
          <w:sz w:val="22"/>
          <w:szCs w:val="22"/>
        </w:rPr>
        <w:t>La maladie professionnelle</w:t>
      </w:r>
    </w:p>
    <w:p w:rsidR="00B75970" w:rsidRPr="003207A4" w:rsidRDefault="00B75970" w:rsidP="00B75970">
      <w:pPr>
        <w:widowControl w:val="0"/>
        <w:autoSpaceDE w:val="0"/>
        <w:autoSpaceDN w:val="0"/>
        <w:adjustRightInd w:val="0"/>
        <w:jc w:val="both"/>
        <w:rPr>
          <w:rFonts w:ascii="Arial" w:eastAsia="Cambria" w:hAnsi="Arial" w:cs="Times"/>
          <w:b/>
          <w:bC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Est reconnue comme maladie professionnelle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numPr>
          <w:ilvl w:val="0"/>
          <w:numId w:val="1"/>
        </w:numPr>
        <w:autoSpaceDE w:val="0"/>
        <w:autoSpaceDN w:val="0"/>
        <w:adjustRightInd w:val="0"/>
        <w:contextualSpacing/>
        <w:jc w:val="both"/>
        <w:rPr>
          <w:rFonts w:ascii="Arial" w:eastAsia="Cambria" w:hAnsi="Arial" w:cs="Times"/>
          <w:color w:val="000000"/>
          <w:sz w:val="22"/>
          <w:szCs w:val="22"/>
        </w:rPr>
      </w:pPr>
      <w:r w:rsidRPr="003207A4">
        <w:rPr>
          <w:rFonts w:ascii="Arial" w:eastAsia="Cambria" w:hAnsi="Arial" w:cs="Times"/>
          <w:color w:val="000000"/>
          <w:sz w:val="22"/>
          <w:szCs w:val="22"/>
        </w:rPr>
        <w:t>l'une des maladies figurant aux tableaux des maladies professionnelles et contractée dans les conditions précisées à ces tableaux (délai entre la fin de l'exposition au risque et la 1</w:t>
      </w:r>
      <w:r w:rsidRPr="003207A4">
        <w:rPr>
          <w:rFonts w:ascii="Arial" w:eastAsia="Cambria" w:hAnsi="Arial" w:cs="Times"/>
          <w:color w:val="000000"/>
          <w:sz w:val="22"/>
          <w:szCs w:val="22"/>
          <w:vertAlign w:val="superscript"/>
        </w:rPr>
        <w:t>ère</w:t>
      </w:r>
      <w:r w:rsidRPr="003207A4">
        <w:rPr>
          <w:rFonts w:ascii="Arial" w:eastAsia="Cambria" w:hAnsi="Arial" w:cs="Times"/>
          <w:color w:val="000000"/>
          <w:sz w:val="22"/>
          <w:szCs w:val="22"/>
        </w:rPr>
        <w:t xml:space="preserve"> constatation médicale de la maladie, durée minimale pendant laquelle le salarié a été exposé au risque, accomplissement de travaux susceptibles de provoquer la maladie),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numPr>
          <w:ilvl w:val="0"/>
          <w:numId w:val="1"/>
        </w:numPr>
        <w:autoSpaceDE w:val="0"/>
        <w:autoSpaceDN w:val="0"/>
        <w:adjustRightInd w:val="0"/>
        <w:contextualSpacing/>
        <w:jc w:val="both"/>
        <w:rPr>
          <w:rFonts w:ascii="Arial" w:eastAsia="Cambria" w:hAnsi="Arial" w:cs="Times"/>
          <w:color w:val="000000"/>
          <w:sz w:val="22"/>
          <w:szCs w:val="22"/>
        </w:rPr>
      </w:pPr>
      <w:r w:rsidRPr="003207A4">
        <w:rPr>
          <w:rFonts w:ascii="Arial" w:eastAsia="Cambria" w:hAnsi="Arial" w:cs="Times"/>
          <w:color w:val="000000"/>
          <w:sz w:val="22"/>
          <w:szCs w:val="22"/>
        </w:rPr>
        <w:t>ou l'une des maladies figurant aux tableaux des maladies professionnelles qui n'a pas été contractée dans les conditions précisées à ces tableaux mais pour laquelle il est établi qu'elle est directement causée par le travail habituel de la victime,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numPr>
          <w:ilvl w:val="0"/>
          <w:numId w:val="1"/>
        </w:numPr>
        <w:autoSpaceDE w:val="0"/>
        <w:autoSpaceDN w:val="0"/>
        <w:adjustRightInd w:val="0"/>
        <w:contextualSpacing/>
        <w:jc w:val="both"/>
        <w:rPr>
          <w:rFonts w:ascii="Arial" w:eastAsia="Cambria" w:hAnsi="Arial" w:cs="Times"/>
          <w:color w:val="000000"/>
          <w:sz w:val="22"/>
          <w:szCs w:val="22"/>
        </w:rPr>
      </w:pPr>
      <w:r w:rsidRPr="003207A4">
        <w:rPr>
          <w:rFonts w:ascii="Arial" w:eastAsia="Cambria" w:hAnsi="Arial" w:cs="Times"/>
          <w:color w:val="000000"/>
          <w:sz w:val="22"/>
          <w:szCs w:val="22"/>
        </w:rPr>
        <w:t xml:space="preserve">ou une maladie ne figurant pas aux tableaux des maladies professionnelles mais pour laquelle </w:t>
      </w:r>
      <w:r w:rsidRPr="003207A4">
        <w:rPr>
          <w:rFonts w:ascii="Arial" w:eastAsia="Cambria" w:hAnsi="Arial" w:cs="Times"/>
          <w:color w:val="000000"/>
          <w:sz w:val="22"/>
          <w:szCs w:val="22"/>
        </w:rPr>
        <w:lastRenderedPageBreak/>
        <w:t>il est établi qu'elle est essentiellement et directement causée par le travail et qui a entraîné une incapacité permanente du salarié d'au moins 25 % ou son décès.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Dans les deux derniers cas, la Sécurité sociale reconnaît l'origine professionnelle de la maladie après avis motivé d'un comité régional de reconnaissance des maladies professionnelles. L'avis favorable ou défavorable du comité à la reconnaissance du caractère professionnel de la maladie s'impose à la caisse primaire d'assurance maladie (CPAM).</w:t>
      </w:r>
    </w:p>
    <w:p w:rsidR="00B75970" w:rsidRPr="003207A4" w:rsidRDefault="00B75970" w:rsidP="00B75970">
      <w:pPr>
        <w:tabs>
          <w:tab w:val="left" w:pos="1220"/>
        </w:tabs>
        <w:jc w:val="both"/>
        <w:rPr>
          <w:rFonts w:ascii="Arial" w:eastAsia="Cambria" w:hAnsi="Arial" w:cs="Times New Roman"/>
          <w:b/>
          <w:color w:val="800040"/>
          <w:sz w:val="22"/>
          <w:szCs w:val="22"/>
        </w:rPr>
      </w:pPr>
    </w:p>
    <w:p w:rsidR="00B75970" w:rsidRDefault="00B75970" w:rsidP="00B75970">
      <w:pPr>
        <w:rPr>
          <w:rFonts w:ascii="Arial" w:eastAsia="Cambria" w:hAnsi="Arial" w:cs="Times New Roman"/>
          <w:b/>
          <w:color w:val="800040"/>
        </w:rPr>
      </w:pPr>
      <w:r>
        <w:rPr>
          <w:rFonts w:ascii="Arial" w:eastAsia="Cambria" w:hAnsi="Arial" w:cs="Times New Roman"/>
          <w:b/>
          <w:color w:val="800040"/>
        </w:rPr>
        <w:br w:type="page"/>
      </w:r>
    </w:p>
    <w:p w:rsidR="00B75970" w:rsidRPr="00EB6E0B" w:rsidRDefault="00B75970" w:rsidP="00B75970">
      <w:pPr>
        <w:tabs>
          <w:tab w:val="left" w:pos="1220"/>
        </w:tabs>
        <w:jc w:val="both"/>
        <w:rPr>
          <w:rFonts w:ascii="Arial" w:eastAsia="Cambria" w:hAnsi="Arial" w:cs="Times New Roman"/>
          <w:b/>
          <w:color w:val="800040"/>
        </w:rPr>
      </w:pPr>
    </w:p>
    <w:p w:rsidR="00B75970" w:rsidRPr="00716D86" w:rsidRDefault="00B75970" w:rsidP="00B75970">
      <w:pPr>
        <w:rPr>
          <w:rFonts w:ascii="Florencesans Exp" w:eastAsia="Cambria" w:hAnsi="Florencesans Exp" w:cs="Times New Roman"/>
        </w:rPr>
      </w:pPr>
      <w:r w:rsidRPr="00716D86">
        <w:rPr>
          <w:rFonts w:ascii="Florencesans Exp" w:eastAsia="Cambria" w:hAnsi="Florencesans Exp" w:cs="Times New Roman"/>
        </w:rPr>
        <w:t xml:space="preserve">4. B. 1. </w:t>
      </w:r>
      <w:r w:rsidRPr="000F47E6">
        <w:rPr>
          <w:rFonts w:ascii="Florencesans Exp" w:eastAsia="Cambria" w:hAnsi="Florencesans Exp" w:cs="Times New Roman"/>
        </w:rPr>
        <w:t>LES COMITES MEDICAUX</w:t>
      </w:r>
    </w:p>
    <w:p w:rsidR="00B75970" w:rsidRPr="00EB6E0B" w:rsidRDefault="00B75970" w:rsidP="00B75970">
      <w:pPr>
        <w:rPr>
          <w:rFonts w:ascii="BlairMdITC TT-Medium" w:eastAsia="Cambria" w:hAnsi="BlairMdITC TT-Medium" w:cs="Times New Roman"/>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Le comité médical ministériel examine la situation des agents en poste en région parisienne (sauf Seine-et-Marne). En province et en Seine-et-Marne, c'est le comité départemental du lieu de résidence administrative de l'agent qui peut être saisi. C'est sur leur proposition qu'un agent peut être placé en congé longue maladie, longue durée, congé grave maladie (pour les agents non titulaires) voire en retraite pour invalidité.</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En 2013, la situation de 406 agents a été suivie par le service des ressources humaines (bureau de l'action sociale et de la prévention) pour le comité médical ministériel correspondant à 961 examens de dossiers en comité.</w:t>
      </w:r>
    </w:p>
    <w:p w:rsidR="00B75970" w:rsidRPr="00EB6E0B" w:rsidRDefault="00B75970" w:rsidP="00B75970">
      <w:pPr>
        <w:widowControl w:val="0"/>
        <w:autoSpaceDE w:val="0"/>
        <w:autoSpaceDN w:val="0"/>
        <w:adjustRightInd w:val="0"/>
        <w:jc w:val="both"/>
        <w:rPr>
          <w:rFonts w:ascii="Arial" w:eastAsia="Cambria" w:hAnsi="Arial" w:cs="Times"/>
          <w:color w:val="000000"/>
        </w:rPr>
      </w:pPr>
    </w:p>
    <w:p w:rsidR="00B75970" w:rsidRPr="000F47E6" w:rsidRDefault="00B75970" w:rsidP="00B75970">
      <w:pPr>
        <w:widowControl w:val="0"/>
        <w:autoSpaceDE w:val="0"/>
        <w:autoSpaceDN w:val="0"/>
        <w:adjustRightInd w:val="0"/>
        <w:jc w:val="center"/>
        <w:rPr>
          <w:rFonts w:ascii="Arial" w:eastAsia="Cambria" w:hAnsi="Arial" w:cs="Times"/>
          <w:b/>
          <w:bCs/>
          <w:color w:val="000000"/>
        </w:rPr>
      </w:pPr>
      <w:r w:rsidRPr="000F47E6">
        <w:rPr>
          <w:rFonts w:ascii="Arial" w:eastAsia="Cambria" w:hAnsi="Arial" w:cs="Times"/>
          <w:b/>
          <w:bCs/>
          <w:color w:val="000000"/>
        </w:rPr>
        <w:t>Nombre d'agent expertisés au comité médical central</w:t>
      </w:r>
      <w:r>
        <w:rPr>
          <w:rFonts w:ascii="Arial" w:eastAsia="Cambria" w:hAnsi="Arial" w:cs="Times"/>
          <w:b/>
          <w:bCs/>
          <w:color w:val="000000"/>
        </w:rPr>
        <w:t xml:space="preserve"> en 2013</w:t>
      </w:r>
      <w:r w:rsidRPr="000F47E6">
        <w:rPr>
          <w:rFonts w:ascii="Arial" w:eastAsia="Cambria" w:hAnsi="Arial" w:cs="Times"/>
          <w:b/>
          <w:bCs/>
          <w:color w:val="000000"/>
        </w:rPr>
        <w:t xml:space="preserve"> </w:t>
      </w:r>
      <w:r>
        <w:rPr>
          <w:rFonts w:ascii="Arial" w:eastAsia="Cambria" w:hAnsi="Arial" w:cs="Times"/>
          <w:b/>
          <w:bCs/>
          <w:color w:val="000000"/>
        </w:rPr>
        <w:br/>
      </w:r>
      <w:r w:rsidRPr="000F47E6">
        <w:rPr>
          <w:rFonts w:ascii="Arial" w:eastAsia="Cambria" w:hAnsi="Arial" w:cs="Times"/>
          <w:b/>
          <w:bCs/>
          <w:color w:val="000000"/>
        </w:rPr>
        <w:t>(dont retraite pour invalidité – tierce personne – coordination)</w:t>
      </w:r>
    </w:p>
    <w:p w:rsidR="00B75970" w:rsidRPr="00EB6E0B" w:rsidRDefault="00B75970" w:rsidP="00B75970">
      <w:pPr>
        <w:widowControl w:val="0"/>
        <w:autoSpaceDE w:val="0"/>
        <w:autoSpaceDN w:val="0"/>
        <w:adjustRightInd w:val="0"/>
        <w:jc w:val="both"/>
        <w:rPr>
          <w:rFonts w:ascii="Arial" w:eastAsia="Cambria" w:hAnsi="Arial" w:cs="Times"/>
          <w:color w:val="000000"/>
        </w:rPr>
      </w:pPr>
      <w:r w:rsidRPr="000F47E6">
        <w:rPr>
          <w:noProof/>
          <w:lang w:eastAsia="fr-FR"/>
        </w:rPr>
        <w:drawing>
          <wp:anchor distT="0" distB="0" distL="114300" distR="114300" simplePos="0" relativeHeight="251817984" behindDoc="1" locked="0" layoutInCell="1" allowOverlap="1" wp14:anchorId="5C70E6AB" wp14:editId="724E25C7">
            <wp:simplePos x="0" y="0"/>
            <wp:positionH relativeFrom="margin">
              <wp:align>left</wp:align>
            </wp:positionH>
            <wp:positionV relativeFrom="paragraph">
              <wp:posOffset>47625</wp:posOffset>
            </wp:positionV>
            <wp:extent cx="6116320" cy="1400175"/>
            <wp:effectExtent l="0" t="0" r="0" b="9525"/>
            <wp:wrapTight wrapText="bothSides">
              <wp:wrapPolygon edited="0">
                <wp:start x="3700" y="0"/>
                <wp:lineTo x="0" y="2939"/>
                <wp:lineTo x="0" y="21453"/>
                <wp:lineTo x="21528" y="21453"/>
                <wp:lineTo x="21528" y="0"/>
                <wp:lineTo x="3700" y="0"/>
              </wp:wrapPolygon>
            </wp:wrapTight>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16320" cy="1400175"/>
                    </a:xfrm>
                    <a:prstGeom prst="rect">
                      <a:avLst/>
                    </a:prstGeom>
                    <a:noFill/>
                    <a:ln>
                      <a:noFill/>
                    </a:ln>
                  </pic:spPr>
                </pic:pic>
              </a:graphicData>
            </a:graphic>
          </wp:anchor>
        </w:drawing>
      </w:r>
    </w:p>
    <w:p w:rsidR="00B75970" w:rsidRPr="00DB3CE4" w:rsidRDefault="00B75970" w:rsidP="00B75970">
      <w:pPr>
        <w:widowControl w:val="0"/>
        <w:autoSpaceDE w:val="0"/>
        <w:autoSpaceDN w:val="0"/>
        <w:adjustRightInd w:val="0"/>
        <w:rPr>
          <w:rFonts w:ascii="Arial" w:eastAsia="Cambria" w:hAnsi="Arial" w:cs="Times"/>
          <w:color w:val="000000"/>
          <w:sz w:val="18"/>
          <w:szCs w:val="18"/>
        </w:rPr>
      </w:pPr>
      <w:r w:rsidRPr="00DB3CE4">
        <w:rPr>
          <w:rFonts w:ascii="Arial" w:eastAsia="Cambria" w:hAnsi="Arial" w:cs="Times"/>
          <w:color w:val="000000"/>
          <w:sz w:val="18"/>
          <w:szCs w:val="18"/>
        </w:rPr>
        <w:t>Abréviations : CLM : Congé de longue maladie; CLD : Congé de longue durée; CGM : Congé de grave maladie</w:t>
      </w:r>
    </w:p>
    <w:p w:rsidR="00B75970" w:rsidRDefault="00B75970" w:rsidP="00B75970">
      <w:pPr>
        <w:widowControl w:val="0"/>
        <w:autoSpaceDE w:val="0"/>
        <w:autoSpaceDN w:val="0"/>
        <w:adjustRightInd w:val="0"/>
        <w:rPr>
          <w:rFonts w:ascii="Times" w:eastAsia="Cambria" w:hAnsi="Times" w:cs="Times"/>
          <w:color w:val="000000"/>
          <w:sz w:val="20"/>
          <w:szCs w:val="20"/>
        </w:rPr>
      </w:pPr>
    </w:p>
    <w:p w:rsidR="00B75970" w:rsidRPr="00EB6E0B" w:rsidRDefault="00B75970" w:rsidP="00B75970">
      <w:pPr>
        <w:widowControl w:val="0"/>
        <w:autoSpaceDE w:val="0"/>
        <w:autoSpaceDN w:val="0"/>
        <w:adjustRightInd w:val="0"/>
        <w:rPr>
          <w:rFonts w:ascii="Times" w:eastAsia="Cambria" w:hAnsi="Times" w:cs="Times"/>
          <w:color w:val="000000"/>
          <w:sz w:val="20"/>
          <w:szCs w:val="20"/>
        </w:rPr>
      </w:pPr>
    </w:p>
    <w:p w:rsidR="00B75970" w:rsidRPr="00EB6E0B" w:rsidRDefault="00B75970" w:rsidP="00B75970">
      <w:pPr>
        <w:widowControl w:val="0"/>
        <w:autoSpaceDE w:val="0"/>
        <w:autoSpaceDN w:val="0"/>
        <w:adjustRightInd w:val="0"/>
        <w:jc w:val="center"/>
        <w:rPr>
          <w:rFonts w:ascii="Arial" w:eastAsia="Cambria" w:hAnsi="Arial" w:cs="Times"/>
          <w:b/>
          <w:bCs/>
          <w:color w:val="000000"/>
          <w:szCs w:val="20"/>
        </w:rPr>
      </w:pPr>
      <w:r w:rsidRPr="00EB6E0B">
        <w:rPr>
          <w:rFonts w:ascii="Arial" w:eastAsia="Cambria" w:hAnsi="Arial" w:cs="Times"/>
          <w:b/>
          <w:bCs/>
          <w:color w:val="000000"/>
          <w:szCs w:val="20"/>
        </w:rPr>
        <w:t>Dossiers examinés par le comité médical central</w:t>
      </w:r>
    </w:p>
    <w:p w:rsidR="00B75970" w:rsidRPr="00EB6E0B" w:rsidRDefault="00B75970" w:rsidP="00B75970">
      <w:pPr>
        <w:widowControl w:val="0"/>
        <w:autoSpaceDE w:val="0"/>
        <w:autoSpaceDN w:val="0"/>
        <w:adjustRightInd w:val="0"/>
        <w:rPr>
          <w:rFonts w:ascii="Times" w:eastAsia="Cambria" w:hAnsi="Times" w:cs="Times"/>
          <w:color w:val="000000"/>
          <w:sz w:val="20"/>
          <w:szCs w:val="20"/>
        </w:rPr>
      </w:pPr>
    </w:p>
    <w:p w:rsidR="00B75970" w:rsidRPr="00EB6E0B" w:rsidRDefault="00B75970" w:rsidP="00B75970">
      <w:pPr>
        <w:widowControl w:val="0"/>
        <w:autoSpaceDE w:val="0"/>
        <w:autoSpaceDN w:val="0"/>
        <w:adjustRightInd w:val="0"/>
        <w:rPr>
          <w:rFonts w:ascii="Times" w:eastAsia="Cambria" w:hAnsi="Times" w:cs="Times"/>
          <w:color w:val="000000"/>
        </w:rPr>
      </w:pPr>
      <w:r w:rsidRPr="00DB3CE4">
        <w:rPr>
          <w:noProof/>
          <w:lang w:eastAsia="fr-FR"/>
        </w:rPr>
        <w:drawing>
          <wp:anchor distT="0" distB="0" distL="114300" distR="114300" simplePos="0" relativeHeight="251819008" behindDoc="1" locked="0" layoutInCell="1" allowOverlap="1" wp14:anchorId="3B0C4691" wp14:editId="60FC0B81">
            <wp:simplePos x="0" y="0"/>
            <wp:positionH relativeFrom="column">
              <wp:posOffset>-2540</wp:posOffset>
            </wp:positionH>
            <wp:positionV relativeFrom="paragraph">
              <wp:posOffset>0</wp:posOffset>
            </wp:positionV>
            <wp:extent cx="6116320" cy="2972982"/>
            <wp:effectExtent l="0" t="0" r="0" b="0"/>
            <wp:wrapTight wrapText="bothSides">
              <wp:wrapPolygon edited="0">
                <wp:start x="0" y="0"/>
                <wp:lineTo x="0" y="21457"/>
                <wp:lineTo x="21528" y="21457"/>
                <wp:lineTo x="21528" y="0"/>
                <wp:lineTo x="0" y="0"/>
              </wp:wrapPolygon>
            </wp:wrapTight>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16320" cy="2972982"/>
                    </a:xfrm>
                    <a:prstGeom prst="rect">
                      <a:avLst/>
                    </a:prstGeom>
                    <a:noFill/>
                    <a:ln>
                      <a:noFill/>
                    </a:ln>
                  </pic:spPr>
                </pic:pic>
              </a:graphicData>
            </a:graphic>
          </wp:anchor>
        </w:drawing>
      </w:r>
    </w:p>
    <w:p w:rsidR="00B75970" w:rsidRDefault="00B75970" w:rsidP="00B75970">
      <w:pPr>
        <w:rPr>
          <w:rFonts w:ascii="Arial" w:eastAsia="Cambria" w:hAnsi="Arial" w:cs="Times"/>
          <w:b/>
          <w:color w:val="000000"/>
        </w:rPr>
      </w:pPr>
      <w:r>
        <w:rPr>
          <w:rFonts w:ascii="Arial" w:eastAsia="Cambria" w:hAnsi="Arial" w:cs="Times"/>
          <w:b/>
          <w:color w:val="000000"/>
        </w:rPr>
        <w:br w:type="page"/>
      </w:r>
    </w:p>
    <w:p w:rsidR="00B75970" w:rsidRDefault="00B75970" w:rsidP="00B75970">
      <w:pPr>
        <w:widowControl w:val="0"/>
        <w:autoSpaceDE w:val="0"/>
        <w:autoSpaceDN w:val="0"/>
        <w:adjustRightInd w:val="0"/>
        <w:jc w:val="center"/>
        <w:rPr>
          <w:rFonts w:ascii="Arial" w:eastAsia="Cambria" w:hAnsi="Arial" w:cs="Times"/>
          <w:b/>
          <w:color w:val="000000"/>
        </w:rPr>
      </w:pPr>
    </w:p>
    <w:p w:rsidR="00B75970" w:rsidRPr="00EB6E0B" w:rsidRDefault="00B75970" w:rsidP="00B75970">
      <w:pPr>
        <w:widowControl w:val="0"/>
        <w:autoSpaceDE w:val="0"/>
        <w:autoSpaceDN w:val="0"/>
        <w:adjustRightInd w:val="0"/>
        <w:jc w:val="center"/>
        <w:rPr>
          <w:rFonts w:ascii="Arial" w:eastAsia="Cambria" w:hAnsi="Arial" w:cs="Times"/>
          <w:b/>
          <w:color w:val="000000"/>
        </w:rPr>
      </w:pPr>
      <w:r w:rsidRPr="00D919E8">
        <w:rPr>
          <w:noProof/>
          <w:lang w:eastAsia="fr-FR"/>
        </w:rPr>
        <w:drawing>
          <wp:anchor distT="0" distB="0" distL="114300" distR="114300" simplePos="0" relativeHeight="251820032" behindDoc="1" locked="0" layoutInCell="1" allowOverlap="1" wp14:anchorId="4052441B" wp14:editId="2F0B9D65">
            <wp:simplePos x="0" y="0"/>
            <wp:positionH relativeFrom="margin">
              <wp:posOffset>572135</wp:posOffset>
            </wp:positionH>
            <wp:positionV relativeFrom="paragraph">
              <wp:posOffset>126365</wp:posOffset>
            </wp:positionV>
            <wp:extent cx="4997450" cy="4565650"/>
            <wp:effectExtent l="0" t="0" r="0" b="6350"/>
            <wp:wrapTight wrapText="bothSides">
              <wp:wrapPolygon edited="0">
                <wp:start x="0" y="0"/>
                <wp:lineTo x="0" y="21540"/>
                <wp:lineTo x="21490" y="21540"/>
                <wp:lineTo x="21490" y="0"/>
                <wp:lineTo x="0" y="0"/>
              </wp:wrapPolygon>
            </wp:wrapTight>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997450" cy="4565650"/>
                    </a:xfrm>
                    <a:prstGeom prst="rect">
                      <a:avLst/>
                    </a:prstGeom>
                    <a:noFill/>
                    <a:ln>
                      <a:noFill/>
                    </a:ln>
                  </pic:spPr>
                </pic:pic>
              </a:graphicData>
            </a:graphic>
          </wp:anchor>
        </w:drawing>
      </w:r>
    </w:p>
    <w:p w:rsidR="00B75970" w:rsidRPr="00EB6E0B" w:rsidRDefault="00B75970" w:rsidP="00B75970">
      <w:pPr>
        <w:widowControl w:val="0"/>
        <w:autoSpaceDE w:val="0"/>
        <w:autoSpaceDN w:val="0"/>
        <w:adjustRightInd w:val="0"/>
        <w:rPr>
          <w:rFonts w:ascii="Times" w:eastAsia="Cambria" w:hAnsi="Times" w:cs="Times"/>
          <w:color w:val="000000"/>
        </w:rPr>
      </w:pPr>
    </w:p>
    <w:p w:rsidR="00B75970" w:rsidRPr="00EB6E0B" w:rsidRDefault="00B75970" w:rsidP="00B75970">
      <w:pPr>
        <w:widowControl w:val="0"/>
        <w:autoSpaceDE w:val="0"/>
        <w:autoSpaceDN w:val="0"/>
        <w:adjustRightInd w:val="0"/>
        <w:rPr>
          <w:rFonts w:ascii="Times" w:eastAsia="Cambria" w:hAnsi="Times" w:cs="Times"/>
          <w:color w:val="000000"/>
        </w:rPr>
      </w:pPr>
    </w:p>
    <w:p w:rsidR="00B75970" w:rsidRPr="00EB6E0B" w:rsidRDefault="00B75970" w:rsidP="00B75970">
      <w:pPr>
        <w:widowControl w:val="0"/>
        <w:autoSpaceDE w:val="0"/>
        <w:autoSpaceDN w:val="0"/>
        <w:adjustRightInd w:val="0"/>
        <w:rPr>
          <w:rFonts w:ascii="Times" w:eastAsia="Cambria" w:hAnsi="Times" w:cs="Times"/>
          <w:color w:val="000000"/>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eastAsia="Cambria" w:hAnsi="Arial" w:cs="Arial"/>
          <w:sz w:val="22"/>
          <w:szCs w:val="22"/>
        </w:rPr>
      </w:pPr>
    </w:p>
    <w:p w:rsidR="003207A4" w:rsidRDefault="003207A4" w:rsidP="00B75970">
      <w:pPr>
        <w:pStyle w:val="NormalWeb"/>
        <w:spacing w:before="0" w:beforeAutospacing="0" w:after="0"/>
        <w:jc w:val="both"/>
        <w:rPr>
          <w:rFonts w:ascii="Arial" w:eastAsia="Cambria" w:hAnsi="Arial" w:cs="Arial"/>
          <w:sz w:val="22"/>
          <w:szCs w:val="22"/>
        </w:rPr>
      </w:pPr>
    </w:p>
    <w:p w:rsidR="00B75970" w:rsidRDefault="00B75970" w:rsidP="00B75970">
      <w:pPr>
        <w:pStyle w:val="NormalWeb"/>
        <w:spacing w:before="0" w:beforeAutospacing="0" w:after="0"/>
        <w:jc w:val="both"/>
        <w:rPr>
          <w:rFonts w:ascii="Arial" w:hAnsi="Arial" w:cs="Arial"/>
          <w:bCs/>
          <w:sz w:val="22"/>
          <w:szCs w:val="22"/>
          <w:lang w:val="de-DE"/>
        </w:rPr>
      </w:pPr>
      <w:r>
        <w:rPr>
          <w:rFonts w:ascii="Arial" w:eastAsia="Cambria" w:hAnsi="Arial" w:cs="Arial"/>
          <w:sz w:val="22"/>
          <w:szCs w:val="22"/>
        </w:rPr>
        <w:t>L</w:t>
      </w:r>
      <w:r w:rsidRPr="00EB3B6B">
        <w:rPr>
          <w:rFonts w:ascii="Arial" w:eastAsia="Cambria" w:hAnsi="Arial" w:cs="Arial"/>
          <w:sz w:val="22"/>
          <w:szCs w:val="22"/>
        </w:rPr>
        <w:t xml:space="preserve">e tableau suivant indique le </w:t>
      </w:r>
      <w:r w:rsidRPr="00EB3B6B">
        <w:rPr>
          <w:rFonts w:ascii="Arial" w:hAnsi="Arial" w:cs="Arial"/>
          <w:bCs/>
          <w:sz w:val="22"/>
          <w:szCs w:val="22"/>
          <w:lang w:val="de-DE"/>
        </w:rPr>
        <w:t xml:space="preserve">nombre total de journées d'absence pour raisons de santé </w:t>
      </w:r>
      <w:r>
        <w:rPr>
          <w:rFonts w:ascii="Arial" w:hAnsi="Arial" w:cs="Arial"/>
          <w:bCs/>
          <w:sz w:val="22"/>
          <w:szCs w:val="22"/>
          <w:lang w:val="de-DE"/>
        </w:rPr>
        <w:t>selon l</w:t>
      </w:r>
      <w:r w:rsidRPr="00EB3B6B">
        <w:rPr>
          <w:rFonts w:ascii="Arial" w:hAnsi="Arial" w:cs="Arial"/>
          <w:bCs/>
          <w:sz w:val="22"/>
          <w:szCs w:val="22"/>
          <w:lang w:val="de-DE"/>
        </w:rPr>
        <w:t>es motifs suivants :</w:t>
      </w:r>
    </w:p>
    <w:p w:rsidR="00B75970" w:rsidRDefault="00B75970" w:rsidP="00B75970">
      <w:pPr>
        <w:pStyle w:val="NormalWeb"/>
        <w:spacing w:before="0" w:beforeAutospacing="0" w:after="0"/>
        <w:jc w:val="both"/>
        <w:rPr>
          <w:rFonts w:ascii="Arial" w:hAnsi="Arial" w:cs="Arial"/>
          <w:sz w:val="22"/>
          <w:szCs w:val="22"/>
          <w:lang w:val="de-DE"/>
        </w:rPr>
      </w:pPr>
      <w:r w:rsidRPr="00EB3B6B">
        <w:rPr>
          <w:rFonts w:ascii="Arial" w:hAnsi="Arial" w:cs="Arial"/>
          <w:sz w:val="22"/>
          <w:szCs w:val="22"/>
          <w:lang w:val="de-DE"/>
        </w:rPr>
        <w:t xml:space="preserve">- </w:t>
      </w:r>
      <w:r>
        <w:rPr>
          <w:rFonts w:ascii="Arial" w:hAnsi="Arial" w:cs="Arial"/>
          <w:sz w:val="22"/>
          <w:szCs w:val="22"/>
          <w:lang w:val="de-DE"/>
        </w:rPr>
        <w:t>M</w:t>
      </w:r>
      <w:r w:rsidRPr="00EB3B6B">
        <w:rPr>
          <w:rFonts w:ascii="Arial" w:hAnsi="Arial" w:cs="Arial"/>
          <w:sz w:val="22"/>
          <w:szCs w:val="22"/>
          <w:lang w:val="de-DE"/>
        </w:rPr>
        <w:t>aladie ordinaire</w:t>
      </w:r>
      <w:r>
        <w:rPr>
          <w:rFonts w:ascii="Arial" w:hAnsi="Arial" w:cs="Arial"/>
          <w:sz w:val="22"/>
          <w:szCs w:val="22"/>
          <w:lang w:val="de-DE"/>
        </w:rPr>
        <w:t xml:space="preserve"> (CMO)</w:t>
      </w:r>
    </w:p>
    <w:p w:rsidR="00B75970" w:rsidRPr="00EB3B6B" w:rsidRDefault="00B75970" w:rsidP="00B75970">
      <w:pPr>
        <w:pStyle w:val="NormalWeb"/>
        <w:spacing w:before="0" w:beforeAutospacing="0" w:after="0"/>
        <w:jc w:val="both"/>
        <w:rPr>
          <w:rFonts w:ascii="Arial" w:hAnsi="Arial" w:cs="Arial"/>
          <w:sz w:val="22"/>
          <w:szCs w:val="22"/>
          <w:lang w:val="de-DE"/>
        </w:rPr>
      </w:pPr>
      <w:r w:rsidRPr="00EB3B6B">
        <w:rPr>
          <w:rFonts w:ascii="Arial" w:hAnsi="Arial" w:cs="Arial"/>
          <w:sz w:val="22"/>
          <w:szCs w:val="22"/>
          <w:lang w:val="de-DE"/>
        </w:rPr>
        <w:t xml:space="preserve">- </w:t>
      </w:r>
      <w:r>
        <w:rPr>
          <w:rFonts w:ascii="Arial" w:hAnsi="Arial" w:cs="Arial"/>
          <w:sz w:val="22"/>
          <w:szCs w:val="22"/>
          <w:lang w:val="de-DE"/>
        </w:rPr>
        <w:t>L</w:t>
      </w:r>
      <w:r w:rsidRPr="00EB3B6B">
        <w:rPr>
          <w:rFonts w:ascii="Arial" w:hAnsi="Arial" w:cs="Arial"/>
          <w:sz w:val="22"/>
          <w:szCs w:val="22"/>
          <w:lang w:val="de-DE"/>
        </w:rPr>
        <w:t xml:space="preserve">ongue maladie </w:t>
      </w:r>
      <w:r>
        <w:rPr>
          <w:rFonts w:ascii="Arial" w:hAnsi="Arial" w:cs="Arial"/>
          <w:sz w:val="22"/>
          <w:szCs w:val="22"/>
          <w:lang w:val="de-DE"/>
        </w:rPr>
        <w:t xml:space="preserve">(CLM) </w:t>
      </w:r>
      <w:r w:rsidRPr="00EB3B6B">
        <w:rPr>
          <w:rFonts w:ascii="Arial" w:hAnsi="Arial" w:cs="Arial"/>
          <w:sz w:val="22"/>
          <w:szCs w:val="22"/>
          <w:lang w:val="de-DE"/>
        </w:rPr>
        <w:t xml:space="preserve">(fonctionnaires) </w:t>
      </w:r>
    </w:p>
    <w:p w:rsidR="00B75970" w:rsidRDefault="00B75970" w:rsidP="00B75970">
      <w:pPr>
        <w:pStyle w:val="NormalWeb"/>
        <w:spacing w:before="0" w:beforeAutospacing="0" w:after="0"/>
        <w:jc w:val="both"/>
        <w:rPr>
          <w:rFonts w:ascii="Arial" w:hAnsi="Arial" w:cs="Arial"/>
          <w:sz w:val="22"/>
          <w:szCs w:val="22"/>
          <w:lang w:val="de-DE"/>
        </w:rPr>
      </w:pPr>
      <w:r w:rsidRPr="00EB3B6B">
        <w:rPr>
          <w:rFonts w:ascii="Arial" w:hAnsi="Arial" w:cs="Arial"/>
          <w:sz w:val="22"/>
          <w:szCs w:val="22"/>
          <w:lang w:val="de-DE"/>
        </w:rPr>
        <w:t xml:space="preserve">- </w:t>
      </w:r>
      <w:r>
        <w:rPr>
          <w:rFonts w:ascii="Arial" w:hAnsi="Arial" w:cs="Arial"/>
          <w:sz w:val="22"/>
          <w:szCs w:val="22"/>
          <w:lang w:val="de-DE"/>
        </w:rPr>
        <w:t>G</w:t>
      </w:r>
      <w:r w:rsidRPr="00EB3B6B">
        <w:rPr>
          <w:rFonts w:ascii="Arial" w:hAnsi="Arial" w:cs="Arial"/>
          <w:sz w:val="22"/>
          <w:szCs w:val="22"/>
          <w:lang w:val="de-DE"/>
        </w:rPr>
        <w:t xml:space="preserve">rave maladie </w:t>
      </w:r>
      <w:r>
        <w:rPr>
          <w:rFonts w:ascii="Arial" w:hAnsi="Arial" w:cs="Arial"/>
          <w:sz w:val="22"/>
          <w:szCs w:val="22"/>
          <w:lang w:val="de-DE"/>
        </w:rPr>
        <w:t xml:space="preserve">(CGM) </w:t>
      </w:r>
      <w:r w:rsidRPr="00EB3B6B">
        <w:rPr>
          <w:rFonts w:ascii="Arial" w:hAnsi="Arial" w:cs="Arial"/>
          <w:sz w:val="22"/>
          <w:szCs w:val="22"/>
          <w:lang w:val="de-DE"/>
        </w:rPr>
        <w:t>(non-titulaires)</w:t>
      </w:r>
    </w:p>
    <w:p w:rsidR="00B75970" w:rsidRDefault="00B75970" w:rsidP="00B75970">
      <w:pPr>
        <w:pStyle w:val="NormalWeb"/>
        <w:spacing w:before="0" w:beforeAutospacing="0" w:after="0"/>
        <w:jc w:val="both"/>
        <w:rPr>
          <w:rFonts w:ascii="Arial" w:hAnsi="Arial" w:cs="Arial"/>
          <w:sz w:val="22"/>
          <w:szCs w:val="22"/>
          <w:lang w:val="de-DE"/>
        </w:rPr>
      </w:pPr>
      <w:r w:rsidRPr="00EB3B6B">
        <w:rPr>
          <w:rFonts w:ascii="Arial" w:hAnsi="Arial" w:cs="Arial"/>
          <w:sz w:val="22"/>
          <w:szCs w:val="22"/>
          <w:lang w:val="de-DE"/>
        </w:rPr>
        <w:t xml:space="preserve">- </w:t>
      </w:r>
      <w:r>
        <w:rPr>
          <w:rFonts w:ascii="Arial" w:hAnsi="Arial" w:cs="Arial"/>
          <w:sz w:val="22"/>
          <w:szCs w:val="22"/>
          <w:lang w:val="de-DE"/>
        </w:rPr>
        <w:t>L</w:t>
      </w:r>
      <w:r w:rsidRPr="00EB3B6B">
        <w:rPr>
          <w:rFonts w:ascii="Arial" w:hAnsi="Arial" w:cs="Arial"/>
          <w:sz w:val="22"/>
          <w:szCs w:val="22"/>
          <w:lang w:val="de-DE"/>
        </w:rPr>
        <w:t>ongue durée</w:t>
      </w:r>
      <w:r>
        <w:rPr>
          <w:rFonts w:ascii="Arial" w:hAnsi="Arial" w:cs="Arial"/>
          <w:sz w:val="22"/>
          <w:szCs w:val="22"/>
          <w:lang w:val="de-DE"/>
        </w:rPr>
        <w:t xml:space="preserve"> (CLD)</w:t>
      </w:r>
    </w:p>
    <w:p w:rsidR="00B75970" w:rsidRPr="00EB3B6B" w:rsidRDefault="007367B4" w:rsidP="00B75970">
      <w:pPr>
        <w:pStyle w:val="NormalWeb"/>
        <w:spacing w:before="0" w:beforeAutospacing="0" w:after="0"/>
        <w:jc w:val="both"/>
        <w:rPr>
          <w:rFonts w:ascii="Arial" w:hAnsi="Arial" w:cs="Arial"/>
          <w:sz w:val="22"/>
          <w:szCs w:val="22"/>
          <w:lang w:val="de-DE"/>
        </w:rPr>
      </w:pPr>
      <w:r>
        <w:rPr>
          <w:rFonts w:ascii="Arial" w:hAnsi="Arial" w:cs="Arial"/>
          <w:sz w:val="22"/>
          <w:szCs w:val="22"/>
          <w:lang w:val="de-DE"/>
        </w:rPr>
        <w:t xml:space="preserve">- </w:t>
      </w:r>
      <w:r w:rsidR="00B75970">
        <w:rPr>
          <w:rFonts w:ascii="Arial" w:hAnsi="Arial" w:cs="Arial"/>
          <w:sz w:val="22"/>
          <w:szCs w:val="22"/>
          <w:lang w:val="de-DE"/>
        </w:rPr>
        <w:t>D</w:t>
      </w:r>
      <w:r w:rsidR="00B75970" w:rsidRPr="00EB3B6B">
        <w:rPr>
          <w:rFonts w:ascii="Arial" w:hAnsi="Arial" w:cs="Arial"/>
          <w:sz w:val="22"/>
          <w:szCs w:val="22"/>
          <w:lang w:val="de-DE"/>
        </w:rPr>
        <w:t xml:space="preserve">isponibilité d'office </w:t>
      </w:r>
      <w:r w:rsidR="00B75970">
        <w:rPr>
          <w:rFonts w:ascii="Arial" w:hAnsi="Arial" w:cs="Arial"/>
          <w:sz w:val="22"/>
          <w:szCs w:val="22"/>
          <w:lang w:val="de-DE"/>
        </w:rPr>
        <w:t xml:space="preserve">(DOP) </w:t>
      </w:r>
      <w:r w:rsidR="00B75970" w:rsidRPr="00EB3B6B">
        <w:rPr>
          <w:rFonts w:ascii="Arial" w:hAnsi="Arial" w:cs="Arial"/>
          <w:sz w:val="22"/>
          <w:szCs w:val="22"/>
          <w:lang w:val="de-DE"/>
        </w:rPr>
        <w:t>(état de santé incompatible avec la reprise du travail ou inaptitude physique pour exercice de fonctions).</w:t>
      </w:r>
    </w:p>
    <w:p w:rsidR="00B75970" w:rsidRPr="00EB3B6B" w:rsidRDefault="00B75970" w:rsidP="00B75970">
      <w:pPr>
        <w:widowControl w:val="0"/>
        <w:autoSpaceDE w:val="0"/>
        <w:autoSpaceDN w:val="0"/>
        <w:adjustRightInd w:val="0"/>
        <w:jc w:val="both"/>
        <w:rPr>
          <w:rFonts w:ascii="Arial" w:eastAsia="Cambria" w:hAnsi="Arial" w:cs="Arial"/>
          <w:color w:val="000000"/>
        </w:rPr>
      </w:pPr>
    </w:p>
    <w:p w:rsidR="00B75970" w:rsidRPr="0014520D" w:rsidRDefault="00B75970" w:rsidP="00B75970">
      <w:pPr>
        <w:widowControl w:val="0"/>
        <w:autoSpaceDE w:val="0"/>
        <w:autoSpaceDN w:val="0"/>
        <w:adjustRightInd w:val="0"/>
        <w:jc w:val="center"/>
        <w:rPr>
          <w:rFonts w:ascii="Arial" w:eastAsia="Cambria" w:hAnsi="Arial" w:cs="Arial"/>
          <w:b/>
          <w:color w:val="000000"/>
          <w:lang w:val="de-DE"/>
        </w:rPr>
      </w:pPr>
      <w:r>
        <w:rPr>
          <w:rFonts w:ascii="Arial" w:eastAsia="Cambria" w:hAnsi="Arial" w:cs="Arial"/>
          <w:b/>
          <w:color w:val="000000"/>
          <w:lang w:val="de-DE"/>
        </w:rPr>
        <w:t>Nombre de jours d’absence pour raison de santé</w:t>
      </w:r>
    </w:p>
    <w:p w:rsidR="00B75970" w:rsidRPr="00967D00" w:rsidRDefault="004C69C7" w:rsidP="00B75970">
      <w:pPr>
        <w:widowControl w:val="0"/>
        <w:autoSpaceDE w:val="0"/>
        <w:autoSpaceDN w:val="0"/>
        <w:adjustRightInd w:val="0"/>
        <w:rPr>
          <w:rFonts w:ascii="Arial" w:eastAsia="Cambria" w:hAnsi="Arial" w:cs="Arial"/>
          <w:color w:val="000000"/>
          <w:lang w:val="de-DE"/>
        </w:rPr>
      </w:pPr>
      <w:r w:rsidRPr="00AB3190">
        <w:rPr>
          <w:noProof/>
          <w:lang w:eastAsia="fr-FR"/>
        </w:rPr>
        <w:drawing>
          <wp:anchor distT="0" distB="0" distL="114300" distR="114300" simplePos="0" relativeHeight="251822080" behindDoc="1" locked="0" layoutInCell="1" allowOverlap="1" wp14:anchorId="75ED8EE6" wp14:editId="359007EA">
            <wp:simplePos x="0" y="0"/>
            <wp:positionH relativeFrom="margin">
              <wp:align>center</wp:align>
            </wp:positionH>
            <wp:positionV relativeFrom="paragraph">
              <wp:posOffset>76200</wp:posOffset>
            </wp:positionV>
            <wp:extent cx="4578350" cy="1530350"/>
            <wp:effectExtent l="0" t="0" r="0" b="0"/>
            <wp:wrapTight wrapText="bothSides">
              <wp:wrapPolygon edited="0">
                <wp:start x="0" y="0"/>
                <wp:lineTo x="0" y="21241"/>
                <wp:lineTo x="18065" y="21241"/>
                <wp:lineTo x="21480" y="19359"/>
                <wp:lineTo x="21480" y="17477"/>
                <wp:lineTo x="18065" y="17208"/>
                <wp:lineTo x="21390" y="16133"/>
                <wp:lineTo x="21480" y="13713"/>
                <wp:lineTo x="20222" y="12906"/>
                <wp:lineTo x="21480" y="10486"/>
                <wp:lineTo x="20492" y="8604"/>
                <wp:lineTo x="21390" y="6991"/>
                <wp:lineTo x="21480" y="0"/>
                <wp:lineTo x="0" y="0"/>
              </wp:wrapPolygon>
            </wp:wrapTight>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578350" cy="1530350"/>
                    </a:xfrm>
                    <a:prstGeom prst="rect">
                      <a:avLst/>
                    </a:prstGeom>
                    <a:noFill/>
                    <a:ln>
                      <a:noFill/>
                    </a:ln>
                  </pic:spPr>
                </pic:pic>
              </a:graphicData>
            </a:graphic>
          </wp:anchor>
        </w:drawing>
      </w:r>
    </w:p>
    <w:p w:rsidR="00B75970" w:rsidRDefault="00B75970" w:rsidP="00B75970">
      <w:pPr>
        <w:widowControl w:val="0"/>
        <w:autoSpaceDE w:val="0"/>
        <w:autoSpaceDN w:val="0"/>
        <w:adjustRightInd w:val="0"/>
        <w:rPr>
          <w:rFonts w:ascii="Arial" w:eastAsia="Cambria" w:hAnsi="Arial" w:cs="Arial"/>
          <w:color w:val="000000"/>
        </w:rPr>
      </w:pPr>
    </w:p>
    <w:p w:rsidR="00B75970" w:rsidRDefault="00B75970" w:rsidP="00B75970">
      <w:pPr>
        <w:widowControl w:val="0"/>
        <w:autoSpaceDE w:val="0"/>
        <w:autoSpaceDN w:val="0"/>
        <w:adjustRightInd w:val="0"/>
        <w:rPr>
          <w:rFonts w:ascii="Arial" w:eastAsia="Cambria" w:hAnsi="Arial" w:cs="Arial"/>
          <w:color w:val="000000"/>
        </w:rPr>
      </w:pPr>
    </w:p>
    <w:p w:rsidR="00B75970" w:rsidRDefault="00B75970" w:rsidP="00B75970">
      <w:pPr>
        <w:widowControl w:val="0"/>
        <w:autoSpaceDE w:val="0"/>
        <w:autoSpaceDN w:val="0"/>
        <w:adjustRightInd w:val="0"/>
        <w:rPr>
          <w:rFonts w:ascii="Arial" w:eastAsia="Cambria" w:hAnsi="Arial" w:cs="Arial"/>
          <w:color w:val="000000"/>
        </w:rPr>
      </w:pPr>
    </w:p>
    <w:p w:rsidR="00B75970" w:rsidRDefault="00B75970" w:rsidP="00B75970">
      <w:pPr>
        <w:widowControl w:val="0"/>
        <w:autoSpaceDE w:val="0"/>
        <w:autoSpaceDN w:val="0"/>
        <w:adjustRightInd w:val="0"/>
        <w:rPr>
          <w:rFonts w:ascii="Arial" w:eastAsia="Cambria" w:hAnsi="Arial" w:cs="Arial"/>
          <w:color w:val="000000"/>
        </w:rPr>
      </w:pPr>
    </w:p>
    <w:p w:rsidR="00B75970" w:rsidRDefault="00B75970" w:rsidP="00B75970">
      <w:pPr>
        <w:widowControl w:val="0"/>
        <w:autoSpaceDE w:val="0"/>
        <w:autoSpaceDN w:val="0"/>
        <w:adjustRightInd w:val="0"/>
        <w:rPr>
          <w:rFonts w:ascii="Arial" w:eastAsia="Cambria" w:hAnsi="Arial" w:cs="Arial"/>
          <w:color w:val="000000"/>
        </w:rPr>
      </w:pPr>
    </w:p>
    <w:p w:rsidR="00B75970" w:rsidRDefault="00B75970" w:rsidP="00B75970">
      <w:pPr>
        <w:widowControl w:val="0"/>
        <w:autoSpaceDE w:val="0"/>
        <w:autoSpaceDN w:val="0"/>
        <w:adjustRightInd w:val="0"/>
        <w:rPr>
          <w:rFonts w:ascii="Arial" w:eastAsia="Cambria" w:hAnsi="Arial" w:cs="Arial"/>
          <w:color w:val="000000"/>
        </w:rPr>
      </w:pPr>
    </w:p>
    <w:p w:rsidR="00B75970" w:rsidRDefault="00B75970" w:rsidP="00B75970">
      <w:pPr>
        <w:widowControl w:val="0"/>
        <w:autoSpaceDE w:val="0"/>
        <w:autoSpaceDN w:val="0"/>
        <w:adjustRightInd w:val="0"/>
        <w:rPr>
          <w:rFonts w:ascii="Arial" w:eastAsia="Cambria" w:hAnsi="Arial" w:cs="Arial"/>
          <w:color w:val="000000"/>
        </w:rPr>
      </w:pPr>
    </w:p>
    <w:p w:rsidR="00B75970" w:rsidRDefault="00B75970" w:rsidP="00B75970">
      <w:pPr>
        <w:widowControl w:val="0"/>
        <w:autoSpaceDE w:val="0"/>
        <w:autoSpaceDN w:val="0"/>
        <w:adjustRightInd w:val="0"/>
        <w:rPr>
          <w:rFonts w:ascii="Arial" w:eastAsia="Cambria" w:hAnsi="Arial" w:cs="Arial"/>
          <w:color w:val="000000"/>
        </w:rPr>
      </w:pPr>
    </w:p>
    <w:p w:rsidR="00B75970" w:rsidRDefault="00B75970" w:rsidP="00B75970">
      <w:pPr>
        <w:widowControl w:val="0"/>
        <w:autoSpaceDE w:val="0"/>
        <w:autoSpaceDN w:val="0"/>
        <w:adjustRightInd w:val="0"/>
        <w:rPr>
          <w:rFonts w:ascii="Arial" w:eastAsia="Cambria" w:hAnsi="Arial" w:cs="Arial"/>
          <w:color w:val="000000"/>
        </w:rPr>
      </w:pPr>
    </w:p>
    <w:p w:rsidR="00B75970" w:rsidRPr="008934C1" w:rsidRDefault="00B75970" w:rsidP="00B75970">
      <w:pPr>
        <w:jc w:val="both"/>
        <w:rPr>
          <w:rFonts w:ascii="Arial" w:eastAsia="Cambria" w:hAnsi="Arial" w:cs="Arial"/>
          <w:color w:val="000000"/>
          <w:sz w:val="22"/>
          <w:szCs w:val="22"/>
        </w:rPr>
      </w:pPr>
      <w:r w:rsidRPr="008934C1">
        <w:rPr>
          <w:rFonts w:ascii="Arial" w:eastAsia="Times New Roman" w:hAnsi="Arial" w:cs="Arial"/>
          <w:i/>
          <w:sz w:val="22"/>
          <w:szCs w:val="22"/>
          <w:lang w:val="de-DE" w:eastAsia="fr-FR"/>
        </w:rPr>
        <w:t xml:space="preserve">Ces données comprennent les effectifs des agents titulaires du T2 et T3 et des agents contractuels du T2 </w:t>
      </w:r>
      <w:r w:rsidRPr="008934C1">
        <w:rPr>
          <w:rFonts w:ascii="Arial" w:eastAsia="Times New Roman" w:hAnsi="Arial" w:cs="Arial"/>
          <w:bCs/>
          <w:i/>
          <w:sz w:val="22"/>
          <w:szCs w:val="22"/>
          <w:lang w:val="de-DE" w:eastAsia="fr-FR"/>
        </w:rPr>
        <w:t>(celles concernant les agents contractuels du T3 ne sont pas renseignées dans le SIRH du ministère)</w:t>
      </w:r>
      <w:r w:rsidRPr="008934C1">
        <w:rPr>
          <w:rFonts w:ascii="Arial" w:eastAsia="Times New Roman" w:hAnsi="Arial" w:cs="Arial"/>
          <w:i/>
          <w:sz w:val="22"/>
          <w:szCs w:val="22"/>
          <w:lang w:val="de-DE" w:eastAsia="fr-FR"/>
        </w:rPr>
        <w:t>.</w:t>
      </w:r>
      <w:r w:rsidRPr="008934C1">
        <w:rPr>
          <w:rFonts w:ascii="Arial" w:eastAsia="Cambria" w:hAnsi="Arial" w:cs="Arial"/>
          <w:color w:val="000000"/>
          <w:sz w:val="22"/>
          <w:szCs w:val="22"/>
        </w:rPr>
        <w:br w:type="page"/>
      </w:r>
    </w:p>
    <w:p w:rsidR="00B75970" w:rsidRPr="00EB3B6B" w:rsidRDefault="00B75970" w:rsidP="00B75970">
      <w:pPr>
        <w:widowControl w:val="0"/>
        <w:autoSpaceDE w:val="0"/>
        <w:autoSpaceDN w:val="0"/>
        <w:adjustRightInd w:val="0"/>
        <w:rPr>
          <w:rFonts w:ascii="Arial" w:eastAsia="Cambria" w:hAnsi="Arial" w:cs="Arial"/>
          <w:color w:val="000000"/>
        </w:rPr>
      </w:pPr>
    </w:p>
    <w:p w:rsidR="00B75970" w:rsidRPr="00716D86" w:rsidRDefault="00B75970" w:rsidP="00B75970">
      <w:pPr>
        <w:rPr>
          <w:rFonts w:ascii="Florencesans Exp" w:eastAsia="Cambria" w:hAnsi="Florencesans Exp" w:cs="Times New Roman"/>
        </w:rPr>
      </w:pPr>
      <w:r w:rsidRPr="00716D86">
        <w:rPr>
          <w:rFonts w:ascii="Florencesans Exp" w:eastAsia="Cambria" w:hAnsi="Florencesans Exp" w:cs="Times New Roman"/>
        </w:rPr>
        <w:t xml:space="preserve">4. B. 2. </w:t>
      </w:r>
      <w:r w:rsidRPr="00AB3190">
        <w:rPr>
          <w:rFonts w:ascii="Florencesans Exp" w:eastAsia="Cambria" w:hAnsi="Florencesans Exp" w:cs="Times New Roman"/>
        </w:rPr>
        <w:t>LES COMMISSIONS DE REFORME</w:t>
      </w:r>
    </w:p>
    <w:p w:rsidR="00B75970" w:rsidRPr="00EB6E0B" w:rsidRDefault="00B75970" w:rsidP="00B75970">
      <w:pPr>
        <w:rPr>
          <w:rFonts w:ascii="BlairMdITC TT-Medium" w:eastAsia="Cambria" w:hAnsi="BlairMdITC TT-Medium" w:cs="Times New Roman"/>
        </w:rPr>
      </w:pPr>
    </w:p>
    <w:p w:rsidR="00B75970" w:rsidRPr="003207A4" w:rsidRDefault="00B75970" w:rsidP="00B75970">
      <w:pPr>
        <w:jc w:val="both"/>
        <w:rPr>
          <w:rFonts w:ascii="Times New Roman" w:eastAsia="Times New Roman" w:hAnsi="Times New Roman" w:cs="Times New Roman"/>
          <w:sz w:val="22"/>
          <w:szCs w:val="22"/>
          <w:lang w:eastAsia="fr-FR"/>
        </w:rPr>
      </w:pPr>
      <w:r w:rsidRPr="003207A4">
        <w:rPr>
          <w:rFonts w:ascii="Arial" w:eastAsia="Times New Roman" w:hAnsi="Arial" w:cs="Arial"/>
          <w:color w:val="000000"/>
          <w:sz w:val="22"/>
          <w:szCs w:val="22"/>
          <w:lang w:eastAsia="fr-FR"/>
        </w:rPr>
        <w:t>Placée auprès de l’administration centrale, la commission de réforme ministérielle examine la situation des agents titulaires en poste en Île-de-France sauf ceux de Seine-et-Marne.</w:t>
      </w:r>
    </w:p>
    <w:p w:rsidR="00B75970" w:rsidRPr="003207A4" w:rsidRDefault="00B75970" w:rsidP="00B75970">
      <w:pPr>
        <w:jc w:val="both"/>
        <w:rPr>
          <w:rFonts w:ascii="Times New Roman" w:eastAsia="Times New Roman" w:hAnsi="Times New Roman" w:cs="Times New Roman"/>
          <w:sz w:val="22"/>
          <w:szCs w:val="22"/>
          <w:lang w:eastAsia="fr-FR"/>
        </w:rPr>
      </w:pPr>
    </w:p>
    <w:p w:rsidR="00B75970" w:rsidRPr="003207A4" w:rsidRDefault="00B75970" w:rsidP="00B75970">
      <w:pPr>
        <w:jc w:val="both"/>
        <w:rPr>
          <w:rFonts w:ascii="Times New Roman" w:eastAsia="Times New Roman" w:hAnsi="Times New Roman" w:cs="Times New Roman"/>
          <w:sz w:val="22"/>
          <w:szCs w:val="22"/>
          <w:lang w:eastAsia="fr-FR"/>
        </w:rPr>
      </w:pPr>
      <w:r w:rsidRPr="003207A4">
        <w:rPr>
          <w:rFonts w:ascii="Arial" w:eastAsia="Times New Roman" w:hAnsi="Arial" w:cs="Arial"/>
          <w:color w:val="000000"/>
          <w:sz w:val="22"/>
          <w:szCs w:val="22"/>
          <w:lang w:eastAsia="fr-FR"/>
        </w:rPr>
        <w:t>C'est la résidence administrative de l'agent qui est prise en compte pour déterminer la commission de réforme compétente. Ainsi pour les agents en poste en régions, la compétence départementale des commissions implique par exemple que les situations d'agents en poste dans des STAP soient examinées par des commissions différentes.</w:t>
      </w:r>
    </w:p>
    <w:p w:rsidR="00B75970" w:rsidRPr="003207A4" w:rsidRDefault="00B75970" w:rsidP="00B75970">
      <w:pPr>
        <w:jc w:val="both"/>
        <w:rPr>
          <w:rFonts w:ascii="Times New Roman" w:eastAsia="Times New Roman" w:hAnsi="Times New Roman" w:cs="Times New Roman"/>
          <w:sz w:val="22"/>
          <w:szCs w:val="22"/>
          <w:lang w:eastAsia="fr-FR"/>
        </w:rPr>
      </w:pPr>
    </w:p>
    <w:p w:rsidR="00B75970" w:rsidRPr="003207A4" w:rsidRDefault="00B75970" w:rsidP="00B75970">
      <w:pPr>
        <w:jc w:val="both"/>
        <w:rPr>
          <w:rFonts w:ascii="Times New Roman" w:eastAsia="Times New Roman" w:hAnsi="Times New Roman" w:cs="Times New Roman"/>
          <w:sz w:val="22"/>
          <w:szCs w:val="22"/>
          <w:lang w:eastAsia="fr-FR"/>
        </w:rPr>
      </w:pPr>
      <w:r w:rsidRPr="003207A4">
        <w:rPr>
          <w:rFonts w:ascii="Arial" w:eastAsia="Times New Roman" w:hAnsi="Arial" w:cs="Arial"/>
          <w:color w:val="000000"/>
          <w:sz w:val="22"/>
          <w:szCs w:val="22"/>
          <w:lang w:eastAsia="fr-FR"/>
        </w:rPr>
        <w:t>Les commissions de réforme rendent des avis notamment sur l'imputabilité au service des accidents dont peuvent être victimes les agents titulaires dans l'exercice de leur mission sur le lieu de travail, à l'occasion d'une mission ou sur leur trajet domicile - travail. Elles se prononcent également sur la reconnaissance des maladies professionnelles voire sur la détermination d'une éventuelle invalidité temporaire.</w:t>
      </w:r>
    </w:p>
    <w:p w:rsidR="00B75970" w:rsidRPr="003207A4" w:rsidRDefault="00B75970" w:rsidP="00B75970">
      <w:pPr>
        <w:jc w:val="both"/>
        <w:rPr>
          <w:rFonts w:ascii="Times New Roman" w:eastAsia="Times New Roman" w:hAnsi="Times New Roman" w:cs="Times New Roman"/>
          <w:sz w:val="22"/>
          <w:szCs w:val="22"/>
          <w:lang w:eastAsia="fr-FR"/>
        </w:rPr>
      </w:pPr>
    </w:p>
    <w:p w:rsidR="00B75970" w:rsidRPr="003207A4" w:rsidRDefault="00B75970" w:rsidP="00B75970">
      <w:pPr>
        <w:jc w:val="both"/>
        <w:rPr>
          <w:rFonts w:ascii="Times New Roman" w:eastAsia="Times New Roman" w:hAnsi="Times New Roman" w:cs="Times New Roman"/>
          <w:sz w:val="22"/>
          <w:szCs w:val="22"/>
          <w:lang w:eastAsia="fr-FR"/>
        </w:rPr>
      </w:pPr>
      <w:r w:rsidRPr="003207A4">
        <w:rPr>
          <w:rFonts w:ascii="Arial" w:eastAsia="Times New Roman" w:hAnsi="Arial" w:cs="Arial"/>
          <w:color w:val="000000"/>
          <w:sz w:val="22"/>
          <w:szCs w:val="22"/>
          <w:lang w:eastAsia="fr-FR"/>
        </w:rPr>
        <w:t>En 2013, la commission de réforme ministérielle a examiné 185 dossiers dont 164 dossiers au titre des accidents du travail et des maladies professionnelles directement instruits par le service des ressources humaines (bureau de l'action sociale et de la prévention). Certains de ces dossiers ont ainsi pu faire l'objet de plusieurs examens avant guérison ou consolidation.</w:t>
      </w:r>
    </w:p>
    <w:p w:rsidR="00B75970" w:rsidRPr="00AB3190" w:rsidRDefault="00B75970" w:rsidP="00B75970">
      <w:pPr>
        <w:widowControl w:val="0"/>
        <w:autoSpaceDE w:val="0"/>
        <w:autoSpaceDN w:val="0"/>
        <w:adjustRightInd w:val="0"/>
        <w:jc w:val="both"/>
        <w:rPr>
          <w:rFonts w:ascii="Arial" w:eastAsia="Cambria" w:hAnsi="Arial" w:cs="Times"/>
          <w:color w:val="000000"/>
        </w:rPr>
      </w:pPr>
    </w:p>
    <w:p w:rsidR="00B75970" w:rsidRPr="00AB3190" w:rsidRDefault="00B75970" w:rsidP="00B75970">
      <w:pPr>
        <w:widowControl w:val="0"/>
        <w:autoSpaceDE w:val="0"/>
        <w:autoSpaceDN w:val="0"/>
        <w:adjustRightInd w:val="0"/>
        <w:jc w:val="both"/>
        <w:rPr>
          <w:rFonts w:ascii="Times" w:eastAsia="Cambria" w:hAnsi="Times" w:cs="Times"/>
          <w:color w:val="000000"/>
        </w:rPr>
      </w:pPr>
      <w:r w:rsidRPr="00A456D5">
        <w:rPr>
          <w:noProof/>
          <w:lang w:eastAsia="fr-FR"/>
        </w:rPr>
        <w:drawing>
          <wp:anchor distT="0" distB="0" distL="114300" distR="114300" simplePos="0" relativeHeight="251823104" behindDoc="1" locked="0" layoutInCell="1" allowOverlap="1" wp14:anchorId="170296E6" wp14:editId="5963C162">
            <wp:simplePos x="0" y="0"/>
            <wp:positionH relativeFrom="margin">
              <wp:align>center</wp:align>
            </wp:positionH>
            <wp:positionV relativeFrom="paragraph">
              <wp:posOffset>96520</wp:posOffset>
            </wp:positionV>
            <wp:extent cx="4768850" cy="3536950"/>
            <wp:effectExtent l="0" t="0" r="0" b="6350"/>
            <wp:wrapTight wrapText="bothSides">
              <wp:wrapPolygon edited="0">
                <wp:start x="0" y="0"/>
                <wp:lineTo x="0" y="21522"/>
                <wp:lineTo x="21485" y="21522"/>
                <wp:lineTo x="21485" y="0"/>
                <wp:lineTo x="0" y="0"/>
              </wp:wrapPolygon>
            </wp:wrapTight>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68850" cy="3536950"/>
                    </a:xfrm>
                    <a:prstGeom prst="rect">
                      <a:avLst/>
                    </a:prstGeom>
                    <a:noFill/>
                    <a:ln>
                      <a:noFill/>
                    </a:ln>
                  </pic:spPr>
                </pic:pic>
              </a:graphicData>
            </a:graphic>
          </wp:anchor>
        </w:drawing>
      </w:r>
    </w:p>
    <w:p w:rsidR="00B75970" w:rsidRPr="00A456D5" w:rsidRDefault="00B75970" w:rsidP="00B75970">
      <w:pPr>
        <w:widowControl w:val="0"/>
        <w:autoSpaceDE w:val="0"/>
        <w:autoSpaceDN w:val="0"/>
        <w:adjustRightInd w:val="0"/>
        <w:jc w:val="both"/>
        <w:rPr>
          <w:rFonts w:ascii="Arial" w:eastAsia="Cambria" w:hAnsi="Arial" w:cs="Arial"/>
          <w:color w:val="000000"/>
        </w:rPr>
      </w:pPr>
    </w:p>
    <w:p w:rsidR="00B75970" w:rsidRPr="00A456D5" w:rsidRDefault="00B75970" w:rsidP="00B75970">
      <w:pPr>
        <w:widowControl w:val="0"/>
        <w:autoSpaceDE w:val="0"/>
        <w:autoSpaceDN w:val="0"/>
        <w:adjustRightInd w:val="0"/>
        <w:jc w:val="center"/>
        <w:rPr>
          <w:rFonts w:ascii="Arial" w:eastAsia="Cambria" w:hAnsi="Arial" w:cs="Arial"/>
          <w:b/>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widowControl w:val="0"/>
        <w:autoSpaceDE w:val="0"/>
        <w:autoSpaceDN w:val="0"/>
        <w:adjustRightInd w:val="0"/>
        <w:rPr>
          <w:rFonts w:ascii="Arial" w:eastAsia="Cambria" w:hAnsi="Arial" w:cs="Arial"/>
          <w:color w:val="000000"/>
        </w:rPr>
      </w:pPr>
    </w:p>
    <w:p w:rsidR="00B75970" w:rsidRPr="00A456D5" w:rsidRDefault="00B75970" w:rsidP="00B75970">
      <w:pPr>
        <w:rPr>
          <w:rFonts w:ascii="Arial" w:eastAsia="Cambria" w:hAnsi="Arial" w:cs="Arial"/>
          <w:color w:val="000000"/>
        </w:rPr>
      </w:pPr>
      <w:r w:rsidRPr="00A456D5">
        <w:rPr>
          <w:rFonts w:ascii="Arial" w:eastAsia="Cambria" w:hAnsi="Arial" w:cs="Arial"/>
          <w:color w:val="000000"/>
        </w:rPr>
        <w:br w:type="page"/>
      </w:r>
    </w:p>
    <w:p w:rsidR="00B75970" w:rsidRPr="00EB6E0B" w:rsidRDefault="00B75970" w:rsidP="00B75970">
      <w:pPr>
        <w:widowControl w:val="0"/>
        <w:autoSpaceDE w:val="0"/>
        <w:autoSpaceDN w:val="0"/>
        <w:adjustRightInd w:val="0"/>
        <w:rPr>
          <w:rFonts w:ascii="Times" w:eastAsia="Cambria" w:hAnsi="Times" w:cs="Times"/>
          <w:color w:val="000000"/>
        </w:rPr>
      </w:pPr>
    </w:p>
    <w:p w:rsidR="00B75970" w:rsidRPr="00716D86" w:rsidRDefault="00B75970" w:rsidP="00B75970">
      <w:pPr>
        <w:ind w:left="1134" w:hanging="1134"/>
        <w:rPr>
          <w:rFonts w:ascii="Florencesans Exp" w:eastAsia="Cambria" w:hAnsi="Florencesans Exp" w:cs="Times New Roman"/>
        </w:rPr>
      </w:pPr>
      <w:r w:rsidRPr="00716D86">
        <w:rPr>
          <w:rFonts w:ascii="Florencesans Exp" w:eastAsia="Cambria" w:hAnsi="Florencesans Exp" w:cs="Times New Roman"/>
        </w:rPr>
        <w:t xml:space="preserve">4. B. 3. </w:t>
      </w:r>
      <w:r w:rsidRPr="00533890">
        <w:rPr>
          <w:rFonts w:ascii="Florencesans Exp" w:eastAsia="Cambria" w:hAnsi="Florencesans Exp" w:cs="Times New Roman"/>
        </w:rPr>
        <w:t>LES ACCIDENTS DU TRAVAIL ET LES MALADIES PROFESSIONNELLES</w:t>
      </w:r>
    </w:p>
    <w:p w:rsidR="00B75970" w:rsidRDefault="00B75970" w:rsidP="00B75970">
      <w:pPr>
        <w:jc w:val="center"/>
        <w:rPr>
          <w:rFonts w:ascii="Arial" w:eastAsia="Times New Roman" w:hAnsi="Arial" w:cs="Arial"/>
          <w:b/>
          <w:bCs/>
          <w:lang w:eastAsia="fr-FR"/>
        </w:rPr>
      </w:pPr>
    </w:p>
    <w:p w:rsidR="00B75970" w:rsidRPr="003207A4" w:rsidRDefault="00B75970" w:rsidP="00B75970">
      <w:pPr>
        <w:jc w:val="center"/>
        <w:rPr>
          <w:rFonts w:ascii="Arial" w:eastAsia="Times New Roman" w:hAnsi="Arial" w:cs="Arial"/>
          <w:sz w:val="22"/>
          <w:szCs w:val="22"/>
          <w:lang w:eastAsia="fr-FR"/>
        </w:rPr>
      </w:pPr>
      <w:r w:rsidRPr="003207A4">
        <w:rPr>
          <w:rFonts w:ascii="Arial" w:eastAsia="Times New Roman" w:hAnsi="Arial" w:cs="Arial"/>
          <w:b/>
          <w:bCs/>
          <w:sz w:val="22"/>
          <w:szCs w:val="22"/>
          <w:lang w:eastAsia="fr-FR"/>
        </w:rPr>
        <w:t xml:space="preserve">Données relatives aux accidents du travail et maladies professionnelles </w:t>
      </w:r>
      <w:r w:rsidRPr="003207A4">
        <w:rPr>
          <w:rFonts w:ascii="Arial" w:eastAsia="Times New Roman" w:hAnsi="Arial" w:cs="Arial"/>
          <w:b/>
          <w:bCs/>
          <w:sz w:val="22"/>
          <w:szCs w:val="22"/>
          <w:lang w:eastAsia="fr-FR"/>
        </w:rPr>
        <w:br/>
        <w:t>dans les services du ministère de la culture et de la communication en 2013</w:t>
      </w:r>
    </w:p>
    <w:p w:rsidR="00B75970" w:rsidRPr="003207A4" w:rsidRDefault="00B75970" w:rsidP="00B75970">
      <w:pPr>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sz w:val="22"/>
          <w:szCs w:val="22"/>
          <w:lang w:eastAsia="fr-FR"/>
        </w:rPr>
        <w:t>La restitution de l'enquête annuelle sur les accidents du travail et les maladies professionnelles présente pour la troisième année sous cette forme les résultats recueillis. Ces résultats donnent une image globale de l'accidentologie sur l'ensemble du périmètre ministériel qui couvre l'ensemble du territoire national.</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sz w:val="22"/>
          <w:szCs w:val="22"/>
          <w:lang w:eastAsia="fr-FR"/>
        </w:rPr>
        <w:t xml:space="preserve">Pour le CHSCTM, cette enquête a notamment vocation à alimenter la réflexion sur l'élaboration du plan annuel de prévention. </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sz w:val="22"/>
          <w:szCs w:val="22"/>
          <w:lang w:eastAsia="fr-FR"/>
        </w:rPr>
        <w:t>Si cette enquête se fonde sur des déclarations qui renseignent sur les caractéristiques de chaque accident ou maladie recensés, elle ne peut et ne doit pas être confondue avec les enquêtes de chaque CHSCT local qui analysent le détail des causes de chaque accident pour déterminer la mise en œuvre de mesures rapides, directes et concrètes de prévention au sein de chaque structure.</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 xml:space="preserve">L’enquête menée en 2014 sur l'année 2013 s'inscrit dans une approche méthodologique concertée sur un périmètre complet avec, pour la deuxième année consécutive, un taux de 100 % de réponses de la part des structures interrogées. Pour mémoire, la refonte de cette enquête, présentée sous cette forme pour la troisième fois cette année, </w:t>
      </w:r>
      <w:r w:rsidRPr="003207A4">
        <w:rPr>
          <w:rFonts w:ascii="Arial" w:eastAsia="Times New Roman" w:hAnsi="Arial" w:cs="Arial"/>
          <w:sz w:val="22"/>
          <w:szCs w:val="22"/>
          <w:lang w:eastAsia="fr-FR"/>
        </w:rPr>
        <w:t>s'inscrit dans un contexte de fin de l’enquête interministérielle menée par la DGAFP jusqu'en 2008 et dans le cadre de la préfiguration de l'office national de la paie (ONP). Ces facteurs conditionnent la trame de recensement des accidents et maladies en prenant également en compte les préconisations du rapport de Xavier Roy restitué en CHSCTM en 2010 sur « le suivi des accidents du travail et maladies professionnelles dans les services du ministère de la culture et de la communication ».</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sz w:val="22"/>
          <w:szCs w:val="22"/>
          <w:lang w:eastAsia="fr-FR"/>
        </w:rPr>
        <w:t xml:space="preserve">L’enquête a été lancée au printemps 2014. Elle porte sur les accidents du travail ayant fait l'objet d'une déclaration et reconnus comme tels entre le 1er janvier et le 31 décembre 2013. </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sz w:val="22"/>
          <w:szCs w:val="22"/>
          <w:lang w:eastAsia="fr-FR"/>
        </w:rPr>
        <w:t>Les très nombreuses relances et demandes de précisions ont permis de recueillir des données qui couvrent les services centraux, déconcentrés et les établissements publics administratifs. Cette enquête reste fondée sur des données déclaratives. Certaines lacunes dans les données portant sur les effectifs ont pu être complétées grâce au concours du bureau de l'emploi et de la rémunération.</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sz w:val="22"/>
          <w:szCs w:val="22"/>
          <w:lang w:eastAsia="fr-FR"/>
        </w:rPr>
        <w:t xml:space="preserve">Certaines notions, axes d'analyse, méthodes de calcul et données recensés permettent désormais de capitaliser des résultats sur trois ans. Ils n'en méritent pas moins d'être rappelés : </w:t>
      </w:r>
    </w:p>
    <w:p w:rsidR="00B75970" w:rsidRPr="003207A4" w:rsidRDefault="00B75970" w:rsidP="00B75970">
      <w:pPr>
        <w:widowControl w:val="0"/>
        <w:autoSpaceDE w:val="0"/>
        <w:autoSpaceDN w:val="0"/>
        <w:adjustRightInd w:val="0"/>
        <w:rPr>
          <w:rFonts w:ascii="Arial" w:eastAsia="Cambria" w:hAnsi="Arial" w:cs="Arial"/>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u w:val="single"/>
        </w:rPr>
      </w:pPr>
      <w:r w:rsidRPr="003207A4">
        <w:rPr>
          <w:rFonts w:ascii="Arial" w:eastAsia="Cambria" w:hAnsi="Arial" w:cs="Times"/>
          <w:b/>
          <w:bCs/>
          <w:color w:val="800040"/>
          <w:sz w:val="22"/>
          <w:szCs w:val="22"/>
          <w:u w:val="single"/>
        </w:rPr>
        <w:t xml:space="preserve">Typologie des accidents </w:t>
      </w: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Les accidents de services sont distingués des accidents de trajets. Les maladies professionnelles sont recensées à part.</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Les </w:t>
      </w:r>
      <w:r w:rsidRPr="003207A4">
        <w:rPr>
          <w:rFonts w:ascii="Arial" w:eastAsia="Cambria" w:hAnsi="Arial" w:cs="Times"/>
          <w:color w:val="000000"/>
          <w:sz w:val="22"/>
          <w:szCs w:val="22"/>
          <w:u w:val="single" w:color="000000"/>
        </w:rPr>
        <w:t>accidents de service</w:t>
      </w:r>
      <w:r w:rsidRPr="003207A4">
        <w:rPr>
          <w:rFonts w:ascii="Arial" w:eastAsia="Cambria" w:hAnsi="Arial" w:cs="Times"/>
          <w:color w:val="000000"/>
          <w:sz w:val="22"/>
          <w:szCs w:val="22"/>
          <w:u w:color="000000"/>
        </w:rPr>
        <w:t xml:space="preserve"> sont les accidents dont sont victimes les agents titulaires ou non titulaires pendant le temps et sur le lieu de travail. Les </w:t>
      </w:r>
      <w:r w:rsidRPr="003207A4">
        <w:rPr>
          <w:rFonts w:ascii="Arial" w:eastAsia="Cambria" w:hAnsi="Arial" w:cs="Times"/>
          <w:color w:val="000000"/>
          <w:sz w:val="22"/>
          <w:szCs w:val="22"/>
          <w:u w:val="single" w:color="000000"/>
        </w:rPr>
        <w:t>accidents de mission</w:t>
      </w:r>
      <w:r w:rsidRPr="003207A4">
        <w:rPr>
          <w:rFonts w:ascii="Arial" w:eastAsia="Cambria" w:hAnsi="Arial" w:cs="Times"/>
          <w:color w:val="000000"/>
          <w:sz w:val="22"/>
          <w:szCs w:val="22"/>
          <w:u w:color="000000"/>
        </w:rPr>
        <w:t xml:space="preserve"> sont considérés comme des accidents de service dans la mesure où ils interviennent dans le cadre des obligations professionnelles de l'agent, quand bien même ce dernier est en déplacement.</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Les </w:t>
      </w:r>
      <w:r w:rsidRPr="003207A4">
        <w:rPr>
          <w:rFonts w:ascii="Arial" w:eastAsia="Cambria" w:hAnsi="Arial" w:cs="Times"/>
          <w:color w:val="000000"/>
          <w:sz w:val="22"/>
          <w:szCs w:val="22"/>
          <w:u w:val="single" w:color="000000"/>
        </w:rPr>
        <w:t>accidents de trajets</w:t>
      </w:r>
      <w:r w:rsidRPr="003207A4">
        <w:rPr>
          <w:rFonts w:ascii="Arial" w:eastAsia="Cambria" w:hAnsi="Arial" w:cs="Times"/>
          <w:color w:val="000000"/>
          <w:sz w:val="22"/>
          <w:szCs w:val="22"/>
          <w:u w:color="000000"/>
        </w:rPr>
        <w:t xml:space="preserve"> font l'objet d'un recensement spécifique, ils surviennent lors d'un parcours entre le lieu de travail et le domicile ou le lieu de restauration de l'agent aux heures normales.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ab/>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Les </w:t>
      </w:r>
      <w:r w:rsidRPr="003207A4">
        <w:rPr>
          <w:rFonts w:ascii="Arial" w:eastAsia="Cambria" w:hAnsi="Arial" w:cs="Times"/>
          <w:color w:val="000000"/>
          <w:sz w:val="22"/>
          <w:szCs w:val="22"/>
          <w:u w:val="single" w:color="000000"/>
        </w:rPr>
        <w:t>maladies professionnelles</w:t>
      </w:r>
      <w:r w:rsidRPr="003207A4">
        <w:rPr>
          <w:rFonts w:ascii="Arial" w:eastAsia="Cambria" w:hAnsi="Arial" w:cs="Times"/>
          <w:color w:val="000000"/>
          <w:sz w:val="22"/>
          <w:szCs w:val="22"/>
          <w:u w:color="000000"/>
        </w:rPr>
        <w:t xml:space="preserve"> sont distinguées des deux cas précédents. Il s'agit de maladies contractées par les agents au cours de leur activité professionnelle et qui sont reconnues comme telles par la commission de réforme. Ces maladies figurent sur l'un des tableaux de maladies professionnelles prévus par le code de la sécurité sociale. Elles sont recensées au titre de leur année de reconnaissance.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u w:val="single"/>
        </w:rPr>
      </w:pPr>
      <w:r w:rsidRPr="003207A4">
        <w:rPr>
          <w:rFonts w:ascii="Arial" w:eastAsia="Cambria" w:hAnsi="Arial" w:cs="Times"/>
          <w:b/>
          <w:bCs/>
          <w:color w:val="800040"/>
          <w:sz w:val="22"/>
          <w:szCs w:val="22"/>
          <w:u w:val="single"/>
        </w:rPr>
        <w:lastRenderedPageBreak/>
        <w:t xml:space="preserve">Catégories de personnels </w:t>
      </w: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u w:val="single"/>
        </w:rPr>
      </w:pPr>
    </w:p>
    <w:p w:rsidR="00B75970" w:rsidRPr="003207A4" w:rsidRDefault="00B75970" w:rsidP="00B75970">
      <w:pPr>
        <w:widowControl w:val="0"/>
        <w:autoSpaceDE w:val="0"/>
        <w:autoSpaceDN w:val="0"/>
        <w:adjustRightInd w:val="0"/>
        <w:jc w:val="both"/>
        <w:rPr>
          <w:rFonts w:ascii="Arial" w:eastAsia="Cambria" w:hAnsi="Arial" w:cs="Times"/>
          <w:sz w:val="22"/>
          <w:szCs w:val="22"/>
          <w:u w:color="000000"/>
        </w:rPr>
      </w:pPr>
      <w:r w:rsidRPr="003207A4">
        <w:rPr>
          <w:rFonts w:ascii="Arial" w:eastAsia="Cambria" w:hAnsi="Arial" w:cs="Times"/>
          <w:bCs/>
          <w:sz w:val="22"/>
          <w:szCs w:val="22"/>
        </w:rPr>
        <w:t>Les catégories de personnels</w:t>
      </w:r>
      <w:r w:rsidRPr="003207A4">
        <w:rPr>
          <w:rFonts w:ascii="Arial" w:eastAsia="Cambria" w:hAnsi="Arial" w:cs="Times"/>
          <w:sz w:val="22"/>
          <w:szCs w:val="22"/>
          <w:u w:color="000000"/>
        </w:rPr>
        <w:t xml:space="preserve"> recensés comprennent :</w:t>
      </w:r>
    </w:p>
    <w:p w:rsidR="00B75970" w:rsidRPr="003207A4" w:rsidRDefault="00B75970" w:rsidP="00B75970">
      <w:pPr>
        <w:widowControl w:val="0"/>
        <w:autoSpaceDE w:val="0"/>
        <w:autoSpaceDN w:val="0"/>
        <w:adjustRightInd w:val="0"/>
        <w:jc w:val="both"/>
        <w:rPr>
          <w:rFonts w:ascii="Arial" w:eastAsia="Cambria" w:hAnsi="Arial" w:cs="Times"/>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 Les personnels de </w:t>
      </w:r>
      <w:r w:rsidRPr="003207A4">
        <w:rPr>
          <w:rFonts w:ascii="Arial" w:eastAsia="Cambria" w:hAnsi="Arial" w:cs="Times"/>
          <w:color w:val="000000"/>
          <w:sz w:val="22"/>
          <w:szCs w:val="22"/>
          <w:u w:val="single" w:color="000000"/>
        </w:rPr>
        <w:t>bureau</w:t>
      </w:r>
      <w:r w:rsidRPr="003207A4">
        <w:rPr>
          <w:rFonts w:ascii="Arial" w:eastAsia="Cambria" w:hAnsi="Arial" w:cs="Times"/>
          <w:color w:val="000000"/>
          <w:sz w:val="22"/>
          <w:szCs w:val="22"/>
          <w:u w:color="000000"/>
        </w:rPr>
        <w:t>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 Les personnels </w:t>
      </w:r>
      <w:r w:rsidRPr="003207A4">
        <w:rPr>
          <w:rFonts w:ascii="Arial" w:eastAsia="Cambria" w:hAnsi="Arial" w:cs="Times"/>
          <w:color w:val="000000"/>
          <w:sz w:val="22"/>
          <w:szCs w:val="22"/>
          <w:u w:val="single" w:color="000000"/>
        </w:rPr>
        <w:t>enseignants</w:t>
      </w:r>
      <w:r w:rsidRPr="003207A4">
        <w:rPr>
          <w:rFonts w:ascii="Arial" w:eastAsia="Cambria" w:hAnsi="Arial" w:cs="Times"/>
          <w:color w:val="000000"/>
          <w:sz w:val="22"/>
          <w:szCs w:val="22"/>
          <w:u w:color="000000"/>
        </w:rPr>
        <w:t>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 Les personnels </w:t>
      </w:r>
      <w:r w:rsidRPr="003207A4">
        <w:rPr>
          <w:rFonts w:ascii="Arial" w:eastAsia="Cambria" w:hAnsi="Arial" w:cs="Times"/>
          <w:color w:val="000000"/>
          <w:sz w:val="22"/>
          <w:szCs w:val="22"/>
          <w:u w:val="single" w:color="000000"/>
        </w:rPr>
        <w:t>d'atelier terrain laboratoire </w:t>
      </w:r>
      <w:r w:rsidRPr="003207A4">
        <w:rPr>
          <w:rFonts w:ascii="Arial" w:eastAsia="Cambria" w:hAnsi="Arial" w:cs="Times"/>
          <w:color w:val="000000"/>
          <w:sz w:val="22"/>
          <w:szCs w:val="22"/>
          <w:u w:color="000000"/>
        </w:rPr>
        <w:t>;</w:t>
      </w:r>
    </w:p>
    <w:p w:rsidR="00B75970" w:rsidRPr="003207A4" w:rsidRDefault="00B75970" w:rsidP="007E1F51">
      <w:pPr>
        <w:widowControl w:val="0"/>
        <w:autoSpaceDE w:val="0"/>
        <w:autoSpaceDN w:val="0"/>
        <w:adjustRightInd w:val="0"/>
        <w:ind w:left="142" w:hanging="142"/>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La catégorie « </w:t>
      </w:r>
      <w:r w:rsidRPr="003207A4">
        <w:rPr>
          <w:rFonts w:ascii="Arial" w:eastAsia="Cambria" w:hAnsi="Arial" w:cs="Times"/>
          <w:color w:val="000000"/>
          <w:sz w:val="22"/>
          <w:szCs w:val="22"/>
          <w:u w:val="single" w:color="000000"/>
        </w:rPr>
        <w:t>autres »</w:t>
      </w:r>
      <w:r w:rsidRPr="003207A4">
        <w:rPr>
          <w:rFonts w:ascii="Arial" w:eastAsia="Cambria" w:hAnsi="Arial" w:cs="Times"/>
          <w:color w:val="000000"/>
          <w:sz w:val="22"/>
          <w:szCs w:val="22"/>
          <w:u w:color="000000"/>
        </w:rPr>
        <w:t xml:space="preserve"> reste signifiante pour le ministère de la culture et de la communication car elle comprend les personnels de la filière accueil surveillance et magasinage.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u w:val="single"/>
        </w:rPr>
      </w:pPr>
      <w:r w:rsidRPr="003207A4">
        <w:rPr>
          <w:rFonts w:ascii="Arial" w:eastAsia="Cambria" w:hAnsi="Arial" w:cs="Times"/>
          <w:b/>
          <w:bCs/>
          <w:color w:val="800040"/>
          <w:sz w:val="22"/>
          <w:szCs w:val="22"/>
          <w:u w:val="single"/>
        </w:rPr>
        <w:t>Formules de calcul de certains indicateurs</w:t>
      </w:r>
    </w:p>
    <w:p w:rsidR="00B75970" w:rsidRPr="003207A4" w:rsidRDefault="00B75970" w:rsidP="007E1F51">
      <w:pPr>
        <w:widowControl w:val="0"/>
        <w:autoSpaceDE w:val="0"/>
        <w:autoSpaceDN w:val="0"/>
        <w:adjustRightInd w:val="0"/>
        <w:spacing w:before="240"/>
        <w:jc w:val="both"/>
        <w:rPr>
          <w:rFonts w:ascii="Arial" w:eastAsia="Cambria" w:hAnsi="Arial" w:cs="Times"/>
          <w:bCs/>
          <w:sz w:val="22"/>
          <w:szCs w:val="22"/>
        </w:rPr>
      </w:pPr>
      <w:r w:rsidRPr="003207A4">
        <w:rPr>
          <w:rFonts w:ascii="Arial" w:eastAsia="Cambria" w:hAnsi="Arial" w:cs="Times"/>
          <w:bCs/>
          <w:sz w:val="22"/>
          <w:szCs w:val="22"/>
        </w:rPr>
        <w:t>Ces formules de calcul sont arrêtées par l’INRS : Institut national de recherche et de sécurité pour la prévention des accidents du travail et des maladies professionnelles.</w:t>
      </w:r>
    </w:p>
    <w:p w:rsidR="00B75970" w:rsidRPr="003207A4" w:rsidRDefault="00B75970" w:rsidP="00B75970">
      <w:pPr>
        <w:widowControl w:val="0"/>
        <w:autoSpaceDE w:val="0"/>
        <w:autoSpaceDN w:val="0"/>
        <w:adjustRightInd w:val="0"/>
        <w:jc w:val="both"/>
        <w:rPr>
          <w:rFonts w:ascii="Arial" w:eastAsia="Cambria" w:hAnsi="Arial" w:cs="Times"/>
          <w:b/>
          <w:bCs/>
          <w:color w:val="000000"/>
          <w:sz w:val="22"/>
          <w:szCs w:val="22"/>
          <w:u w:val="single" w:color="000000"/>
        </w:rPr>
      </w:pPr>
    </w:p>
    <w:p w:rsidR="00B75970" w:rsidRPr="003207A4" w:rsidRDefault="00B75970" w:rsidP="00B75970">
      <w:pPr>
        <w:widowControl w:val="0"/>
        <w:autoSpaceDE w:val="0"/>
        <w:autoSpaceDN w:val="0"/>
        <w:adjustRightInd w:val="0"/>
        <w:rPr>
          <w:rFonts w:ascii="Arial" w:eastAsia="Cambria" w:hAnsi="Arial" w:cs="Times"/>
          <w:color w:val="000000"/>
          <w:sz w:val="22"/>
          <w:szCs w:val="22"/>
          <w:u w:color="000000"/>
        </w:rPr>
      </w:pPr>
      <w:r w:rsidRPr="003207A4">
        <w:rPr>
          <w:rFonts w:ascii="Arial" w:eastAsia="Cambria" w:hAnsi="Arial" w:cs="Times"/>
          <w:color w:val="000000"/>
          <w:sz w:val="22"/>
          <w:szCs w:val="22"/>
          <w:u w:val="single" w:color="000000"/>
        </w:rPr>
        <w:t>Taux de fréquence</w:t>
      </w:r>
      <w:r w:rsidRPr="003207A4">
        <w:rPr>
          <w:rFonts w:ascii="Arial" w:eastAsia="Cambria" w:hAnsi="Arial" w:cs="Times"/>
          <w:color w:val="000000"/>
          <w:sz w:val="22"/>
          <w:szCs w:val="22"/>
          <w:u w:color="000000"/>
        </w:rPr>
        <w:t xml:space="preserve"> = (Nombre d'accidents avec arrêts / nombre d'heures travaillées) x 1 000 000</w:t>
      </w:r>
    </w:p>
    <w:p w:rsidR="00B75970" w:rsidRPr="003207A4" w:rsidRDefault="00B75970" w:rsidP="00B75970">
      <w:pPr>
        <w:widowControl w:val="0"/>
        <w:autoSpaceDE w:val="0"/>
        <w:autoSpaceDN w:val="0"/>
        <w:adjustRightInd w:val="0"/>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rPr>
          <w:rFonts w:ascii="Arial" w:eastAsia="Cambria" w:hAnsi="Arial" w:cs="Times"/>
          <w:color w:val="000000"/>
          <w:sz w:val="22"/>
          <w:szCs w:val="22"/>
          <w:u w:color="000000"/>
        </w:rPr>
      </w:pPr>
      <w:r w:rsidRPr="003207A4">
        <w:rPr>
          <w:rFonts w:ascii="Arial" w:eastAsia="Cambria" w:hAnsi="Arial" w:cs="Times"/>
          <w:color w:val="000000"/>
          <w:sz w:val="22"/>
          <w:szCs w:val="22"/>
          <w:u w:val="single" w:color="000000"/>
        </w:rPr>
        <w:t>Indice de fréquence</w:t>
      </w:r>
      <w:r w:rsidRPr="003207A4">
        <w:rPr>
          <w:rFonts w:ascii="Arial" w:eastAsia="Cambria" w:hAnsi="Arial" w:cs="Times"/>
          <w:color w:val="000000"/>
          <w:sz w:val="22"/>
          <w:szCs w:val="22"/>
          <w:u w:color="000000"/>
        </w:rPr>
        <w:t xml:space="preserve"> = (Nombre d'accidents avec arrêts/effectif salarié) x 1 000</w:t>
      </w:r>
    </w:p>
    <w:p w:rsidR="00B75970" w:rsidRPr="003207A4" w:rsidRDefault="00B75970" w:rsidP="00B75970">
      <w:pPr>
        <w:widowControl w:val="0"/>
        <w:autoSpaceDE w:val="0"/>
        <w:autoSpaceDN w:val="0"/>
        <w:adjustRightInd w:val="0"/>
        <w:rPr>
          <w:rFonts w:ascii="Arial" w:eastAsia="Cambria" w:hAnsi="Arial" w:cs="Times"/>
          <w:color w:val="000000"/>
          <w:sz w:val="22"/>
          <w:szCs w:val="22"/>
          <w:u w:color="000000"/>
        </w:rPr>
      </w:pPr>
    </w:p>
    <w:p w:rsidR="00B75970" w:rsidRPr="003207A4" w:rsidRDefault="00B75970" w:rsidP="007E1F51">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val="single" w:color="000000"/>
        </w:rPr>
        <w:t>Taux de gravité</w:t>
      </w:r>
      <w:r w:rsidRPr="003207A4">
        <w:rPr>
          <w:rFonts w:ascii="Arial" w:eastAsia="Cambria" w:hAnsi="Arial" w:cs="Times"/>
          <w:color w:val="000000"/>
          <w:sz w:val="22"/>
          <w:szCs w:val="22"/>
          <w:u w:color="000000"/>
        </w:rPr>
        <w:t xml:space="preserve"> = (Nombre de journées perdues par incapacité temporaire / nombre d'heures travaillées) x 1 000</w:t>
      </w:r>
    </w:p>
    <w:p w:rsidR="00B75970" w:rsidRPr="003207A4" w:rsidRDefault="00B75970" w:rsidP="007E1F51">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7E1F51">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val="single" w:color="000000"/>
        </w:rPr>
        <w:t>Indice de gravité</w:t>
      </w:r>
      <w:r w:rsidRPr="003207A4">
        <w:rPr>
          <w:rFonts w:ascii="Arial" w:eastAsia="Cambria" w:hAnsi="Arial" w:cs="Times"/>
          <w:color w:val="000000"/>
          <w:sz w:val="22"/>
          <w:szCs w:val="22"/>
          <w:u w:color="000000"/>
        </w:rPr>
        <w:t xml:space="preserve"> = (sommes des taux d'incapacité permanente </w:t>
      </w:r>
      <w:r w:rsidR="007E1F51">
        <w:rPr>
          <w:rFonts w:ascii="Arial" w:eastAsia="Cambria" w:hAnsi="Arial" w:cs="Times"/>
          <w:color w:val="000000"/>
          <w:sz w:val="22"/>
          <w:szCs w:val="22"/>
          <w:u w:color="000000"/>
        </w:rPr>
        <w:t>/ nombre d'heures travaillées)</w:t>
      </w:r>
      <w:r w:rsidRPr="003207A4">
        <w:rPr>
          <w:rFonts w:ascii="Arial" w:eastAsia="Cambria" w:hAnsi="Arial" w:cs="Times"/>
          <w:color w:val="000000"/>
          <w:sz w:val="22"/>
          <w:szCs w:val="22"/>
          <w:u w:color="000000"/>
        </w:rPr>
        <w:t xml:space="preserve"> </w:t>
      </w:r>
      <w:r w:rsidR="007E1F51">
        <w:rPr>
          <w:rFonts w:ascii="Arial" w:eastAsia="Cambria" w:hAnsi="Arial" w:cs="Times"/>
          <w:color w:val="000000"/>
          <w:sz w:val="22"/>
          <w:szCs w:val="22"/>
          <w:u w:color="000000"/>
        </w:rPr>
        <w:br/>
      </w:r>
      <w:r w:rsidRPr="003207A4">
        <w:rPr>
          <w:rFonts w:ascii="Arial" w:eastAsia="Cambria" w:hAnsi="Arial" w:cs="Times"/>
          <w:color w:val="000000"/>
          <w:sz w:val="22"/>
          <w:szCs w:val="22"/>
          <w:u w:color="000000"/>
        </w:rPr>
        <w:t>x 1 000 000</w:t>
      </w:r>
    </w:p>
    <w:p w:rsidR="00B75970" w:rsidRPr="003207A4" w:rsidRDefault="00B75970" w:rsidP="007E1F51">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7E1F51">
      <w:pPr>
        <w:widowControl w:val="0"/>
        <w:autoSpaceDE w:val="0"/>
        <w:autoSpaceDN w:val="0"/>
        <w:adjustRightInd w:val="0"/>
        <w:jc w:val="both"/>
        <w:rPr>
          <w:rFonts w:ascii="Arial" w:eastAsia="Cambria" w:hAnsi="Arial" w:cs="Times"/>
          <w:iCs/>
          <w:color w:val="000000"/>
          <w:sz w:val="22"/>
          <w:szCs w:val="22"/>
          <w:u w:color="000000"/>
        </w:rPr>
      </w:pPr>
      <w:r w:rsidRPr="003207A4">
        <w:rPr>
          <w:rFonts w:ascii="Arial" w:eastAsia="Cambria" w:hAnsi="Arial" w:cs="Times"/>
          <w:iCs/>
          <w:color w:val="000000"/>
          <w:sz w:val="22"/>
          <w:szCs w:val="22"/>
          <w:u w:val="single" w:color="000000"/>
        </w:rPr>
        <w:t>Nombre d'heures</w:t>
      </w:r>
      <w:r w:rsidRPr="003207A4">
        <w:rPr>
          <w:rFonts w:ascii="Arial" w:eastAsia="Cambria" w:hAnsi="Arial" w:cs="Times"/>
          <w:iCs/>
          <w:color w:val="000000"/>
          <w:sz w:val="22"/>
          <w:szCs w:val="22"/>
          <w:u w:color="000000"/>
        </w:rPr>
        <w:t xml:space="preserve"> = 1600 heures par agent à temps plein</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pStyle w:val="NormalWeb"/>
        <w:spacing w:before="0" w:beforeAutospacing="0" w:after="0"/>
        <w:jc w:val="both"/>
        <w:rPr>
          <w:rFonts w:ascii="Arial" w:hAnsi="Arial" w:cs="Arial"/>
          <w:sz w:val="22"/>
          <w:szCs w:val="22"/>
        </w:rPr>
      </w:pPr>
      <w:r w:rsidRPr="003207A4">
        <w:rPr>
          <w:rFonts w:ascii="Arial" w:hAnsi="Arial" w:cs="Arial"/>
          <w:sz w:val="22"/>
          <w:szCs w:val="22"/>
        </w:rPr>
        <w:t>Cette enquête n'a pas l'ambition et surtout pas les moyens de</w:t>
      </w:r>
      <w:r w:rsidR="007E1F51">
        <w:rPr>
          <w:rFonts w:ascii="Arial" w:hAnsi="Arial" w:cs="Arial"/>
          <w:sz w:val="22"/>
          <w:szCs w:val="22"/>
        </w:rPr>
        <w:t xml:space="preserve"> couvrir l'ensemble du champ d'</w:t>
      </w:r>
      <w:r w:rsidRPr="003207A4">
        <w:rPr>
          <w:rFonts w:ascii="Arial" w:hAnsi="Arial" w:cs="Arial"/>
          <w:sz w:val="22"/>
          <w:szCs w:val="22"/>
        </w:rPr>
        <w:t>analyse possible.</w:t>
      </w:r>
      <w:r w:rsidR="007E1F51">
        <w:rPr>
          <w:rFonts w:ascii="Arial" w:hAnsi="Arial" w:cs="Arial"/>
          <w:sz w:val="22"/>
          <w:szCs w:val="22"/>
        </w:rPr>
        <w:t xml:space="preserve"> </w:t>
      </w:r>
      <w:r w:rsidRPr="003207A4">
        <w:rPr>
          <w:rFonts w:ascii="Arial" w:hAnsi="Arial" w:cs="Arial"/>
          <w:sz w:val="22"/>
          <w:szCs w:val="22"/>
        </w:rPr>
        <w:t>Elle souligne les principaux phénomènes et peut commencer à esquisser avec prudence des tendances et évolutions à partir des résultats recueillis en 2012 sur les accidents et maladies professionnelles survenus en 2013.</w:t>
      </w:r>
    </w:p>
    <w:p w:rsidR="00B75970" w:rsidRPr="003207A4" w:rsidRDefault="00B75970" w:rsidP="00B75970">
      <w:pPr>
        <w:pStyle w:val="NormalWeb"/>
        <w:spacing w:before="0" w:beforeAutospacing="0" w:after="0"/>
        <w:jc w:val="both"/>
        <w:rPr>
          <w:rFonts w:ascii="Arial" w:hAnsi="Arial" w:cs="Arial"/>
          <w:sz w:val="22"/>
          <w:szCs w:val="22"/>
        </w:rPr>
      </w:pPr>
    </w:p>
    <w:p w:rsidR="00B75970" w:rsidRPr="003207A4" w:rsidRDefault="00B75970" w:rsidP="00B75970">
      <w:pPr>
        <w:pStyle w:val="NormalWeb"/>
        <w:spacing w:before="0" w:beforeAutospacing="0" w:after="0"/>
        <w:jc w:val="both"/>
        <w:rPr>
          <w:rFonts w:ascii="Arial" w:hAnsi="Arial" w:cs="Arial"/>
          <w:sz w:val="22"/>
          <w:szCs w:val="22"/>
        </w:rPr>
      </w:pPr>
      <w:r w:rsidRPr="003207A4">
        <w:rPr>
          <w:rFonts w:ascii="Arial" w:hAnsi="Arial" w:cs="Arial"/>
          <w:sz w:val="22"/>
          <w:szCs w:val="22"/>
        </w:rPr>
        <w:t xml:space="preserve">Les trois premiers tableaux restituent : </w:t>
      </w:r>
    </w:p>
    <w:p w:rsidR="00B75970" w:rsidRPr="003207A4" w:rsidRDefault="00B75970" w:rsidP="0034289D">
      <w:pPr>
        <w:pStyle w:val="NormalWeb"/>
        <w:numPr>
          <w:ilvl w:val="0"/>
          <w:numId w:val="11"/>
        </w:numPr>
        <w:spacing w:before="0" w:beforeAutospacing="0" w:after="0"/>
        <w:jc w:val="both"/>
        <w:rPr>
          <w:rFonts w:ascii="Arial" w:hAnsi="Arial" w:cs="Arial"/>
          <w:sz w:val="22"/>
          <w:szCs w:val="22"/>
        </w:rPr>
      </w:pPr>
      <w:r w:rsidRPr="003207A4">
        <w:rPr>
          <w:rFonts w:ascii="Arial" w:hAnsi="Arial" w:cs="Arial"/>
          <w:sz w:val="22"/>
          <w:szCs w:val="22"/>
        </w:rPr>
        <w:t>les effectifs couverts,</w:t>
      </w:r>
    </w:p>
    <w:p w:rsidR="00B75970" w:rsidRPr="003207A4" w:rsidRDefault="00B75970" w:rsidP="0034289D">
      <w:pPr>
        <w:pStyle w:val="NormalWeb"/>
        <w:numPr>
          <w:ilvl w:val="0"/>
          <w:numId w:val="11"/>
        </w:numPr>
        <w:spacing w:before="0" w:beforeAutospacing="0" w:after="0"/>
        <w:jc w:val="both"/>
        <w:rPr>
          <w:rFonts w:ascii="Arial" w:hAnsi="Arial" w:cs="Arial"/>
          <w:sz w:val="22"/>
          <w:szCs w:val="22"/>
        </w:rPr>
      </w:pPr>
      <w:r w:rsidRPr="003207A4">
        <w:rPr>
          <w:rFonts w:ascii="Arial" w:hAnsi="Arial" w:cs="Arial"/>
          <w:sz w:val="22"/>
          <w:szCs w:val="22"/>
        </w:rPr>
        <w:t xml:space="preserve">le nombre d'accidents par filière et par </w:t>
      </w:r>
      <w:r w:rsidR="009A1A03">
        <w:rPr>
          <w:rFonts w:ascii="Arial" w:hAnsi="Arial" w:cs="Arial"/>
          <w:sz w:val="22"/>
          <w:szCs w:val="22"/>
        </w:rPr>
        <w:t>genre</w:t>
      </w:r>
      <w:r w:rsidRPr="003207A4">
        <w:rPr>
          <w:rFonts w:ascii="Arial" w:hAnsi="Arial" w:cs="Arial"/>
          <w:sz w:val="22"/>
          <w:szCs w:val="22"/>
        </w:rPr>
        <w:t xml:space="preserve"> des victimes,</w:t>
      </w:r>
    </w:p>
    <w:p w:rsidR="00B75970" w:rsidRPr="003207A4" w:rsidRDefault="00B75970" w:rsidP="0034289D">
      <w:pPr>
        <w:pStyle w:val="NormalWeb"/>
        <w:numPr>
          <w:ilvl w:val="0"/>
          <w:numId w:val="12"/>
        </w:numPr>
        <w:spacing w:before="0" w:beforeAutospacing="0" w:after="0"/>
        <w:jc w:val="both"/>
        <w:rPr>
          <w:rFonts w:ascii="Arial" w:hAnsi="Arial" w:cs="Arial"/>
          <w:sz w:val="22"/>
          <w:szCs w:val="22"/>
        </w:rPr>
      </w:pPr>
      <w:r w:rsidRPr="003207A4">
        <w:rPr>
          <w:rFonts w:ascii="Arial" w:hAnsi="Arial" w:cs="Arial"/>
          <w:sz w:val="22"/>
          <w:szCs w:val="22"/>
        </w:rPr>
        <w:t>le nombre d'accidents par filière et par catégorie.</w:t>
      </w:r>
    </w:p>
    <w:p w:rsidR="00B75970" w:rsidRPr="003207A4" w:rsidRDefault="00B75970" w:rsidP="00B75970">
      <w:pPr>
        <w:pStyle w:val="NormalWeb"/>
        <w:spacing w:before="0" w:beforeAutospacing="0" w:after="0"/>
        <w:jc w:val="both"/>
        <w:rPr>
          <w:rFonts w:ascii="Arial" w:hAnsi="Arial" w:cs="Arial"/>
          <w:sz w:val="22"/>
          <w:szCs w:val="22"/>
        </w:rPr>
      </w:pPr>
    </w:p>
    <w:p w:rsidR="00B75970" w:rsidRPr="003207A4" w:rsidRDefault="00B75970" w:rsidP="00B75970">
      <w:pPr>
        <w:pStyle w:val="NormalWeb"/>
        <w:spacing w:before="0" w:beforeAutospacing="0" w:after="0"/>
        <w:jc w:val="both"/>
        <w:rPr>
          <w:rFonts w:ascii="Arial" w:hAnsi="Arial" w:cs="Arial"/>
          <w:sz w:val="22"/>
          <w:szCs w:val="22"/>
        </w:rPr>
      </w:pPr>
      <w:r w:rsidRPr="003207A4">
        <w:rPr>
          <w:rFonts w:ascii="Arial" w:hAnsi="Arial" w:cs="Arial"/>
          <w:sz w:val="22"/>
          <w:szCs w:val="22"/>
        </w:rPr>
        <w:t>Chacun d'eux restitue ces données par groupes de services présentés sous une typologie à la fois juridique (administrations centrales, services déconcentrés, SCN et EP) et fonctionnelle pour les EP (groupes musées, groupe enseignement et autres).</w:t>
      </w:r>
      <w:r w:rsidR="007E1F51">
        <w:rPr>
          <w:rFonts w:ascii="Arial" w:hAnsi="Arial" w:cs="Arial"/>
          <w:sz w:val="22"/>
          <w:szCs w:val="22"/>
        </w:rPr>
        <w:t xml:space="preserve"> </w:t>
      </w:r>
      <w:r w:rsidRPr="003207A4">
        <w:rPr>
          <w:rFonts w:ascii="Arial" w:hAnsi="Arial" w:cs="Arial"/>
          <w:sz w:val="22"/>
          <w:szCs w:val="22"/>
        </w:rPr>
        <w:t>Ce classement permet de réunir, pour mieux visualiser les données qui les concernent, des structures qui peuvent avoir en partage une activité.</w:t>
      </w:r>
    </w:p>
    <w:p w:rsidR="00B75970" w:rsidRPr="003207A4" w:rsidRDefault="00B75970" w:rsidP="00B75970">
      <w:pPr>
        <w:pStyle w:val="NormalWeb"/>
        <w:spacing w:before="0" w:beforeAutospacing="0" w:after="0"/>
        <w:jc w:val="both"/>
        <w:rPr>
          <w:rFonts w:ascii="Arial" w:hAnsi="Arial" w:cs="Arial"/>
          <w:sz w:val="22"/>
          <w:szCs w:val="22"/>
        </w:rPr>
      </w:pPr>
    </w:p>
    <w:p w:rsidR="00B75970" w:rsidRPr="003207A4" w:rsidRDefault="00B75970" w:rsidP="00B75970">
      <w:pPr>
        <w:pStyle w:val="NormalWeb"/>
        <w:spacing w:before="0" w:beforeAutospacing="0" w:after="0"/>
        <w:jc w:val="both"/>
        <w:rPr>
          <w:rFonts w:ascii="Arial" w:hAnsi="Arial" w:cs="Arial"/>
          <w:sz w:val="22"/>
          <w:szCs w:val="22"/>
        </w:rPr>
      </w:pPr>
      <w:r w:rsidRPr="003207A4">
        <w:rPr>
          <w:rFonts w:ascii="Arial" w:hAnsi="Arial" w:cs="Arial"/>
          <w:sz w:val="22"/>
          <w:szCs w:val="22"/>
        </w:rPr>
        <w:t xml:space="preserve">Le périmètre de cette enquête est stabilisé pour la deuxième année consécutive. Il couvre </w:t>
      </w:r>
      <w:r w:rsidRPr="003207A4">
        <w:rPr>
          <w:rFonts w:ascii="Arial" w:hAnsi="Arial" w:cs="Arial"/>
          <w:sz w:val="22"/>
          <w:szCs w:val="22"/>
        </w:rPr>
        <w:br/>
        <w:t>112</w:t>
      </w:r>
      <w:r w:rsidRPr="003207A4">
        <w:rPr>
          <w:rFonts w:ascii="Arial" w:hAnsi="Arial" w:cs="Arial"/>
          <w:color w:val="FF0000"/>
          <w:sz w:val="22"/>
          <w:szCs w:val="22"/>
        </w:rPr>
        <w:t xml:space="preserve"> </w:t>
      </w:r>
      <w:r w:rsidRPr="003207A4">
        <w:rPr>
          <w:rFonts w:ascii="Arial" w:hAnsi="Arial" w:cs="Arial"/>
          <w:sz w:val="22"/>
          <w:szCs w:val="22"/>
        </w:rPr>
        <w:t>entités et 28 301</w:t>
      </w:r>
      <w:r w:rsidRPr="003207A4">
        <w:rPr>
          <w:rFonts w:ascii="Arial" w:hAnsi="Arial" w:cs="Arial"/>
          <w:b/>
          <w:bCs/>
          <w:color w:val="FF0000"/>
          <w:sz w:val="22"/>
          <w:szCs w:val="22"/>
        </w:rPr>
        <w:t xml:space="preserve"> </w:t>
      </w:r>
      <w:r w:rsidRPr="003207A4">
        <w:rPr>
          <w:rFonts w:ascii="Arial" w:hAnsi="Arial" w:cs="Arial"/>
          <w:sz w:val="22"/>
          <w:szCs w:val="22"/>
        </w:rPr>
        <w:t>personnes physiques.</w:t>
      </w:r>
    </w:p>
    <w:p w:rsidR="00B75970" w:rsidRPr="003207A4" w:rsidRDefault="00B75970" w:rsidP="00B75970">
      <w:pPr>
        <w:widowControl w:val="0"/>
        <w:autoSpaceDE w:val="0"/>
        <w:autoSpaceDN w:val="0"/>
        <w:adjustRightInd w:val="0"/>
        <w:jc w:val="both"/>
        <w:rPr>
          <w:rFonts w:ascii="Arial" w:eastAsia="Cambria" w:hAnsi="Arial" w:cs="Arial"/>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Arial"/>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Arial"/>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Arial"/>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Arial"/>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Arial"/>
          <w:color w:val="000000"/>
          <w:sz w:val="22"/>
          <w:szCs w:val="22"/>
          <w:u w:color="000000"/>
        </w:rPr>
      </w:pPr>
    </w:p>
    <w:p w:rsidR="00B75970" w:rsidRPr="00853D50" w:rsidRDefault="00B75970" w:rsidP="00B75970">
      <w:pPr>
        <w:widowControl w:val="0"/>
        <w:autoSpaceDE w:val="0"/>
        <w:autoSpaceDN w:val="0"/>
        <w:adjustRightInd w:val="0"/>
        <w:jc w:val="both"/>
        <w:rPr>
          <w:rFonts w:ascii="Arial" w:eastAsia="Cambria" w:hAnsi="Arial" w:cs="Arial"/>
          <w:color w:val="000000"/>
          <w:u w:color="000000"/>
        </w:rPr>
      </w:pPr>
    </w:p>
    <w:p w:rsidR="00B75970" w:rsidRPr="00853D50" w:rsidRDefault="00B75970" w:rsidP="00B75970">
      <w:pPr>
        <w:widowControl w:val="0"/>
        <w:autoSpaceDE w:val="0"/>
        <w:autoSpaceDN w:val="0"/>
        <w:adjustRightInd w:val="0"/>
        <w:jc w:val="both"/>
        <w:rPr>
          <w:rFonts w:ascii="Arial" w:eastAsia="Cambria" w:hAnsi="Arial" w:cs="Arial"/>
          <w:color w:val="000000"/>
          <w:u w:color="000000"/>
        </w:rPr>
      </w:pPr>
    </w:p>
    <w:p w:rsidR="00B75970" w:rsidRPr="00853D50" w:rsidRDefault="00B75970" w:rsidP="00B75970">
      <w:pPr>
        <w:widowControl w:val="0"/>
        <w:autoSpaceDE w:val="0"/>
        <w:autoSpaceDN w:val="0"/>
        <w:adjustRightInd w:val="0"/>
        <w:jc w:val="both"/>
        <w:rPr>
          <w:rFonts w:ascii="Arial" w:eastAsia="Cambria" w:hAnsi="Arial" w:cs="Arial"/>
          <w:color w:val="000000"/>
          <w:u w:color="000000"/>
        </w:rPr>
      </w:pPr>
    </w:p>
    <w:p w:rsidR="00B75970" w:rsidRDefault="00B75970" w:rsidP="00B75970">
      <w:pPr>
        <w:widowControl w:val="0"/>
        <w:autoSpaceDE w:val="0"/>
        <w:autoSpaceDN w:val="0"/>
        <w:adjustRightInd w:val="0"/>
        <w:jc w:val="both"/>
        <w:rPr>
          <w:rFonts w:ascii="Arial" w:eastAsia="Cambria" w:hAnsi="Arial" w:cs="Arial"/>
          <w:color w:val="000000"/>
          <w:u w:color="000000"/>
        </w:rPr>
      </w:pPr>
    </w:p>
    <w:p w:rsidR="000A142C" w:rsidRPr="00853D50" w:rsidRDefault="000A142C" w:rsidP="00B75970">
      <w:pPr>
        <w:widowControl w:val="0"/>
        <w:autoSpaceDE w:val="0"/>
        <w:autoSpaceDN w:val="0"/>
        <w:adjustRightInd w:val="0"/>
        <w:jc w:val="both"/>
        <w:rPr>
          <w:rFonts w:ascii="Arial" w:eastAsia="Cambria" w:hAnsi="Arial" w:cs="Arial"/>
          <w:color w:val="000000"/>
          <w:u w:color="000000"/>
        </w:rPr>
      </w:pP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numPr>
          <w:ilvl w:val="0"/>
          <w:numId w:val="7"/>
        </w:numPr>
        <w:autoSpaceDE w:val="0"/>
        <w:autoSpaceDN w:val="0"/>
        <w:adjustRightInd w:val="0"/>
        <w:contextualSpacing/>
        <w:jc w:val="both"/>
        <w:rPr>
          <w:rFonts w:ascii="Arial" w:eastAsia="Cambria" w:hAnsi="Arial" w:cs="Times"/>
          <w:b/>
          <w:bCs/>
          <w:color w:val="800040"/>
          <w:u w:color="000000"/>
        </w:rPr>
      </w:pPr>
      <w:r w:rsidRPr="00EB6E0B">
        <w:rPr>
          <w:rFonts w:ascii="Arial" w:eastAsia="Cambria" w:hAnsi="Arial" w:cs="Times"/>
          <w:b/>
          <w:color w:val="800040"/>
          <w:u w:color="000000"/>
        </w:rPr>
        <w:lastRenderedPageBreak/>
        <w:t xml:space="preserve">Le nombre </w:t>
      </w:r>
      <w:r w:rsidRPr="00EB6E0B">
        <w:rPr>
          <w:rFonts w:ascii="Arial" w:eastAsia="Cambria" w:hAnsi="Arial" w:cs="Times"/>
          <w:b/>
          <w:bCs/>
          <w:color w:val="800040"/>
          <w:u w:color="000000"/>
        </w:rPr>
        <w:t>d'accidents et d'arrêts consécutifs</w:t>
      </w:r>
    </w:p>
    <w:p w:rsidR="00B75970" w:rsidRPr="00EB6E0B" w:rsidRDefault="00B75970" w:rsidP="00B75970">
      <w:pPr>
        <w:widowControl w:val="0"/>
        <w:autoSpaceDE w:val="0"/>
        <w:autoSpaceDN w:val="0"/>
        <w:adjustRightInd w:val="0"/>
        <w:jc w:val="both"/>
        <w:rPr>
          <w:rFonts w:ascii="Arial" w:eastAsia="Cambria" w:hAnsi="Arial" w:cs="Times"/>
          <w:b/>
          <w:bCs/>
          <w:color w:val="800040"/>
          <w:u w:color="000000"/>
        </w:rPr>
      </w:pPr>
    </w:p>
    <w:p w:rsidR="00B75970" w:rsidRPr="00EB6E0B" w:rsidRDefault="00B75970" w:rsidP="00B75970">
      <w:pPr>
        <w:widowControl w:val="0"/>
        <w:autoSpaceDE w:val="0"/>
        <w:autoSpaceDN w:val="0"/>
        <w:adjustRightInd w:val="0"/>
        <w:jc w:val="center"/>
        <w:rPr>
          <w:rFonts w:ascii="Arial" w:eastAsia="Cambria" w:hAnsi="Arial" w:cs="Times"/>
          <w:b/>
          <w:bCs/>
          <w:color w:val="800040"/>
          <w:u w:color="000000"/>
        </w:rPr>
      </w:pPr>
      <w:r w:rsidRPr="00EB6E0B">
        <w:rPr>
          <w:rFonts w:ascii="Arial" w:eastAsia="Cambria" w:hAnsi="Arial" w:cs="Times New Roman"/>
          <w:b/>
          <w:color w:val="000000"/>
        </w:rPr>
        <w:t>AT - Accidents et jours d'arrêt de travail</w:t>
      </w:r>
    </w:p>
    <w:p w:rsidR="00B75970" w:rsidRDefault="00B75970" w:rsidP="00B75970">
      <w:pPr>
        <w:widowControl w:val="0"/>
        <w:autoSpaceDE w:val="0"/>
        <w:autoSpaceDN w:val="0"/>
        <w:adjustRightInd w:val="0"/>
        <w:jc w:val="both"/>
        <w:rPr>
          <w:rFonts w:ascii="Arial" w:eastAsia="Cambria" w:hAnsi="Arial" w:cs="Times"/>
          <w:b/>
          <w:bCs/>
          <w:color w:val="800040"/>
          <w:u w:color="000000"/>
        </w:rPr>
      </w:pPr>
    </w:p>
    <w:p w:rsidR="00B75970" w:rsidRDefault="00BE5515" w:rsidP="00B75970">
      <w:pPr>
        <w:widowControl w:val="0"/>
        <w:autoSpaceDE w:val="0"/>
        <w:autoSpaceDN w:val="0"/>
        <w:adjustRightInd w:val="0"/>
        <w:jc w:val="both"/>
        <w:rPr>
          <w:rFonts w:ascii="Arial" w:eastAsia="Cambria" w:hAnsi="Arial" w:cs="Times"/>
          <w:b/>
          <w:bCs/>
          <w:color w:val="800040"/>
          <w:u w:color="000000"/>
        </w:rPr>
      </w:pPr>
      <w:r w:rsidRPr="00BE5515">
        <w:rPr>
          <w:noProof/>
          <w:lang w:eastAsia="fr-FR"/>
        </w:rPr>
        <w:drawing>
          <wp:inline distT="0" distB="0" distL="0" distR="0">
            <wp:extent cx="5836920" cy="1516380"/>
            <wp:effectExtent l="0" t="0" r="0" b="762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36920" cy="1516380"/>
                    </a:xfrm>
                    <a:prstGeom prst="rect">
                      <a:avLst/>
                    </a:prstGeom>
                    <a:noFill/>
                    <a:ln>
                      <a:noFill/>
                    </a:ln>
                  </pic:spPr>
                </pic:pic>
              </a:graphicData>
            </a:graphic>
          </wp:inline>
        </w:drawing>
      </w:r>
    </w:p>
    <w:p w:rsidR="00B75970" w:rsidRPr="00EB6E0B" w:rsidRDefault="00B75970" w:rsidP="00B75970">
      <w:pPr>
        <w:widowControl w:val="0"/>
        <w:autoSpaceDE w:val="0"/>
        <w:autoSpaceDN w:val="0"/>
        <w:adjustRightInd w:val="0"/>
        <w:jc w:val="both"/>
        <w:rPr>
          <w:rFonts w:ascii="Arial" w:eastAsia="Cambria" w:hAnsi="Arial" w:cs="Times"/>
          <w:b/>
          <w:bCs/>
          <w:color w:val="800040"/>
          <w:u w:color="000000"/>
        </w:rPr>
      </w:pPr>
    </w:p>
    <w:p w:rsidR="00B75970" w:rsidRDefault="00BE5515" w:rsidP="00B75970">
      <w:pPr>
        <w:widowControl w:val="0"/>
        <w:autoSpaceDE w:val="0"/>
        <w:autoSpaceDN w:val="0"/>
        <w:adjustRightInd w:val="0"/>
        <w:jc w:val="both"/>
        <w:rPr>
          <w:rFonts w:ascii="Arial" w:eastAsia="Cambria" w:hAnsi="Arial" w:cs="Times"/>
          <w:b/>
          <w:bCs/>
          <w:color w:val="800040"/>
          <w:u w:color="000000"/>
        </w:rPr>
      </w:pPr>
      <w:r w:rsidRPr="00BE5515">
        <w:rPr>
          <w:noProof/>
          <w:lang w:eastAsia="fr-FR"/>
        </w:rPr>
        <w:drawing>
          <wp:inline distT="0" distB="0" distL="0" distR="0">
            <wp:extent cx="6296025" cy="1666382"/>
            <wp:effectExtent l="0" t="0"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96025" cy="1666382"/>
                    </a:xfrm>
                    <a:prstGeom prst="rect">
                      <a:avLst/>
                    </a:prstGeom>
                    <a:noFill/>
                    <a:ln>
                      <a:noFill/>
                    </a:ln>
                  </pic:spPr>
                </pic:pic>
              </a:graphicData>
            </a:graphic>
          </wp:inline>
        </w:drawing>
      </w:r>
    </w:p>
    <w:p w:rsidR="00B75970" w:rsidRPr="00145F69" w:rsidRDefault="00B75970" w:rsidP="00B75970">
      <w:pPr>
        <w:widowControl w:val="0"/>
        <w:autoSpaceDE w:val="0"/>
        <w:autoSpaceDN w:val="0"/>
        <w:adjustRightInd w:val="0"/>
        <w:jc w:val="both"/>
        <w:rPr>
          <w:rFonts w:ascii="Arial" w:eastAsia="Cambria" w:hAnsi="Arial" w:cs="Times"/>
          <w:bCs/>
          <w:i/>
          <w:sz w:val="18"/>
          <w:szCs w:val="18"/>
          <w:u w:color="000000"/>
        </w:rPr>
      </w:pPr>
      <w:r>
        <w:rPr>
          <w:rFonts w:ascii="Arial" w:eastAsia="Cambria" w:hAnsi="Arial" w:cs="Times"/>
          <w:bCs/>
          <w:i/>
          <w:sz w:val="18"/>
          <w:szCs w:val="18"/>
          <w:u w:color="000000"/>
        </w:rPr>
        <w:t>*Jours d’arrêt résultant d’accidents survenus au cours des années antérieures à 2013</w:t>
      </w:r>
    </w:p>
    <w:p w:rsidR="003207A4" w:rsidRDefault="003207A4" w:rsidP="00B75970">
      <w:pPr>
        <w:jc w:val="both"/>
        <w:rPr>
          <w:rFonts w:ascii="Arial" w:eastAsia="Times New Roman" w:hAnsi="Arial" w:cs="Arial"/>
          <w:b/>
          <w:bCs/>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b/>
          <w:bCs/>
          <w:sz w:val="22"/>
          <w:szCs w:val="22"/>
          <w:lang w:eastAsia="fr-FR"/>
        </w:rPr>
        <w:t>947 accidents du travail</w:t>
      </w:r>
      <w:r w:rsidRPr="003207A4">
        <w:rPr>
          <w:rFonts w:ascii="Arial" w:eastAsia="Times New Roman" w:hAnsi="Arial" w:cs="Arial"/>
          <w:sz w:val="22"/>
          <w:szCs w:val="22"/>
          <w:lang w:eastAsia="fr-FR"/>
        </w:rPr>
        <w:t xml:space="preserve"> pour </w:t>
      </w:r>
      <w:r w:rsidRPr="003207A4">
        <w:rPr>
          <w:rFonts w:ascii="Arial" w:eastAsia="Times New Roman" w:hAnsi="Arial" w:cs="Arial"/>
          <w:b/>
          <w:bCs/>
          <w:sz w:val="22"/>
          <w:szCs w:val="22"/>
          <w:lang w:eastAsia="fr-FR"/>
        </w:rPr>
        <w:t xml:space="preserve">13 015 jours d'arrêts </w:t>
      </w:r>
      <w:r w:rsidRPr="003207A4">
        <w:rPr>
          <w:rFonts w:ascii="Arial" w:eastAsia="Times New Roman" w:hAnsi="Arial" w:cs="Arial"/>
          <w:sz w:val="22"/>
          <w:szCs w:val="22"/>
          <w:lang w:eastAsia="fr-FR"/>
        </w:rPr>
        <w:t xml:space="preserve">ont été recensés </w:t>
      </w:r>
      <w:r w:rsidRPr="003207A4">
        <w:rPr>
          <w:rFonts w:ascii="Arial" w:eastAsia="Times New Roman" w:hAnsi="Arial" w:cs="Arial"/>
          <w:b/>
          <w:bCs/>
          <w:sz w:val="22"/>
          <w:szCs w:val="22"/>
          <w:lang w:eastAsia="fr-FR"/>
        </w:rPr>
        <w:t xml:space="preserve">en 2013, </w:t>
      </w:r>
      <w:r w:rsidRPr="003207A4">
        <w:rPr>
          <w:rFonts w:ascii="Arial" w:eastAsia="Times New Roman" w:hAnsi="Arial" w:cs="Arial"/>
          <w:sz w:val="22"/>
          <w:szCs w:val="22"/>
          <w:lang w:eastAsia="fr-FR"/>
        </w:rPr>
        <w:t xml:space="preserve">contre 867 accidents du travail pour 12 214 jours d'arrêts en 2012, soit une augmentation de 9,2 % du nombre des accidents et une progression du nombre de jours d'arrêt de 6,5%. </w:t>
      </w: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b/>
          <w:bCs/>
          <w:color w:val="800040"/>
          <w:u w:color="000000"/>
        </w:rPr>
      </w:pPr>
    </w:p>
    <w:p w:rsidR="00B75970" w:rsidRPr="00EB6E0B" w:rsidRDefault="00B75970" w:rsidP="00B75970">
      <w:pPr>
        <w:widowControl w:val="0"/>
        <w:numPr>
          <w:ilvl w:val="0"/>
          <w:numId w:val="7"/>
        </w:numPr>
        <w:autoSpaceDE w:val="0"/>
        <w:autoSpaceDN w:val="0"/>
        <w:adjustRightInd w:val="0"/>
        <w:contextualSpacing/>
        <w:jc w:val="both"/>
        <w:rPr>
          <w:rFonts w:ascii="Arial" w:eastAsia="Cambria" w:hAnsi="Arial" w:cs="Times"/>
          <w:b/>
          <w:color w:val="800040"/>
          <w:u w:color="000000"/>
        </w:rPr>
      </w:pPr>
      <w:r w:rsidRPr="00EB6E0B">
        <w:rPr>
          <w:rFonts w:ascii="Arial" w:eastAsia="Cambria" w:hAnsi="Arial" w:cs="Times"/>
          <w:b/>
          <w:color w:val="800040"/>
          <w:u w:color="000000"/>
        </w:rPr>
        <w:t>Par type d’accidents la répartition apparait comme suit :</w:t>
      </w:r>
    </w:p>
    <w:p w:rsidR="00B75970" w:rsidRPr="00EB6E0B" w:rsidRDefault="00B75970" w:rsidP="00B75970">
      <w:pPr>
        <w:widowControl w:val="0"/>
        <w:autoSpaceDE w:val="0"/>
        <w:autoSpaceDN w:val="0"/>
        <w:adjustRightInd w:val="0"/>
        <w:rPr>
          <w:rFonts w:ascii="Arial" w:eastAsia="Cambria" w:hAnsi="Arial" w:cs="Times"/>
          <w:color w:val="000000"/>
          <w:u w:color="000000"/>
        </w:rPr>
      </w:pPr>
      <w:r w:rsidRPr="00BA5B02">
        <w:rPr>
          <w:noProof/>
          <w:lang w:eastAsia="fr-FR"/>
        </w:rPr>
        <w:drawing>
          <wp:anchor distT="0" distB="0" distL="114300" distR="114300" simplePos="0" relativeHeight="251804672" behindDoc="1" locked="0" layoutInCell="1" allowOverlap="1" wp14:anchorId="24044202" wp14:editId="5264FC3A">
            <wp:simplePos x="0" y="0"/>
            <wp:positionH relativeFrom="margin">
              <wp:align>center</wp:align>
            </wp:positionH>
            <wp:positionV relativeFrom="paragraph">
              <wp:posOffset>146050</wp:posOffset>
            </wp:positionV>
            <wp:extent cx="5911850" cy="1085850"/>
            <wp:effectExtent l="0" t="0" r="0" b="0"/>
            <wp:wrapTight wrapText="bothSides">
              <wp:wrapPolygon edited="0">
                <wp:start x="2645" y="0"/>
                <wp:lineTo x="2645" y="6063"/>
                <wp:lineTo x="0" y="7958"/>
                <wp:lineTo x="0" y="21221"/>
                <wp:lineTo x="21507" y="21221"/>
                <wp:lineTo x="21507" y="12505"/>
                <wp:lineTo x="21368" y="12126"/>
                <wp:lineTo x="20533" y="12126"/>
                <wp:lineTo x="21507" y="9095"/>
                <wp:lineTo x="21507" y="0"/>
                <wp:lineTo x="2645" y="0"/>
              </wp:wrapPolygon>
            </wp:wrapTight>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11850" cy="1085850"/>
                    </a:xfrm>
                    <a:prstGeom prst="rect">
                      <a:avLst/>
                    </a:prstGeom>
                    <a:noFill/>
                    <a:ln>
                      <a:noFill/>
                    </a:ln>
                  </pic:spPr>
                </pic:pic>
              </a:graphicData>
            </a:graphic>
          </wp:anchor>
        </w:drawing>
      </w:r>
    </w:p>
    <w:p w:rsidR="00B75970"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Pr="00BA5B02" w:rsidRDefault="00B75970" w:rsidP="00B75970">
      <w:pPr>
        <w:widowControl w:val="0"/>
        <w:autoSpaceDE w:val="0"/>
        <w:autoSpaceDN w:val="0"/>
        <w:adjustRightInd w:val="0"/>
        <w:jc w:val="both"/>
        <w:rPr>
          <w:rFonts w:ascii="Arial" w:eastAsia="Cambria" w:hAnsi="Arial" w:cs="Arial"/>
          <w:color w:val="000000"/>
          <w:u w:color="000000"/>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Entre 2012 et 2013, la faible évolution du nombre total d'accidents couvre des disparités d'évolution sensibles en fonction de leur type.</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 Le nombre d'accidents de service croît de +5,3 % (+16,2 % entre 2011 et 2012),</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 Celui du nombre d'accidents de trajets augmente de 13,8 % (+3,05% entre 2011 et 2012),</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 Le nombre des accidents de mission connaît une hausse sensible : 50 % (-83,78% entre 2011 et 2013).</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 xml:space="preserve">Entre 2012 et 2013 les accidents de trajet constituent environ un tiers (36,5% contre 32% en 2012) du nombre total des accidents survenus. </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La proportion des accidents de service proprement dits diminue légèrement (60,6 % contre 62,7 % du nombre total des accidents en 2012).</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La proportion des accidents de mission passe de 2,1 en 2012 à 2,9 % du nombre total des accidents en 2013.</w:t>
      </w:r>
    </w:p>
    <w:p w:rsidR="00B75970" w:rsidRDefault="00B75970" w:rsidP="00B75970">
      <w:pPr>
        <w:widowControl w:val="0"/>
        <w:autoSpaceDE w:val="0"/>
        <w:autoSpaceDN w:val="0"/>
        <w:adjustRightInd w:val="0"/>
        <w:jc w:val="both"/>
        <w:rPr>
          <w:rFonts w:ascii="Arial" w:eastAsia="Cambria" w:hAnsi="Arial" w:cs="Arial"/>
          <w:color w:val="000000"/>
          <w:u w:color="000000"/>
        </w:rPr>
      </w:pPr>
    </w:p>
    <w:p w:rsidR="00B75970" w:rsidRPr="00BA5B02" w:rsidRDefault="00B75970" w:rsidP="00B75970">
      <w:pPr>
        <w:widowControl w:val="0"/>
        <w:autoSpaceDE w:val="0"/>
        <w:autoSpaceDN w:val="0"/>
        <w:adjustRightInd w:val="0"/>
        <w:jc w:val="both"/>
        <w:rPr>
          <w:rFonts w:ascii="Arial" w:eastAsia="Cambria" w:hAnsi="Arial" w:cs="Arial"/>
          <w:color w:val="000000"/>
          <w:u w:color="000000"/>
        </w:rPr>
      </w:pP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r>
        <w:rPr>
          <w:noProof/>
          <w:lang w:eastAsia="fr-FR"/>
        </w:rPr>
        <w:drawing>
          <wp:anchor distT="0" distB="0" distL="114300" distR="114300" simplePos="0" relativeHeight="251805696" behindDoc="1" locked="0" layoutInCell="1" allowOverlap="1" wp14:anchorId="072D2214" wp14:editId="6981070B">
            <wp:simplePos x="0" y="0"/>
            <wp:positionH relativeFrom="margin">
              <wp:posOffset>905510</wp:posOffset>
            </wp:positionH>
            <wp:positionV relativeFrom="paragraph">
              <wp:posOffset>6350</wp:posOffset>
            </wp:positionV>
            <wp:extent cx="4025900" cy="2317750"/>
            <wp:effectExtent l="0" t="0" r="0" b="6350"/>
            <wp:wrapTight wrapText="bothSides">
              <wp:wrapPolygon edited="0">
                <wp:start x="0" y="0"/>
                <wp:lineTo x="0" y="21482"/>
                <wp:lineTo x="21464" y="21482"/>
                <wp:lineTo x="21464" y="0"/>
                <wp:lineTo x="0" y="0"/>
              </wp:wrapPolygon>
            </wp:wrapTight>
            <wp:docPr id="233" name="Graphique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14:sizeRelH relativeFrom="margin">
              <wp14:pctWidth>0</wp14:pctWidth>
            </wp14:sizeRelH>
            <wp14:sizeRelV relativeFrom="margin">
              <wp14:pctHeight>0</wp14:pctHeight>
            </wp14:sizeRelV>
          </wp:anchor>
        </w:drawing>
      </w: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Cette proportion d'accidents de trajet, déjà soulignée comme importante, reste aussi complexe à expliquer que difficile à prévenir.</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Les accidents de trajet se répartissent et évoluent comme suit par structure d'emploi :</w:t>
      </w:r>
    </w:p>
    <w:p w:rsidR="00B75970" w:rsidRPr="002952EE" w:rsidRDefault="00B75970" w:rsidP="00B75970">
      <w:pPr>
        <w:widowControl w:val="0"/>
        <w:autoSpaceDE w:val="0"/>
        <w:autoSpaceDN w:val="0"/>
        <w:adjustRightInd w:val="0"/>
        <w:jc w:val="both"/>
        <w:rPr>
          <w:rFonts w:ascii="Arial" w:eastAsia="Cambria" w:hAnsi="Arial" w:cs="Arial"/>
          <w:color w:val="000000"/>
          <w:u w:color="000000"/>
        </w:rPr>
      </w:pPr>
    </w:p>
    <w:p w:rsidR="00B75970" w:rsidRPr="00EB6E0B" w:rsidRDefault="00B75970" w:rsidP="00B75970">
      <w:pPr>
        <w:widowControl w:val="0"/>
        <w:autoSpaceDE w:val="0"/>
        <w:autoSpaceDN w:val="0"/>
        <w:adjustRightInd w:val="0"/>
        <w:rPr>
          <w:rFonts w:ascii="Arial" w:eastAsia="Cambria" w:hAnsi="Arial" w:cs="Times"/>
          <w:color w:val="000000"/>
          <w:u w:color="000000"/>
        </w:rPr>
      </w:pPr>
      <w:r w:rsidRPr="000F5333">
        <w:rPr>
          <w:noProof/>
          <w:lang w:eastAsia="fr-FR"/>
        </w:rPr>
        <w:drawing>
          <wp:anchor distT="0" distB="0" distL="114300" distR="114300" simplePos="0" relativeHeight="251806720" behindDoc="1" locked="0" layoutInCell="1" allowOverlap="1" wp14:anchorId="15F83087" wp14:editId="6D6A645C">
            <wp:simplePos x="0" y="0"/>
            <wp:positionH relativeFrom="margin">
              <wp:align>center</wp:align>
            </wp:positionH>
            <wp:positionV relativeFrom="paragraph">
              <wp:posOffset>50165</wp:posOffset>
            </wp:positionV>
            <wp:extent cx="3390900" cy="1765300"/>
            <wp:effectExtent l="0" t="0" r="0" b="6350"/>
            <wp:wrapTight wrapText="bothSides">
              <wp:wrapPolygon edited="0">
                <wp:start x="6674" y="0"/>
                <wp:lineTo x="6674" y="3729"/>
                <wp:lineTo x="0" y="5361"/>
                <wp:lineTo x="0" y="21445"/>
                <wp:lineTo x="16867" y="21445"/>
                <wp:lineTo x="17960" y="21212"/>
                <wp:lineTo x="21479" y="19347"/>
                <wp:lineTo x="21479" y="16083"/>
                <wp:lineTo x="21357" y="15850"/>
                <wp:lineTo x="19537" y="14918"/>
                <wp:lineTo x="21479" y="13753"/>
                <wp:lineTo x="21479" y="7925"/>
                <wp:lineTo x="19537" y="7459"/>
                <wp:lineTo x="21479" y="5827"/>
                <wp:lineTo x="21479" y="0"/>
                <wp:lineTo x="6674" y="0"/>
              </wp:wrapPolygon>
            </wp:wrapTight>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90900" cy="1765300"/>
                    </a:xfrm>
                    <a:prstGeom prst="rect">
                      <a:avLst/>
                    </a:prstGeom>
                    <a:noFill/>
                    <a:ln>
                      <a:noFill/>
                    </a:ln>
                  </pic:spPr>
                </pic:pic>
              </a:graphicData>
            </a:graphic>
          </wp:anchor>
        </w:drawing>
      </w: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r>
        <w:rPr>
          <w:noProof/>
          <w:lang w:eastAsia="fr-FR"/>
        </w:rPr>
        <w:drawing>
          <wp:anchor distT="0" distB="0" distL="114300" distR="114300" simplePos="0" relativeHeight="251807744" behindDoc="1" locked="0" layoutInCell="1" allowOverlap="1" wp14:anchorId="25991BE7" wp14:editId="7DD037C5">
            <wp:simplePos x="0" y="0"/>
            <wp:positionH relativeFrom="margin">
              <wp:align>center</wp:align>
            </wp:positionH>
            <wp:positionV relativeFrom="paragraph">
              <wp:posOffset>7620</wp:posOffset>
            </wp:positionV>
            <wp:extent cx="3651250" cy="1993900"/>
            <wp:effectExtent l="0" t="0" r="6350" b="6350"/>
            <wp:wrapTight wrapText="bothSides">
              <wp:wrapPolygon edited="0">
                <wp:start x="0" y="0"/>
                <wp:lineTo x="0" y="21462"/>
                <wp:lineTo x="21525" y="21462"/>
                <wp:lineTo x="21525" y="0"/>
                <wp:lineTo x="0" y="0"/>
              </wp:wrapPolygon>
            </wp:wrapTight>
            <wp:docPr id="235" name="Graphique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14:sizeRelH relativeFrom="margin">
              <wp14:pctWidth>0</wp14:pctWidth>
            </wp14:sizeRelH>
            <wp14:sizeRelV relativeFrom="margin">
              <wp14:pctHeight>0</wp14:pctHeight>
            </wp14:sizeRelV>
          </wp:anchor>
        </w:drawing>
      </w: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rPr>
          <w:rFonts w:ascii="Arial" w:eastAsia="Cambria" w:hAnsi="Arial" w:cs="Times"/>
          <w:color w:val="000000"/>
          <w:u w:color="000000"/>
        </w:rPr>
      </w:pPr>
      <w:r>
        <w:rPr>
          <w:rFonts w:ascii="Arial" w:eastAsia="Cambria" w:hAnsi="Arial" w:cs="Times"/>
          <w:color w:val="000000"/>
          <w:u w:color="000000"/>
        </w:rPr>
        <w:br w:type="page"/>
      </w:r>
    </w:p>
    <w:p w:rsidR="00B75970" w:rsidRPr="00EB6E0B" w:rsidRDefault="00B75970" w:rsidP="00B75970">
      <w:pPr>
        <w:widowControl w:val="0"/>
        <w:autoSpaceDE w:val="0"/>
        <w:autoSpaceDN w:val="0"/>
        <w:adjustRightInd w:val="0"/>
        <w:rPr>
          <w:rFonts w:ascii="Arial" w:eastAsia="Cambria" w:hAnsi="Arial" w:cs="Times"/>
          <w:b/>
          <w:bCs/>
          <w:color w:val="000000"/>
          <w:u w:color="000000"/>
        </w:rPr>
      </w:pPr>
    </w:p>
    <w:p w:rsidR="00B75970" w:rsidRDefault="00B75970" w:rsidP="00B75970">
      <w:pPr>
        <w:widowControl w:val="0"/>
        <w:numPr>
          <w:ilvl w:val="0"/>
          <w:numId w:val="7"/>
        </w:numPr>
        <w:autoSpaceDE w:val="0"/>
        <w:autoSpaceDN w:val="0"/>
        <w:adjustRightInd w:val="0"/>
        <w:contextualSpacing/>
        <w:rPr>
          <w:rFonts w:ascii="Arial" w:eastAsia="Cambria" w:hAnsi="Arial" w:cs="Times"/>
          <w:b/>
          <w:bCs/>
          <w:color w:val="800040"/>
          <w:u w:color="000000"/>
        </w:rPr>
      </w:pPr>
      <w:r w:rsidRPr="00EB6E0B">
        <w:rPr>
          <w:rFonts w:ascii="Arial" w:eastAsia="Cambria" w:hAnsi="Arial" w:cs="Times"/>
          <w:b/>
          <w:bCs/>
          <w:color w:val="800040"/>
          <w:u w:color="000000"/>
        </w:rPr>
        <w:t>Fréquence et gravité des accidents</w:t>
      </w:r>
    </w:p>
    <w:p w:rsidR="00BE5515" w:rsidRPr="00EB6E0B" w:rsidRDefault="00BE5515" w:rsidP="00BE5515">
      <w:pPr>
        <w:widowControl w:val="0"/>
        <w:autoSpaceDE w:val="0"/>
        <w:autoSpaceDN w:val="0"/>
        <w:adjustRightInd w:val="0"/>
        <w:ind w:left="720"/>
        <w:contextualSpacing/>
        <w:rPr>
          <w:rFonts w:ascii="Arial" w:eastAsia="Cambria" w:hAnsi="Arial" w:cs="Times"/>
          <w:b/>
          <w:bCs/>
          <w:color w:val="800040"/>
          <w:u w:color="000000"/>
        </w:rPr>
      </w:pPr>
    </w:p>
    <w:p w:rsidR="00B75970" w:rsidRDefault="00BE5515" w:rsidP="00BE5515">
      <w:pPr>
        <w:widowControl w:val="0"/>
        <w:tabs>
          <w:tab w:val="left" w:pos="15"/>
        </w:tabs>
        <w:autoSpaceDE w:val="0"/>
        <w:autoSpaceDN w:val="0"/>
        <w:adjustRightInd w:val="0"/>
        <w:rPr>
          <w:rFonts w:ascii="Arial" w:eastAsia="Cambria" w:hAnsi="Arial" w:cs="Times"/>
          <w:b/>
          <w:bCs/>
          <w:color w:val="000000"/>
          <w:u w:color="000000"/>
        </w:rPr>
      </w:pPr>
      <w:r w:rsidRPr="00BE5515">
        <w:rPr>
          <w:noProof/>
          <w:lang w:eastAsia="fr-FR"/>
        </w:rPr>
        <w:drawing>
          <wp:inline distT="0" distB="0" distL="0" distR="0">
            <wp:extent cx="6296025" cy="1328124"/>
            <wp:effectExtent l="0" t="0" r="0" b="571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96025" cy="1328124"/>
                    </a:xfrm>
                    <a:prstGeom prst="rect">
                      <a:avLst/>
                    </a:prstGeom>
                    <a:noFill/>
                    <a:ln>
                      <a:noFill/>
                    </a:ln>
                  </pic:spPr>
                </pic:pic>
              </a:graphicData>
            </a:graphic>
          </wp:inline>
        </w:drawing>
      </w:r>
    </w:p>
    <w:p w:rsidR="00B75970" w:rsidRDefault="00B75970" w:rsidP="00B75970">
      <w:pPr>
        <w:widowControl w:val="0"/>
        <w:tabs>
          <w:tab w:val="left" w:pos="15"/>
        </w:tabs>
        <w:autoSpaceDE w:val="0"/>
        <w:autoSpaceDN w:val="0"/>
        <w:adjustRightInd w:val="0"/>
        <w:ind w:left="360"/>
        <w:rPr>
          <w:rFonts w:ascii="Arial" w:eastAsia="Cambria" w:hAnsi="Arial" w:cs="Times"/>
          <w:b/>
          <w:bCs/>
          <w:color w:val="000000"/>
          <w:u w:color="000000"/>
        </w:rPr>
      </w:pPr>
    </w:p>
    <w:p w:rsidR="00B75970" w:rsidRDefault="00B75970" w:rsidP="00B75970">
      <w:pPr>
        <w:widowControl w:val="0"/>
        <w:tabs>
          <w:tab w:val="left" w:pos="15"/>
        </w:tabs>
        <w:autoSpaceDE w:val="0"/>
        <w:autoSpaceDN w:val="0"/>
        <w:adjustRightInd w:val="0"/>
        <w:ind w:left="360"/>
        <w:rPr>
          <w:rFonts w:ascii="Arial" w:eastAsia="Cambria" w:hAnsi="Arial" w:cs="Times"/>
          <w:b/>
          <w:bCs/>
          <w:color w:val="000000"/>
          <w:u w:color="000000"/>
        </w:rPr>
      </w:pPr>
    </w:p>
    <w:p w:rsidR="00B75970" w:rsidRPr="003207A4" w:rsidRDefault="00B75970" w:rsidP="00B75970">
      <w:pPr>
        <w:widowControl w:val="0"/>
        <w:tabs>
          <w:tab w:val="left" w:pos="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L'analyse des indices de fréquence et de gravité ne fait pas ressortir d'évolution  majeure en dehors de la diminution de l'indice de fréquence des accidents de mission, cohérente avec les chiffres analysés ci-dessus.</w:t>
      </w:r>
    </w:p>
    <w:p w:rsidR="00B75970" w:rsidRPr="007E1F51" w:rsidRDefault="00B75970" w:rsidP="00B75970">
      <w:pPr>
        <w:widowControl w:val="0"/>
        <w:tabs>
          <w:tab w:val="left" w:pos="15"/>
        </w:tabs>
        <w:autoSpaceDE w:val="0"/>
        <w:autoSpaceDN w:val="0"/>
        <w:adjustRightInd w:val="0"/>
        <w:ind w:left="360"/>
        <w:rPr>
          <w:rFonts w:ascii="Arial" w:eastAsia="Cambria" w:hAnsi="Arial" w:cs="Times"/>
          <w:bCs/>
          <w:color w:val="000000"/>
          <w:sz w:val="22"/>
          <w:szCs w:val="22"/>
          <w:u w:color="000000"/>
        </w:rPr>
      </w:pPr>
    </w:p>
    <w:p w:rsidR="00B75970" w:rsidRPr="007E1F51" w:rsidRDefault="00B75970" w:rsidP="00B75970">
      <w:pPr>
        <w:widowControl w:val="0"/>
        <w:tabs>
          <w:tab w:val="left" w:pos="15"/>
        </w:tabs>
        <w:autoSpaceDE w:val="0"/>
        <w:autoSpaceDN w:val="0"/>
        <w:adjustRightInd w:val="0"/>
        <w:ind w:left="360"/>
        <w:rPr>
          <w:rFonts w:ascii="Arial" w:eastAsia="Cambria" w:hAnsi="Arial" w:cs="Times"/>
          <w:bCs/>
          <w:color w:val="000000"/>
          <w:sz w:val="22"/>
          <w:szCs w:val="22"/>
          <w:u w:color="000000"/>
        </w:rPr>
      </w:pPr>
    </w:p>
    <w:p w:rsidR="00B75970" w:rsidRPr="00EB6E0B" w:rsidRDefault="00B75970" w:rsidP="00B75970">
      <w:pPr>
        <w:widowControl w:val="0"/>
        <w:numPr>
          <w:ilvl w:val="0"/>
          <w:numId w:val="7"/>
        </w:numPr>
        <w:tabs>
          <w:tab w:val="left" w:pos="15"/>
        </w:tabs>
        <w:autoSpaceDE w:val="0"/>
        <w:autoSpaceDN w:val="0"/>
        <w:adjustRightInd w:val="0"/>
        <w:contextualSpacing/>
        <w:rPr>
          <w:rFonts w:ascii="Arial" w:eastAsia="Cambria" w:hAnsi="Arial" w:cs="Times"/>
          <w:b/>
          <w:bCs/>
          <w:color w:val="800040"/>
          <w:u w:color="000000"/>
        </w:rPr>
      </w:pPr>
      <w:r w:rsidRPr="00EB6E0B">
        <w:rPr>
          <w:rFonts w:ascii="Arial" w:eastAsia="Cambria" w:hAnsi="Arial" w:cs="Times"/>
          <w:b/>
          <w:bCs/>
          <w:color w:val="800040"/>
          <w:u w:color="000000"/>
        </w:rPr>
        <w:t>Nombre d'accidents selon l'activité et la catégorie</w:t>
      </w:r>
    </w:p>
    <w:p w:rsidR="00B75970" w:rsidRPr="00EB6E0B" w:rsidRDefault="00B75970" w:rsidP="00B75970">
      <w:pPr>
        <w:widowControl w:val="0"/>
        <w:tabs>
          <w:tab w:val="left" w:pos="15"/>
        </w:tabs>
        <w:autoSpaceDE w:val="0"/>
        <w:autoSpaceDN w:val="0"/>
        <w:adjustRightInd w:val="0"/>
        <w:rPr>
          <w:rFonts w:ascii="Arial" w:eastAsia="Cambria" w:hAnsi="Arial" w:cs="Times"/>
          <w:b/>
          <w:bCs/>
          <w:color w:val="000000"/>
          <w:u w:color="000000"/>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 xml:space="preserve">Le tableau présenté ci-dessous décline les seuls accidents du travail (accidents de trajets exclus) selon la catégorie (A, B, C) et selon l'activité principale déclinée sur quatre possibilités : </w:t>
      </w:r>
      <w:r w:rsidRPr="003207A4">
        <w:rPr>
          <w:rFonts w:ascii="Arial" w:eastAsia="Times New Roman" w:hAnsi="Arial" w:cs="Arial"/>
          <w:i/>
          <w:iCs/>
          <w:color w:val="000000"/>
          <w:sz w:val="22"/>
          <w:szCs w:val="22"/>
          <w:lang w:eastAsia="fr-FR"/>
        </w:rPr>
        <w:t>bureau, enseignement, atelier-terrain-laboratoire, et autres</w:t>
      </w:r>
      <w:r w:rsidRPr="003207A4">
        <w:rPr>
          <w:rFonts w:ascii="Arial" w:eastAsia="Times New Roman" w:hAnsi="Arial" w:cs="Arial"/>
          <w:color w:val="000000"/>
          <w:sz w:val="22"/>
          <w:szCs w:val="22"/>
          <w:lang w:eastAsia="fr-FR"/>
        </w:rPr>
        <w:t xml:space="preserve"> intégrant à titre principal les personnels de surveillance.</w:t>
      </w: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r w:rsidRPr="005F73BE">
        <w:rPr>
          <w:noProof/>
          <w:lang w:eastAsia="fr-FR"/>
        </w:rPr>
        <w:drawing>
          <wp:anchor distT="0" distB="0" distL="114300" distR="114300" simplePos="0" relativeHeight="251809792" behindDoc="1" locked="0" layoutInCell="1" allowOverlap="1" wp14:anchorId="58D34493" wp14:editId="3BFAB310">
            <wp:simplePos x="0" y="0"/>
            <wp:positionH relativeFrom="margin">
              <wp:align>left</wp:align>
            </wp:positionH>
            <wp:positionV relativeFrom="paragraph">
              <wp:posOffset>154940</wp:posOffset>
            </wp:positionV>
            <wp:extent cx="6116320" cy="1165225"/>
            <wp:effectExtent l="0" t="0" r="0" b="0"/>
            <wp:wrapTight wrapText="bothSides">
              <wp:wrapPolygon edited="0">
                <wp:start x="0" y="0"/>
                <wp:lineTo x="0" y="21188"/>
                <wp:lineTo x="21528" y="21188"/>
                <wp:lineTo x="21528" y="0"/>
                <wp:lineTo x="0" y="0"/>
              </wp:wrapPolygon>
            </wp:wrapTight>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16320" cy="1165225"/>
                    </a:xfrm>
                    <a:prstGeom prst="rect">
                      <a:avLst/>
                    </a:prstGeom>
                    <a:noFill/>
                    <a:ln>
                      <a:noFill/>
                    </a:ln>
                  </pic:spPr>
                </pic:pic>
              </a:graphicData>
            </a:graphic>
          </wp:anchor>
        </w:drawing>
      </w:r>
    </w:p>
    <w:p w:rsidR="00B75970" w:rsidRPr="00EB6E0B" w:rsidRDefault="00B75970" w:rsidP="00B75970">
      <w:pPr>
        <w:widowControl w:val="0"/>
        <w:tabs>
          <w:tab w:val="left" w:pos="15"/>
        </w:tabs>
        <w:autoSpaceDE w:val="0"/>
        <w:autoSpaceDN w:val="0"/>
        <w:adjustRightInd w:val="0"/>
        <w:rPr>
          <w:rFonts w:ascii="Arial" w:eastAsia="Cambria" w:hAnsi="Arial" w:cs="Times"/>
          <w:b/>
          <w:bCs/>
          <w:color w:val="000000"/>
          <w:u w:color="000000"/>
        </w:rPr>
      </w:pPr>
      <w:r w:rsidRPr="005F73BE">
        <w:rPr>
          <w:noProof/>
          <w:lang w:eastAsia="fr-FR"/>
        </w:rPr>
        <w:drawing>
          <wp:anchor distT="0" distB="0" distL="114300" distR="114300" simplePos="0" relativeHeight="251810816" behindDoc="1" locked="0" layoutInCell="1" allowOverlap="1" wp14:anchorId="1BB449BA" wp14:editId="6E7D2109">
            <wp:simplePos x="0" y="0"/>
            <wp:positionH relativeFrom="margin">
              <wp:align>left</wp:align>
            </wp:positionH>
            <wp:positionV relativeFrom="paragraph">
              <wp:posOffset>3175</wp:posOffset>
            </wp:positionV>
            <wp:extent cx="6116320" cy="1253156"/>
            <wp:effectExtent l="0" t="0" r="0" b="4445"/>
            <wp:wrapTight wrapText="bothSides">
              <wp:wrapPolygon edited="0">
                <wp:start x="0" y="0"/>
                <wp:lineTo x="0" y="21348"/>
                <wp:lineTo x="21528" y="21348"/>
                <wp:lineTo x="21528" y="0"/>
                <wp:lineTo x="0" y="0"/>
              </wp:wrapPolygon>
            </wp:wrapTight>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16320" cy="1253156"/>
                    </a:xfrm>
                    <a:prstGeom prst="rect">
                      <a:avLst/>
                    </a:prstGeom>
                    <a:noFill/>
                    <a:ln>
                      <a:noFill/>
                    </a:ln>
                  </pic:spPr>
                </pic:pic>
              </a:graphicData>
            </a:graphic>
          </wp:anchor>
        </w:drawing>
      </w:r>
    </w:p>
    <w:p w:rsidR="003207A4" w:rsidRDefault="003207A4">
      <w:pPr>
        <w:spacing w:after="160" w:line="259" w:lineRule="auto"/>
        <w:rPr>
          <w:rFonts w:ascii="Arial" w:eastAsia="Cambria" w:hAnsi="Arial" w:cs="Times"/>
          <w:color w:val="000000"/>
          <w:u w:color="000000"/>
        </w:rPr>
      </w:pPr>
      <w:r>
        <w:rPr>
          <w:rFonts w:ascii="Arial" w:eastAsia="Cambria" w:hAnsi="Arial" w:cs="Times"/>
          <w:color w:val="000000"/>
          <w:u w:color="000000"/>
        </w:rPr>
        <w:br w:type="page"/>
      </w: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numPr>
          <w:ilvl w:val="0"/>
          <w:numId w:val="7"/>
        </w:numPr>
        <w:tabs>
          <w:tab w:val="left" w:pos="220"/>
          <w:tab w:val="left" w:pos="720"/>
        </w:tabs>
        <w:autoSpaceDE w:val="0"/>
        <w:autoSpaceDN w:val="0"/>
        <w:adjustRightInd w:val="0"/>
        <w:contextualSpacing/>
        <w:rPr>
          <w:rFonts w:ascii="Arial" w:eastAsia="Cambria" w:hAnsi="Arial" w:cs="Times"/>
          <w:b/>
          <w:bCs/>
          <w:color w:val="800040"/>
          <w:u w:color="000000"/>
        </w:rPr>
      </w:pPr>
      <w:r w:rsidRPr="00EB6E0B">
        <w:rPr>
          <w:rFonts w:ascii="Arial" w:eastAsia="Cambria" w:hAnsi="Arial" w:cs="Times"/>
          <w:b/>
          <w:bCs/>
          <w:color w:val="800040"/>
          <w:u w:color="000000"/>
        </w:rPr>
        <w:t xml:space="preserve">Fréquence des accidents selon l'activité, le statut et le </w:t>
      </w:r>
      <w:r w:rsidR="009A1A03">
        <w:rPr>
          <w:rFonts w:ascii="Arial" w:eastAsia="Cambria" w:hAnsi="Arial" w:cs="Times"/>
          <w:b/>
          <w:bCs/>
          <w:color w:val="800040"/>
          <w:u w:color="000000"/>
        </w:rPr>
        <w:t>genre</w:t>
      </w:r>
    </w:p>
    <w:p w:rsidR="00B75970" w:rsidRPr="00EB6E0B" w:rsidRDefault="00B75970" w:rsidP="00B75970">
      <w:pPr>
        <w:widowControl w:val="0"/>
        <w:tabs>
          <w:tab w:val="left" w:pos="220"/>
          <w:tab w:val="left" w:pos="720"/>
        </w:tabs>
        <w:autoSpaceDE w:val="0"/>
        <w:autoSpaceDN w:val="0"/>
        <w:adjustRightInd w:val="0"/>
        <w:rPr>
          <w:rFonts w:ascii="Arial" w:eastAsia="Cambria" w:hAnsi="Arial" w:cs="Times"/>
          <w:b/>
          <w:bCs/>
          <w:color w:val="000000"/>
          <w:u w:color="000000"/>
        </w:rPr>
      </w:pPr>
    </w:p>
    <w:p w:rsidR="00B75970" w:rsidRPr="007E1F51" w:rsidRDefault="00B75970" w:rsidP="007E1F51">
      <w:pPr>
        <w:widowControl w:val="0"/>
        <w:autoSpaceDE w:val="0"/>
        <w:autoSpaceDN w:val="0"/>
        <w:adjustRightInd w:val="0"/>
        <w:spacing w:after="240"/>
        <w:jc w:val="center"/>
        <w:rPr>
          <w:rFonts w:ascii="Arial" w:eastAsia="Cambria" w:hAnsi="Arial" w:cs="Times"/>
          <w:b/>
          <w:color w:val="000000"/>
          <w:sz w:val="22"/>
          <w:szCs w:val="22"/>
          <w:u w:color="000000"/>
        </w:rPr>
      </w:pPr>
      <w:r w:rsidRPr="007E1F51">
        <w:rPr>
          <w:rFonts w:ascii="Arial" w:eastAsia="Cambria" w:hAnsi="Arial" w:cs="Times"/>
          <w:b/>
          <w:color w:val="000000"/>
          <w:sz w:val="22"/>
          <w:szCs w:val="22"/>
          <w:u w:color="000000"/>
        </w:rPr>
        <w:t>Les accidents du travail, hors accidents de trajet, selon l'activité et la catégorie de l'agent</w:t>
      </w:r>
    </w:p>
    <w:p w:rsidR="00B75970" w:rsidRPr="003207A4" w:rsidRDefault="00B75970" w:rsidP="003207A4">
      <w:pPr>
        <w:widowControl w:val="0"/>
        <w:autoSpaceDE w:val="0"/>
        <w:autoSpaceDN w:val="0"/>
        <w:adjustRightInd w:val="0"/>
        <w:jc w:val="both"/>
        <w:rPr>
          <w:rFonts w:ascii="Arial" w:eastAsia="Times New Roman" w:hAnsi="Arial" w:cs="Arial"/>
          <w:sz w:val="22"/>
          <w:szCs w:val="22"/>
          <w:lang w:eastAsia="fr-FR"/>
        </w:rPr>
      </w:pPr>
      <w:r w:rsidRPr="000A3373">
        <w:rPr>
          <w:noProof/>
          <w:lang w:eastAsia="fr-FR"/>
        </w:rPr>
        <w:drawing>
          <wp:anchor distT="0" distB="0" distL="114300" distR="114300" simplePos="0" relativeHeight="251811840" behindDoc="1" locked="0" layoutInCell="1" allowOverlap="1" wp14:anchorId="51694683" wp14:editId="4EC2ED53">
            <wp:simplePos x="0" y="0"/>
            <wp:positionH relativeFrom="margin">
              <wp:align>left</wp:align>
            </wp:positionH>
            <wp:positionV relativeFrom="paragraph">
              <wp:posOffset>0</wp:posOffset>
            </wp:positionV>
            <wp:extent cx="6116320" cy="1326355"/>
            <wp:effectExtent l="0" t="0" r="0" b="7620"/>
            <wp:wrapTight wrapText="bothSides">
              <wp:wrapPolygon edited="0">
                <wp:start x="0" y="0"/>
                <wp:lineTo x="0" y="21414"/>
                <wp:lineTo x="21528" y="21414"/>
                <wp:lineTo x="21528" y="12103"/>
                <wp:lineTo x="20721" y="9931"/>
                <wp:lineTo x="21394" y="9931"/>
                <wp:lineTo x="21528" y="9000"/>
                <wp:lineTo x="21528" y="0"/>
                <wp:lineTo x="0" y="0"/>
              </wp:wrapPolygon>
            </wp:wrapTight>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16320" cy="1326355"/>
                    </a:xfrm>
                    <a:prstGeom prst="rect">
                      <a:avLst/>
                    </a:prstGeom>
                    <a:noFill/>
                    <a:ln>
                      <a:noFill/>
                    </a:ln>
                  </pic:spPr>
                </pic:pic>
              </a:graphicData>
            </a:graphic>
          </wp:anchor>
        </w:drawing>
      </w:r>
      <w:r w:rsidRPr="003207A4">
        <w:rPr>
          <w:rFonts w:ascii="Arial" w:eastAsia="Times New Roman" w:hAnsi="Arial" w:cs="Arial"/>
          <w:color w:val="000000"/>
          <w:sz w:val="22"/>
          <w:szCs w:val="22"/>
          <w:lang w:eastAsia="fr-FR"/>
        </w:rPr>
        <w:t>L'indice de fréquence des agents titulaires culmine à 3,07 pour l'activité des agents de surveillance.</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Pour les agents non titulaires c'est l'activité atelier-terrain-laboratoire qui correspond à l'indice de fréquence le plus fort avec 2,16.</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0A3373" w:rsidRDefault="00B75970" w:rsidP="00B75970">
      <w:pPr>
        <w:widowControl w:val="0"/>
        <w:autoSpaceDE w:val="0"/>
        <w:autoSpaceDN w:val="0"/>
        <w:adjustRightInd w:val="0"/>
        <w:jc w:val="center"/>
        <w:rPr>
          <w:rFonts w:ascii="Arial" w:eastAsia="Cambria" w:hAnsi="Arial" w:cs="Times"/>
          <w:b/>
          <w:color w:val="000000"/>
          <w:u w:color="000000"/>
        </w:rPr>
      </w:pPr>
      <w:r w:rsidRPr="000A3373">
        <w:rPr>
          <w:noProof/>
          <w:lang w:eastAsia="fr-FR"/>
        </w:rPr>
        <w:drawing>
          <wp:anchor distT="0" distB="0" distL="114300" distR="114300" simplePos="0" relativeHeight="251812864" behindDoc="1" locked="0" layoutInCell="1" allowOverlap="1" wp14:anchorId="27176BE9" wp14:editId="48938C8E">
            <wp:simplePos x="0" y="0"/>
            <wp:positionH relativeFrom="margin">
              <wp:align>left</wp:align>
            </wp:positionH>
            <wp:positionV relativeFrom="paragraph">
              <wp:posOffset>290830</wp:posOffset>
            </wp:positionV>
            <wp:extent cx="6116320" cy="1147986"/>
            <wp:effectExtent l="0" t="0" r="0" b="0"/>
            <wp:wrapTight wrapText="bothSides">
              <wp:wrapPolygon edited="0">
                <wp:start x="0" y="0"/>
                <wp:lineTo x="0" y="21158"/>
                <wp:lineTo x="21528" y="21158"/>
                <wp:lineTo x="21528" y="17930"/>
                <wp:lineTo x="21394" y="17572"/>
                <wp:lineTo x="20586" y="17213"/>
                <wp:lineTo x="21528" y="15420"/>
                <wp:lineTo x="21528" y="11475"/>
                <wp:lineTo x="20923" y="11475"/>
                <wp:lineTo x="21528" y="8965"/>
                <wp:lineTo x="21528" y="0"/>
                <wp:lineTo x="0" y="0"/>
              </wp:wrapPolygon>
            </wp:wrapTight>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16320" cy="1147986"/>
                    </a:xfrm>
                    <a:prstGeom prst="rect">
                      <a:avLst/>
                    </a:prstGeom>
                    <a:noFill/>
                    <a:ln>
                      <a:noFill/>
                    </a:ln>
                  </pic:spPr>
                </pic:pic>
              </a:graphicData>
            </a:graphic>
          </wp:anchor>
        </w:drawing>
      </w:r>
      <w:r w:rsidRPr="000A3373">
        <w:rPr>
          <w:rFonts w:ascii="Arial" w:eastAsia="Cambria" w:hAnsi="Arial" w:cs="Times"/>
          <w:b/>
          <w:color w:val="000000"/>
          <w:u w:color="000000"/>
        </w:rPr>
        <w:t xml:space="preserve">Fréquence des accidents selon l'activité et le </w:t>
      </w:r>
      <w:r w:rsidR="009A1A03">
        <w:rPr>
          <w:rFonts w:ascii="Arial" w:eastAsia="Cambria" w:hAnsi="Arial" w:cs="Times"/>
          <w:b/>
          <w:color w:val="000000"/>
          <w:u w:color="000000"/>
        </w:rPr>
        <w:t>genre</w:t>
      </w:r>
    </w:p>
    <w:p w:rsidR="00B75970" w:rsidRPr="003207A4" w:rsidRDefault="00B75970" w:rsidP="003207A4">
      <w:pPr>
        <w:spacing w:before="240"/>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La proportion de femmes au sein du ministère correspond à 52% pour 48% d'hommes.</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L'indice de fréquence le plus important pour eux correspond à l'activité liée à la surveillance 3,6, très proche de l'activité atelier-terrain-laboratoire avec 3,42. Ils représentent 69% des effectifs de cette activité.</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L'indice de fréquence le plus important pour les femmes correspond à l'activité bureau avec un indice de 5,12. Elles représentent 74% des effectifs de cette activité</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numPr>
          <w:ilvl w:val="0"/>
          <w:numId w:val="7"/>
        </w:numPr>
        <w:tabs>
          <w:tab w:val="left" w:pos="220"/>
          <w:tab w:val="left" w:pos="720"/>
        </w:tabs>
        <w:autoSpaceDE w:val="0"/>
        <w:autoSpaceDN w:val="0"/>
        <w:adjustRightInd w:val="0"/>
        <w:contextualSpacing/>
        <w:rPr>
          <w:rFonts w:ascii="Arial" w:eastAsia="Cambria" w:hAnsi="Arial" w:cs="Times"/>
          <w:b/>
          <w:bCs/>
          <w:color w:val="800040"/>
          <w:sz w:val="22"/>
          <w:szCs w:val="22"/>
          <w:u w:color="000000"/>
        </w:rPr>
      </w:pPr>
      <w:r w:rsidRPr="003207A4">
        <w:rPr>
          <w:rFonts w:ascii="Arial" w:eastAsia="Cambria" w:hAnsi="Arial" w:cs="Times"/>
          <w:b/>
          <w:bCs/>
          <w:color w:val="800040"/>
          <w:sz w:val="22"/>
          <w:szCs w:val="22"/>
          <w:u w:color="000000"/>
        </w:rPr>
        <w:t>Nature des accidents : conséquences, fréquence et gravité</w:t>
      </w:r>
    </w:p>
    <w:p w:rsidR="00B75970" w:rsidRPr="003207A4" w:rsidRDefault="00B75970" w:rsidP="00B75970">
      <w:pPr>
        <w:widowControl w:val="0"/>
        <w:tabs>
          <w:tab w:val="left" w:pos="220"/>
          <w:tab w:val="left" w:pos="720"/>
        </w:tabs>
        <w:autoSpaceDE w:val="0"/>
        <w:autoSpaceDN w:val="0"/>
        <w:adjustRightInd w:val="0"/>
        <w:rPr>
          <w:rFonts w:ascii="Arial" w:eastAsia="Cambria" w:hAnsi="Arial" w:cs="Times"/>
          <w:b/>
          <w:bCs/>
          <w:color w:val="000000"/>
          <w:sz w:val="22"/>
          <w:szCs w:val="22"/>
          <w:u w:color="000000"/>
        </w:rPr>
      </w:pPr>
    </w:p>
    <w:p w:rsidR="00B75970" w:rsidRPr="003207A4" w:rsidRDefault="00B75970" w:rsidP="00B75970">
      <w:pPr>
        <w:widowControl w:val="0"/>
        <w:autoSpaceDE w:val="0"/>
        <w:autoSpaceDN w:val="0"/>
        <w:adjustRightInd w:val="0"/>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En 2011 et 2012 les conséquences des accidents selon leur nature se déclinent comme suit :</w:t>
      </w:r>
    </w:p>
    <w:p w:rsidR="00B75970" w:rsidRPr="003207A4" w:rsidRDefault="00B75970" w:rsidP="00B75970">
      <w:pPr>
        <w:widowControl w:val="0"/>
        <w:autoSpaceDE w:val="0"/>
        <w:autoSpaceDN w:val="0"/>
        <w:adjustRightInd w:val="0"/>
        <w:rPr>
          <w:rFonts w:ascii="Arial" w:eastAsia="Cambria" w:hAnsi="Arial" w:cs="Times"/>
          <w:b/>
          <w:bCs/>
          <w:color w:val="000000"/>
          <w:sz w:val="22"/>
          <w:szCs w:val="22"/>
          <w:u w:color="000000"/>
        </w:rPr>
      </w:pPr>
    </w:p>
    <w:p w:rsidR="00B75970" w:rsidRDefault="00B75970" w:rsidP="00B75970">
      <w:pPr>
        <w:widowControl w:val="0"/>
        <w:autoSpaceDE w:val="0"/>
        <w:autoSpaceDN w:val="0"/>
        <w:adjustRightInd w:val="0"/>
        <w:jc w:val="center"/>
        <w:rPr>
          <w:rFonts w:ascii="Arial" w:eastAsia="Cambria" w:hAnsi="Arial" w:cs="Times"/>
          <w:b/>
          <w:color w:val="000000"/>
          <w:u w:color="000000"/>
        </w:rPr>
      </w:pPr>
      <w:r w:rsidRPr="00E65FC5">
        <w:rPr>
          <w:rFonts w:ascii="Arial" w:eastAsia="Cambria" w:hAnsi="Arial" w:cs="Times"/>
          <w:b/>
          <w:color w:val="000000"/>
          <w:u w:color="000000"/>
        </w:rPr>
        <w:t>Conséquences des accidents par nature de l'accident (travail et trajet)</w:t>
      </w:r>
    </w:p>
    <w:p w:rsidR="00B75970" w:rsidRDefault="00B75970" w:rsidP="00B75970">
      <w:pPr>
        <w:widowControl w:val="0"/>
        <w:autoSpaceDE w:val="0"/>
        <w:autoSpaceDN w:val="0"/>
        <w:adjustRightInd w:val="0"/>
        <w:rPr>
          <w:rFonts w:ascii="Arial" w:eastAsia="Cambria" w:hAnsi="Arial" w:cs="Times"/>
          <w:b/>
          <w:color w:val="000000"/>
          <w:u w:color="000000"/>
        </w:rPr>
      </w:pPr>
      <w:r w:rsidRPr="00E65FC5">
        <w:rPr>
          <w:noProof/>
          <w:lang w:eastAsia="fr-FR"/>
        </w:rPr>
        <w:drawing>
          <wp:anchor distT="0" distB="0" distL="114300" distR="114300" simplePos="0" relativeHeight="251813888" behindDoc="1" locked="0" layoutInCell="1" allowOverlap="1" wp14:anchorId="5F84054A" wp14:editId="66CBE2B0">
            <wp:simplePos x="0" y="0"/>
            <wp:positionH relativeFrom="margin">
              <wp:align>center</wp:align>
            </wp:positionH>
            <wp:positionV relativeFrom="paragraph">
              <wp:posOffset>165100</wp:posOffset>
            </wp:positionV>
            <wp:extent cx="6944995" cy="2076450"/>
            <wp:effectExtent l="0" t="0" r="8255" b="0"/>
            <wp:wrapTight wrapText="bothSides">
              <wp:wrapPolygon edited="0">
                <wp:start x="0" y="0"/>
                <wp:lineTo x="0" y="21402"/>
                <wp:lineTo x="21566" y="21402"/>
                <wp:lineTo x="21566" y="0"/>
                <wp:lineTo x="0" y="0"/>
              </wp:wrapPolygon>
            </wp:wrapTight>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94499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5970" w:rsidRPr="00E65FC5" w:rsidRDefault="00B75970" w:rsidP="00B75970">
      <w:pPr>
        <w:widowControl w:val="0"/>
        <w:autoSpaceDE w:val="0"/>
        <w:autoSpaceDN w:val="0"/>
        <w:adjustRightInd w:val="0"/>
        <w:rPr>
          <w:rFonts w:ascii="Arial" w:eastAsia="Cambria" w:hAnsi="Arial" w:cs="Times"/>
          <w:b/>
          <w:color w:val="000000"/>
          <w:u w:color="000000"/>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sz w:val="22"/>
          <w:szCs w:val="22"/>
          <w:lang w:eastAsia="fr-FR"/>
        </w:rPr>
        <w:lastRenderedPageBreak/>
        <w:t>En 2012 et 2013, les conséquences des accidents selon leur nature se déclinent comme suit :</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Les chutes de personnes, les accidents catégorisés « autres » et les accidents de manutention sont les plus importants en nombre comme en nombre de jours d'arrêt.</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Le nombre moyen de jours d'arrêt par accident, tous accidents confondus est de 13,74 jours en 2013 (14,09 jours en 2012).</w:t>
      </w: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Les accidents de la route en ont généré en moyenne 12,86 (20,29 en 2012), les manutentions 15,1 (15,46 en 2012) et les agressions 5,9 (15,42 en 2012).</w:t>
      </w:r>
    </w:p>
    <w:p w:rsidR="00B75970" w:rsidRPr="003207A4" w:rsidRDefault="00B75970" w:rsidP="00B75970">
      <w:pPr>
        <w:widowControl w:val="0"/>
        <w:autoSpaceDE w:val="0"/>
        <w:autoSpaceDN w:val="0"/>
        <w:adjustRightInd w:val="0"/>
        <w:jc w:val="both"/>
        <w:rPr>
          <w:rFonts w:ascii="Arial" w:eastAsia="Cambria" w:hAnsi="Arial" w:cs="Arial"/>
          <w:color w:val="000000"/>
          <w:sz w:val="22"/>
          <w:szCs w:val="22"/>
          <w:u w:color="000000"/>
        </w:rPr>
      </w:pPr>
    </w:p>
    <w:p w:rsidR="00B75970" w:rsidRPr="00EC76BE" w:rsidRDefault="00B75970" w:rsidP="00B75970">
      <w:pPr>
        <w:widowControl w:val="0"/>
        <w:autoSpaceDE w:val="0"/>
        <w:autoSpaceDN w:val="0"/>
        <w:adjustRightInd w:val="0"/>
        <w:jc w:val="center"/>
        <w:rPr>
          <w:rFonts w:ascii="Arial" w:eastAsia="Cambria" w:hAnsi="Arial" w:cs="Times"/>
          <w:b/>
          <w:color w:val="000000"/>
          <w:u w:color="000000"/>
        </w:rPr>
      </w:pPr>
      <w:r w:rsidRPr="00EC76BE">
        <w:rPr>
          <w:rFonts w:ascii="Arial" w:eastAsia="Cambria" w:hAnsi="Arial" w:cs="Times"/>
          <w:b/>
          <w:color w:val="000000"/>
          <w:u w:color="000000"/>
        </w:rPr>
        <w:t>Fréquence et gravité des accidents selon la nature de l'accident (travail et trajet)</w:t>
      </w:r>
    </w:p>
    <w:p w:rsidR="00B75970" w:rsidRPr="00EB6E0B" w:rsidRDefault="00B75970" w:rsidP="00B75970">
      <w:pPr>
        <w:widowControl w:val="0"/>
        <w:autoSpaceDE w:val="0"/>
        <w:autoSpaceDN w:val="0"/>
        <w:adjustRightInd w:val="0"/>
        <w:rPr>
          <w:rFonts w:ascii="Arial" w:eastAsia="Cambria" w:hAnsi="Arial" w:cs="Times"/>
          <w:color w:val="000000"/>
          <w:u w:color="000000"/>
        </w:rPr>
      </w:pPr>
      <w:r w:rsidRPr="00EC76BE">
        <w:rPr>
          <w:noProof/>
          <w:lang w:eastAsia="fr-FR"/>
        </w:rPr>
        <w:drawing>
          <wp:anchor distT="0" distB="0" distL="114300" distR="114300" simplePos="0" relativeHeight="251814912" behindDoc="1" locked="0" layoutInCell="1" allowOverlap="1" wp14:anchorId="36C46EFA" wp14:editId="28E23C05">
            <wp:simplePos x="0" y="0"/>
            <wp:positionH relativeFrom="margin">
              <wp:align>center</wp:align>
            </wp:positionH>
            <wp:positionV relativeFrom="paragraph">
              <wp:posOffset>194945</wp:posOffset>
            </wp:positionV>
            <wp:extent cx="5829300" cy="2978150"/>
            <wp:effectExtent l="0" t="0" r="0" b="0"/>
            <wp:wrapTight wrapText="bothSides">
              <wp:wrapPolygon edited="0">
                <wp:start x="0" y="0"/>
                <wp:lineTo x="0" y="21416"/>
                <wp:lineTo x="21529" y="21416"/>
                <wp:lineTo x="21529" y="18376"/>
                <wp:lineTo x="21388" y="18238"/>
                <wp:lineTo x="20329" y="17685"/>
                <wp:lineTo x="21529" y="17271"/>
                <wp:lineTo x="21529" y="11882"/>
                <wp:lineTo x="20682" y="11053"/>
                <wp:lineTo x="21529" y="10639"/>
                <wp:lineTo x="21529" y="0"/>
                <wp:lineTo x="0" y="0"/>
              </wp:wrapPolygon>
            </wp:wrapTight>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29300" cy="2978150"/>
                    </a:xfrm>
                    <a:prstGeom prst="rect">
                      <a:avLst/>
                    </a:prstGeom>
                    <a:noFill/>
                    <a:ln>
                      <a:noFill/>
                    </a:ln>
                  </pic:spPr>
                </pic:pic>
              </a:graphicData>
            </a:graphic>
          </wp:anchor>
        </w:drawing>
      </w: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numPr>
          <w:ilvl w:val="0"/>
          <w:numId w:val="7"/>
        </w:numPr>
        <w:autoSpaceDE w:val="0"/>
        <w:autoSpaceDN w:val="0"/>
        <w:adjustRightInd w:val="0"/>
        <w:contextualSpacing/>
        <w:rPr>
          <w:rFonts w:ascii="Arial" w:eastAsia="Cambria" w:hAnsi="Arial" w:cs="Times"/>
          <w:b/>
          <w:color w:val="800040"/>
          <w:u w:color="000000"/>
        </w:rPr>
      </w:pPr>
      <w:r w:rsidRPr="00EB6E0B">
        <w:rPr>
          <w:rFonts w:ascii="Arial" w:eastAsia="Cambria" w:hAnsi="Arial" w:cs="Times"/>
          <w:b/>
          <w:color w:val="800040"/>
          <w:u w:color="000000"/>
        </w:rPr>
        <w:t>Maladies professionnelles</w:t>
      </w: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3207A4" w:rsidRDefault="00B75970" w:rsidP="00B75970">
      <w:pPr>
        <w:jc w:val="both"/>
        <w:rPr>
          <w:rFonts w:ascii="Arial" w:eastAsia="Times New Roman" w:hAnsi="Arial" w:cs="Arial"/>
          <w:color w:val="000000"/>
          <w:sz w:val="22"/>
          <w:szCs w:val="22"/>
          <w:lang w:eastAsia="fr-FR"/>
        </w:rPr>
      </w:pPr>
      <w:r w:rsidRPr="003207A4">
        <w:rPr>
          <w:rFonts w:ascii="Arial" w:eastAsia="Times New Roman" w:hAnsi="Arial" w:cs="Arial"/>
          <w:color w:val="000000"/>
          <w:sz w:val="22"/>
          <w:szCs w:val="22"/>
          <w:lang w:eastAsia="fr-FR"/>
        </w:rPr>
        <w:t>Contrairement à l'accident du travail et à l'accident de trajet, il n'existe pas de définition</w:t>
      </w:r>
      <w:r w:rsidRPr="00FD1C49">
        <w:rPr>
          <w:rFonts w:ascii="Arial" w:eastAsia="Times New Roman" w:hAnsi="Arial" w:cs="Arial"/>
          <w:color w:val="000000"/>
          <w:lang w:eastAsia="fr-FR"/>
        </w:rPr>
        <w:t xml:space="preserve"> </w:t>
      </w:r>
      <w:r w:rsidRPr="003207A4">
        <w:rPr>
          <w:rFonts w:ascii="Arial" w:eastAsia="Times New Roman" w:hAnsi="Arial" w:cs="Arial"/>
          <w:color w:val="000000"/>
          <w:sz w:val="22"/>
          <w:szCs w:val="22"/>
          <w:lang w:eastAsia="fr-FR"/>
        </w:rPr>
        <w:t xml:space="preserve">légale générale de la maladie professionnelle. On peut toutefois indiquer qu'elle est la conséquence de l'exposition plus ou moins prolongée à un risque lors de l'exercice d'une activité professionnelle. </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 xml:space="preserve">Les maladies professionnelles figurent sur des tableaux spécifiques qui les recensent. Chacun de ces tableaux précise également les conditions à remplir pour une reconnaissance : délai de prise en charge, durée d'exposition au risque le cas échéant et liste de travaux effectués. </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La démarche de reconnaissance implique l'examen par un médecin expert agréé dont les conclusions sont examinées en commission de réforme.</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color w:val="000000"/>
          <w:sz w:val="22"/>
          <w:szCs w:val="22"/>
          <w:lang w:eastAsia="fr-FR"/>
        </w:rPr>
        <w:t>15 maladies professionnelles, recensées ci-dessous, ont été reconnues en 2013 (contre 10 en 2010, 16 en 2011 et 13 en 2012) : 1 en DRAC, 1 à l’école d’architecture de Nantes, 1 à la BNF, 1 à l’INRAP, 2 au musée Guimet, 1 au centre Pompidou, 3 au Mobilier national, 2 au CNAP et 3 en administration centrale.</w:t>
      </w: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r w:rsidRPr="00FD1C49">
        <w:rPr>
          <w:noProof/>
          <w:lang w:eastAsia="fr-FR"/>
        </w:rPr>
        <w:lastRenderedPageBreak/>
        <w:drawing>
          <wp:anchor distT="0" distB="0" distL="114300" distR="114300" simplePos="0" relativeHeight="251815936" behindDoc="1" locked="0" layoutInCell="1" allowOverlap="1" wp14:anchorId="0A25656F" wp14:editId="57B11017">
            <wp:simplePos x="0" y="0"/>
            <wp:positionH relativeFrom="margin">
              <wp:align>center</wp:align>
            </wp:positionH>
            <wp:positionV relativeFrom="paragraph">
              <wp:posOffset>140335</wp:posOffset>
            </wp:positionV>
            <wp:extent cx="5467350" cy="1924050"/>
            <wp:effectExtent l="0" t="0" r="0" b="0"/>
            <wp:wrapTight wrapText="bothSides">
              <wp:wrapPolygon edited="0">
                <wp:start x="0" y="0"/>
                <wp:lineTo x="0" y="21386"/>
                <wp:lineTo x="18665" y="21386"/>
                <wp:lineTo x="19643" y="20531"/>
                <wp:lineTo x="21525" y="18178"/>
                <wp:lineTo x="21525" y="17109"/>
                <wp:lineTo x="20396" y="13259"/>
                <wp:lineTo x="20020" y="12404"/>
                <wp:lineTo x="18665" y="10265"/>
                <wp:lineTo x="21525" y="10265"/>
                <wp:lineTo x="21525" y="7271"/>
                <wp:lineTo x="20546" y="6844"/>
                <wp:lineTo x="21525" y="5774"/>
                <wp:lineTo x="21525" y="0"/>
                <wp:lineTo x="0" y="0"/>
              </wp:wrapPolygon>
            </wp:wrapTight>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67350" cy="1924050"/>
                    </a:xfrm>
                    <a:prstGeom prst="rect">
                      <a:avLst/>
                    </a:prstGeom>
                    <a:noFill/>
                    <a:ln>
                      <a:noFill/>
                    </a:ln>
                  </pic:spPr>
                </pic:pic>
              </a:graphicData>
            </a:graphic>
          </wp:anchor>
        </w:drawing>
      </w: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Pr="00EB6E0B" w:rsidRDefault="00B75970" w:rsidP="00B75970">
      <w:pPr>
        <w:widowControl w:val="0"/>
        <w:numPr>
          <w:ilvl w:val="0"/>
          <w:numId w:val="7"/>
        </w:numPr>
        <w:autoSpaceDE w:val="0"/>
        <w:autoSpaceDN w:val="0"/>
        <w:adjustRightInd w:val="0"/>
        <w:contextualSpacing/>
        <w:rPr>
          <w:rFonts w:ascii="Arial" w:eastAsia="Cambria" w:hAnsi="Arial" w:cs="Times"/>
          <w:b/>
          <w:color w:val="800040"/>
          <w:u w:color="000000"/>
        </w:rPr>
      </w:pPr>
      <w:r w:rsidRPr="00EB6E0B">
        <w:rPr>
          <w:rFonts w:ascii="Arial" w:eastAsia="Cambria" w:hAnsi="Arial" w:cs="Times"/>
          <w:b/>
          <w:color w:val="800040"/>
          <w:u w:color="000000"/>
        </w:rPr>
        <w:t>Incapacités permanentes partielles suite à un accident ou à une maladie professionnelle</w:t>
      </w:r>
    </w:p>
    <w:p w:rsidR="00B75970" w:rsidRPr="00EB6E0B" w:rsidRDefault="00B75970" w:rsidP="00B75970">
      <w:pPr>
        <w:widowControl w:val="0"/>
        <w:autoSpaceDE w:val="0"/>
        <w:autoSpaceDN w:val="0"/>
        <w:adjustRightInd w:val="0"/>
        <w:rPr>
          <w:rFonts w:ascii="Arial" w:eastAsia="Cambria" w:hAnsi="Arial" w:cs="Times"/>
          <w:color w:val="000000"/>
          <w:u w:color="000000"/>
        </w:rPr>
      </w:pPr>
    </w:p>
    <w:p w:rsidR="00B75970" w:rsidRPr="003207A4" w:rsidRDefault="00B75970" w:rsidP="00B75970">
      <w:pPr>
        <w:jc w:val="both"/>
        <w:rPr>
          <w:rFonts w:ascii="Arial" w:eastAsia="Times New Roman" w:hAnsi="Arial" w:cs="Arial"/>
          <w:color w:val="000000"/>
          <w:sz w:val="22"/>
          <w:szCs w:val="22"/>
          <w:lang w:eastAsia="fr-FR"/>
        </w:rPr>
      </w:pPr>
      <w:r w:rsidRPr="003207A4">
        <w:rPr>
          <w:rFonts w:ascii="Arial" w:eastAsia="Times New Roman" w:hAnsi="Arial" w:cs="Arial"/>
          <w:color w:val="000000"/>
          <w:sz w:val="22"/>
          <w:szCs w:val="22"/>
          <w:lang w:eastAsia="fr-FR"/>
        </w:rPr>
        <w:t>L'incapacité permanente partielle (IPP), est un pourcentage exprimant l'importance des séquelles qui subsistent définitivement et qui diminuent la capacité physique d'une personne qui a été victime d'un accident du travail ou d'une maladie professionnelle.</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color w:val="000000"/>
          <w:sz w:val="22"/>
          <w:szCs w:val="22"/>
          <w:lang w:eastAsia="fr-FR"/>
        </w:rPr>
      </w:pPr>
      <w:r w:rsidRPr="003207A4">
        <w:rPr>
          <w:rFonts w:ascii="Arial" w:eastAsia="Times New Roman" w:hAnsi="Arial" w:cs="Arial"/>
          <w:color w:val="000000"/>
          <w:sz w:val="22"/>
          <w:szCs w:val="22"/>
          <w:lang w:eastAsia="fr-FR"/>
        </w:rPr>
        <w:t>Ce taux d'invalidité est évalué après la date de consolidation, sur le fondement d'une consultation auprès d'un expert agréé, puis examiné en commission de réforme. La date de consolidation correspond au moment à partir duquel l'état de la personne est considéré comme permanent (lorsqu'elle ne reçoit plus de soins ou que les seuls soins qu'elle reçoit ont pour but d'empêcher l’aggravation de son état).</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color w:val="000000"/>
          <w:sz w:val="22"/>
          <w:szCs w:val="22"/>
          <w:lang w:eastAsia="fr-FR"/>
        </w:rPr>
      </w:pPr>
      <w:r w:rsidRPr="003207A4">
        <w:rPr>
          <w:rFonts w:ascii="Arial" w:eastAsia="Times New Roman" w:hAnsi="Arial" w:cs="Arial"/>
          <w:color w:val="000000"/>
          <w:sz w:val="22"/>
          <w:szCs w:val="22"/>
          <w:lang w:eastAsia="fr-FR"/>
        </w:rPr>
        <w:t>Un taux supérieur à 10% ouvre droit au versement d'une rente.</w:t>
      </w:r>
    </w:p>
    <w:p w:rsidR="00B75970" w:rsidRPr="003207A4" w:rsidRDefault="00B75970" w:rsidP="00B75970">
      <w:pPr>
        <w:jc w:val="both"/>
        <w:rPr>
          <w:rFonts w:ascii="Arial" w:eastAsia="Times New Roman" w:hAnsi="Arial" w:cs="Arial"/>
          <w:sz w:val="22"/>
          <w:szCs w:val="22"/>
          <w:lang w:eastAsia="fr-FR"/>
        </w:rPr>
      </w:pPr>
    </w:p>
    <w:p w:rsidR="00B75970" w:rsidRPr="003207A4" w:rsidRDefault="00B75970" w:rsidP="00B75970">
      <w:pPr>
        <w:jc w:val="both"/>
        <w:rPr>
          <w:rFonts w:ascii="Arial" w:eastAsia="Times New Roman" w:hAnsi="Arial" w:cs="Arial"/>
          <w:sz w:val="22"/>
          <w:szCs w:val="22"/>
          <w:lang w:eastAsia="fr-FR"/>
        </w:rPr>
      </w:pPr>
      <w:r w:rsidRPr="003207A4">
        <w:rPr>
          <w:rFonts w:ascii="Arial" w:eastAsia="Times New Roman" w:hAnsi="Arial" w:cs="Arial"/>
          <w:b/>
          <w:bCs/>
          <w:color w:val="000000"/>
          <w:sz w:val="22"/>
          <w:szCs w:val="22"/>
          <w:lang w:eastAsia="fr-FR"/>
        </w:rPr>
        <w:t xml:space="preserve">16 </w:t>
      </w:r>
      <w:r w:rsidRPr="003207A4">
        <w:rPr>
          <w:rFonts w:ascii="Arial" w:eastAsia="Times New Roman" w:hAnsi="Arial" w:cs="Arial"/>
          <w:color w:val="000000"/>
          <w:sz w:val="22"/>
          <w:szCs w:val="22"/>
          <w:lang w:eastAsia="fr-FR"/>
        </w:rPr>
        <w:t xml:space="preserve">suites d'accidents ou de maladies professionnelles ont occasionné des IPP en </w:t>
      </w:r>
      <w:r w:rsidRPr="003207A4">
        <w:rPr>
          <w:rFonts w:ascii="Arial" w:eastAsia="Times New Roman" w:hAnsi="Arial" w:cs="Arial"/>
          <w:b/>
          <w:bCs/>
          <w:color w:val="000000"/>
          <w:sz w:val="22"/>
          <w:szCs w:val="22"/>
          <w:lang w:eastAsia="fr-FR"/>
        </w:rPr>
        <w:t>2013 :</w:t>
      </w:r>
    </w:p>
    <w:p w:rsidR="00B75970" w:rsidRPr="00EB6E0B" w:rsidRDefault="00B75970" w:rsidP="00B75970">
      <w:pPr>
        <w:widowControl w:val="0"/>
        <w:autoSpaceDE w:val="0"/>
        <w:autoSpaceDN w:val="0"/>
        <w:adjustRightInd w:val="0"/>
        <w:spacing w:after="120"/>
        <w:jc w:val="both"/>
        <w:rPr>
          <w:rFonts w:ascii="Arial" w:eastAsia="Cambria" w:hAnsi="Arial" w:cs="Times"/>
          <w:color w:val="000000"/>
          <w:u w:color="000000"/>
        </w:rPr>
      </w:pPr>
      <w:r w:rsidRPr="002C2629">
        <w:rPr>
          <w:noProof/>
          <w:lang w:eastAsia="fr-FR"/>
        </w:rPr>
        <w:drawing>
          <wp:anchor distT="0" distB="0" distL="114300" distR="114300" simplePos="0" relativeHeight="251816960" behindDoc="1" locked="0" layoutInCell="1" allowOverlap="1" wp14:anchorId="3EC3281C" wp14:editId="5FE68745">
            <wp:simplePos x="0" y="0"/>
            <wp:positionH relativeFrom="margin">
              <wp:align>center</wp:align>
            </wp:positionH>
            <wp:positionV relativeFrom="paragraph">
              <wp:posOffset>267970</wp:posOffset>
            </wp:positionV>
            <wp:extent cx="6427470" cy="2901950"/>
            <wp:effectExtent l="0" t="0" r="0" b="0"/>
            <wp:wrapTight wrapText="bothSides">
              <wp:wrapPolygon edited="0">
                <wp:start x="0" y="0"/>
                <wp:lineTo x="0" y="21411"/>
                <wp:lineTo x="20166" y="21411"/>
                <wp:lineTo x="21062" y="21127"/>
                <wp:lineTo x="21062" y="20418"/>
                <wp:lineTo x="21510" y="20277"/>
                <wp:lineTo x="21510" y="19000"/>
                <wp:lineTo x="21126" y="18150"/>
                <wp:lineTo x="21510" y="17866"/>
                <wp:lineTo x="21510" y="16590"/>
                <wp:lineTo x="21126" y="15881"/>
                <wp:lineTo x="21510" y="15314"/>
                <wp:lineTo x="21510" y="14179"/>
                <wp:lineTo x="21062" y="13612"/>
                <wp:lineTo x="21510" y="12903"/>
                <wp:lineTo x="21510" y="9075"/>
                <wp:lineTo x="20934" y="9075"/>
                <wp:lineTo x="21510" y="8082"/>
                <wp:lineTo x="21510" y="5672"/>
                <wp:lineTo x="20934" y="4679"/>
                <wp:lineTo x="21510" y="4537"/>
                <wp:lineTo x="21510" y="0"/>
                <wp:lineTo x="0" y="0"/>
              </wp:wrapPolygon>
            </wp:wrapTight>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427470" cy="290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5970" w:rsidRPr="00EB6E0B" w:rsidRDefault="00B75970" w:rsidP="00B75970">
      <w:pPr>
        <w:widowControl w:val="0"/>
        <w:autoSpaceDE w:val="0"/>
        <w:autoSpaceDN w:val="0"/>
        <w:adjustRightInd w:val="0"/>
        <w:spacing w:after="120"/>
        <w:jc w:val="both"/>
        <w:rPr>
          <w:rFonts w:ascii="Arial" w:eastAsia="Cambria" w:hAnsi="Arial" w:cs="Times"/>
          <w:color w:val="000000"/>
          <w:u w:color="000000"/>
        </w:rPr>
      </w:pPr>
    </w:p>
    <w:p w:rsidR="00B75970" w:rsidRDefault="00B75970" w:rsidP="00B75970">
      <w:pPr>
        <w:rPr>
          <w:rFonts w:ascii="Arial" w:eastAsia="Cambria" w:hAnsi="Arial" w:cs="Times New Roman"/>
        </w:rPr>
      </w:pPr>
      <w:r>
        <w:rPr>
          <w:rFonts w:ascii="Arial" w:eastAsia="Cambria" w:hAnsi="Arial" w:cs="Times New Roman"/>
        </w:rPr>
        <w:br w:type="page"/>
      </w:r>
    </w:p>
    <w:p w:rsidR="00B75970" w:rsidRPr="00EB6E0B" w:rsidRDefault="00B75970" w:rsidP="00B75970">
      <w:pPr>
        <w:rPr>
          <w:rFonts w:ascii="Arial" w:eastAsia="Cambria" w:hAnsi="Arial" w:cs="Times New Roman"/>
        </w:rPr>
      </w:pPr>
    </w:p>
    <w:p w:rsidR="00B75970" w:rsidRPr="00716D86" w:rsidRDefault="00B75970" w:rsidP="00B75970">
      <w:pPr>
        <w:tabs>
          <w:tab w:val="left" w:pos="1220"/>
        </w:tabs>
        <w:rPr>
          <w:rFonts w:ascii="Florencesans Exp" w:eastAsia="Cambria" w:hAnsi="Florencesans Exp" w:cs="Times New Roman"/>
          <w:b/>
          <w:color w:val="800040"/>
          <w:sz w:val="28"/>
        </w:rPr>
      </w:pPr>
      <w:r w:rsidRPr="00716D86">
        <w:rPr>
          <w:rFonts w:ascii="Florencesans Exp" w:eastAsia="Cambria" w:hAnsi="Florencesans Exp" w:cs="Times New Roman"/>
          <w:b/>
          <w:color w:val="800040"/>
          <w:sz w:val="28"/>
        </w:rPr>
        <w:t xml:space="preserve">4. C. </w:t>
      </w:r>
      <w:r w:rsidRPr="007E1F51">
        <w:rPr>
          <w:rFonts w:ascii="Florencesans Exp" w:eastAsia="Cambria" w:hAnsi="Florencesans Exp" w:cs="Times New Roman"/>
          <w:b/>
          <w:color w:val="800040"/>
          <w:sz w:val="28"/>
        </w:rPr>
        <w:t>LES COMITES D’HYGIENE ET DE SECURITE</w:t>
      </w:r>
    </w:p>
    <w:p w:rsidR="00B75970" w:rsidRPr="00EB6E0B" w:rsidRDefault="00B75970" w:rsidP="00B75970">
      <w:pPr>
        <w:tabs>
          <w:tab w:val="left" w:pos="1220"/>
        </w:tabs>
        <w:rPr>
          <w:rFonts w:ascii="BlairMdITC TT-Medium" w:eastAsia="Cambria" w:hAnsi="BlairMdITC TT-Medium" w:cs="Times New Roman"/>
          <w:b/>
          <w:color w:val="800040"/>
          <w:sz w:val="28"/>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 xml:space="preserve">La nouvelle organisation du ministère implique une évolution de la structuration des comités techniques (CT). L’article 32-2 du décret 82-453 du 28 mai 1982 implique que les </w:t>
      </w:r>
      <w:r w:rsidR="00250AFD">
        <w:rPr>
          <w:rFonts w:ascii="Arial" w:eastAsia="Cambria" w:hAnsi="Arial" w:cs="Times"/>
          <w:color w:val="000000"/>
          <w:sz w:val="22"/>
          <w:szCs w:val="22"/>
        </w:rPr>
        <w:t>Comités d’Hygiène et de Sécurité (</w:t>
      </w:r>
      <w:r w:rsidRPr="003207A4">
        <w:rPr>
          <w:rFonts w:ascii="Arial" w:eastAsia="Cambria" w:hAnsi="Arial" w:cs="Times"/>
          <w:color w:val="000000"/>
          <w:sz w:val="22"/>
          <w:szCs w:val="22"/>
        </w:rPr>
        <w:t>CHS</w:t>
      </w:r>
      <w:r w:rsidR="00250AFD">
        <w:rPr>
          <w:rFonts w:ascii="Arial" w:eastAsia="Cambria" w:hAnsi="Arial" w:cs="Times"/>
          <w:color w:val="000000"/>
          <w:sz w:val="22"/>
          <w:szCs w:val="22"/>
        </w:rPr>
        <w:t>)</w:t>
      </w:r>
      <w:r w:rsidRPr="003207A4">
        <w:rPr>
          <w:rFonts w:ascii="Arial" w:eastAsia="Cambria" w:hAnsi="Arial" w:cs="Times"/>
          <w:color w:val="000000"/>
          <w:sz w:val="22"/>
          <w:szCs w:val="22"/>
        </w:rPr>
        <w:t xml:space="preserve"> sont impactés par cette évolution. En effet, l'existence d’un </w:t>
      </w:r>
      <w:r w:rsidR="00250AFD">
        <w:rPr>
          <w:rFonts w:ascii="Arial" w:eastAsia="Cambria" w:hAnsi="Arial" w:cs="Times"/>
          <w:color w:val="000000"/>
          <w:sz w:val="22"/>
          <w:szCs w:val="22"/>
        </w:rPr>
        <w:t>Comité d’Hygiène, de Sécurité</w:t>
      </w:r>
      <w:r w:rsidR="00250AFD" w:rsidRPr="003207A4">
        <w:rPr>
          <w:rFonts w:ascii="Arial" w:eastAsia="Cambria" w:hAnsi="Arial" w:cs="Times"/>
          <w:color w:val="000000"/>
          <w:sz w:val="22"/>
          <w:szCs w:val="22"/>
        </w:rPr>
        <w:t xml:space="preserve"> </w:t>
      </w:r>
      <w:r w:rsidR="00250AFD">
        <w:rPr>
          <w:rFonts w:ascii="Arial" w:eastAsia="Cambria" w:hAnsi="Arial" w:cs="Times"/>
          <w:color w:val="000000"/>
          <w:sz w:val="22"/>
          <w:szCs w:val="22"/>
        </w:rPr>
        <w:t>et des Conditions de Travail (</w:t>
      </w:r>
      <w:r w:rsidRPr="003207A4">
        <w:rPr>
          <w:rFonts w:ascii="Arial" w:eastAsia="Cambria" w:hAnsi="Arial" w:cs="Times"/>
          <w:color w:val="000000"/>
          <w:sz w:val="22"/>
          <w:szCs w:val="22"/>
        </w:rPr>
        <w:t>CHSCT</w:t>
      </w:r>
      <w:r w:rsidR="00250AFD">
        <w:rPr>
          <w:rFonts w:ascii="Arial" w:eastAsia="Cambria" w:hAnsi="Arial" w:cs="Times"/>
          <w:color w:val="000000"/>
          <w:sz w:val="22"/>
          <w:szCs w:val="22"/>
        </w:rPr>
        <w:t>)</w:t>
      </w:r>
      <w:r w:rsidRPr="003207A4">
        <w:rPr>
          <w:rFonts w:ascii="Arial" w:eastAsia="Cambria" w:hAnsi="Arial" w:cs="Times"/>
          <w:color w:val="000000"/>
          <w:sz w:val="22"/>
          <w:szCs w:val="22"/>
        </w:rPr>
        <w:t xml:space="preserve"> s’impose et a pour vocation d'assister le CT couvrant le même périmètre sur tout sujet relatif à l'hygiène, la sécurité et les conditions de travail.</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Un examen commun par l’inspection d’hygiène et de sécurité et le bureau de l'action sociale et de la prévention (BASP), éclairé par la D</w:t>
      </w:r>
      <w:r w:rsidR="00250AFD">
        <w:rPr>
          <w:rFonts w:ascii="Arial" w:eastAsia="Cambria" w:hAnsi="Arial" w:cs="Times"/>
          <w:color w:val="000000"/>
          <w:sz w:val="22"/>
          <w:szCs w:val="22"/>
        </w:rPr>
        <w:t xml:space="preserve">irection </w:t>
      </w:r>
      <w:r w:rsidRPr="003207A4">
        <w:rPr>
          <w:rFonts w:ascii="Arial" w:eastAsia="Cambria" w:hAnsi="Arial" w:cs="Times"/>
          <w:color w:val="000000"/>
          <w:sz w:val="22"/>
          <w:szCs w:val="22"/>
        </w:rPr>
        <w:t>G</w:t>
      </w:r>
      <w:r w:rsidR="00250AFD">
        <w:rPr>
          <w:rFonts w:ascii="Arial" w:eastAsia="Cambria" w:hAnsi="Arial" w:cs="Times"/>
          <w:color w:val="000000"/>
          <w:sz w:val="22"/>
          <w:szCs w:val="22"/>
        </w:rPr>
        <w:t>énérale de l’</w:t>
      </w:r>
      <w:r w:rsidRPr="003207A4">
        <w:rPr>
          <w:rFonts w:ascii="Arial" w:eastAsia="Cambria" w:hAnsi="Arial" w:cs="Times"/>
          <w:color w:val="000000"/>
          <w:sz w:val="22"/>
          <w:szCs w:val="22"/>
        </w:rPr>
        <w:t>A</w:t>
      </w:r>
      <w:r w:rsidR="00250AFD">
        <w:rPr>
          <w:rFonts w:ascii="Arial" w:eastAsia="Cambria" w:hAnsi="Arial" w:cs="Times"/>
          <w:color w:val="000000"/>
          <w:sz w:val="22"/>
          <w:szCs w:val="22"/>
        </w:rPr>
        <w:t xml:space="preserve">dministration et de la </w:t>
      </w:r>
      <w:r w:rsidRPr="003207A4">
        <w:rPr>
          <w:rFonts w:ascii="Arial" w:eastAsia="Cambria" w:hAnsi="Arial" w:cs="Times"/>
          <w:color w:val="000000"/>
          <w:sz w:val="22"/>
          <w:szCs w:val="22"/>
        </w:rPr>
        <w:t>F</w:t>
      </w:r>
      <w:r w:rsidR="00250AFD">
        <w:rPr>
          <w:rFonts w:ascii="Arial" w:eastAsia="Cambria" w:hAnsi="Arial" w:cs="Times"/>
          <w:color w:val="000000"/>
          <w:sz w:val="22"/>
          <w:szCs w:val="22"/>
        </w:rPr>
        <w:t xml:space="preserve">onction </w:t>
      </w:r>
      <w:r w:rsidRPr="003207A4">
        <w:rPr>
          <w:rFonts w:ascii="Arial" w:eastAsia="Cambria" w:hAnsi="Arial" w:cs="Times"/>
          <w:color w:val="000000"/>
          <w:sz w:val="22"/>
          <w:szCs w:val="22"/>
        </w:rPr>
        <w:t>P</w:t>
      </w:r>
      <w:r w:rsidR="00250AFD">
        <w:rPr>
          <w:rFonts w:ascii="Arial" w:eastAsia="Cambria" w:hAnsi="Arial" w:cs="Times"/>
          <w:color w:val="000000"/>
          <w:sz w:val="22"/>
          <w:szCs w:val="22"/>
        </w:rPr>
        <w:t>ublique (DGAFP)</w:t>
      </w:r>
      <w:r w:rsidRPr="003207A4">
        <w:rPr>
          <w:rFonts w:ascii="Arial" w:eastAsia="Cambria" w:hAnsi="Arial" w:cs="Times"/>
          <w:color w:val="000000"/>
          <w:sz w:val="22"/>
          <w:szCs w:val="22"/>
        </w:rPr>
        <w:t xml:space="preserve">, a permis de valider une proposition de structuration et d'architecture des CHSCT.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Les lignes fondatrices et directrices de cette proposition découlent de l’article 32-1 du même décret. Elles constituent le guide de cette proposition et en garantissent la lisibilité.</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 xml:space="preserve">Ces lignes directrices sont au nombre de trois. Un CHS spécial peut être créé lorsque :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numPr>
          <w:ilvl w:val="0"/>
          <w:numId w:val="8"/>
        </w:numPr>
        <w:tabs>
          <w:tab w:val="left" w:pos="220"/>
          <w:tab w:val="left" w:pos="720"/>
        </w:tabs>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un regroupement d’agent dans un même immeuble ou ensemble d’immeubles le rend nécessaire ;</w:t>
      </w:r>
    </w:p>
    <w:p w:rsidR="00B75970" w:rsidRPr="003207A4" w:rsidRDefault="00B75970" w:rsidP="00B75970">
      <w:pPr>
        <w:widowControl w:val="0"/>
        <w:numPr>
          <w:ilvl w:val="0"/>
          <w:numId w:val="8"/>
        </w:numPr>
        <w:tabs>
          <w:tab w:val="left" w:pos="220"/>
          <w:tab w:val="left" w:pos="720"/>
        </w:tabs>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un risque professionnel le justifie ;</w:t>
      </w:r>
    </w:p>
    <w:p w:rsidR="00B75970" w:rsidRPr="003207A4" w:rsidRDefault="00B75970" w:rsidP="00B75970">
      <w:pPr>
        <w:widowControl w:val="0"/>
        <w:numPr>
          <w:ilvl w:val="0"/>
          <w:numId w:val="8"/>
        </w:numPr>
        <w:tabs>
          <w:tab w:val="left" w:pos="220"/>
          <w:tab w:val="left" w:pos="720"/>
        </w:tabs>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au moins 50 agents sont concernés.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Enfin seule la création d’un comité d'hygiène, de sécurité et des conditions de travail ministériel (CHSCTM) est obligatoire.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A partir de ces axes réglementaires, trois CHSCT sont mis</w:t>
      </w:r>
      <w:r w:rsidR="00250AFD">
        <w:rPr>
          <w:rFonts w:ascii="Arial" w:eastAsia="Cambria" w:hAnsi="Arial" w:cs="Times"/>
          <w:color w:val="000000"/>
          <w:sz w:val="22"/>
          <w:szCs w:val="22"/>
        </w:rPr>
        <w:t xml:space="preserve"> en place au niveau central et </w:t>
      </w:r>
      <w:r w:rsidR="00250AFD">
        <w:rPr>
          <w:rFonts w:ascii="Arial" w:eastAsia="Cambria" w:hAnsi="Arial" w:cs="Times"/>
          <w:color w:val="000000"/>
          <w:sz w:val="22"/>
          <w:szCs w:val="22"/>
        </w:rPr>
        <w:br/>
      </w:r>
      <w:r w:rsidRPr="003207A4">
        <w:rPr>
          <w:rFonts w:ascii="Arial" w:eastAsia="Cambria" w:hAnsi="Arial" w:cs="Times"/>
          <w:color w:val="000000"/>
          <w:sz w:val="22"/>
          <w:szCs w:val="22"/>
        </w:rPr>
        <w:t xml:space="preserve">ministériel :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 xml:space="preserve">1) Le </w:t>
      </w:r>
      <w:r w:rsidRPr="003207A4">
        <w:rPr>
          <w:rFonts w:ascii="Arial" w:eastAsia="Cambria" w:hAnsi="Arial" w:cs="Times"/>
          <w:b/>
          <w:bCs/>
          <w:color w:val="000000"/>
          <w:sz w:val="22"/>
          <w:szCs w:val="22"/>
        </w:rPr>
        <w:t>CHSCT Central</w:t>
      </w:r>
      <w:r w:rsidRPr="003207A4">
        <w:rPr>
          <w:rFonts w:ascii="Arial" w:eastAsia="Cambria" w:hAnsi="Arial" w:cs="Times"/>
          <w:color w:val="000000"/>
          <w:sz w:val="22"/>
          <w:szCs w:val="22"/>
        </w:rPr>
        <w:t xml:space="preserve"> est confirmé avec l'évolution de son périmètre.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Il connaît, dans la nouvelle configuration, des conditions de travail des agents d’administration centrale installés aux Bons Enfants (DGPAT, DGMIC, SG), Pyramides (DGPAT, DGLFLF), rue Beaubourg (DGCA), Saint Cyr (SDSI), Valois, rue du Renard et rue de Louvois. La composante « archives » de la DGPAT n'est pas comprise dans son ressort (cf. ci-dessous).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r w:rsidRPr="003207A4">
        <w:rPr>
          <w:rFonts w:ascii="Arial" w:eastAsia="Cambria" w:hAnsi="Arial" w:cs="Times"/>
          <w:color w:val="000000"/>
          <w:sz w:val="22"/>
          <w:szCs w:val="22"/>
        </w:rPr>
        <w:t xml:space="preserve">2) Un </w:t>
      </w:r>
      <w:r w:rsidRPr="003207A4">
        <w:rPr>
          <w:rFonts w:ascii="Arial" w:eastAsia="Cambria" w:hAnsi="Arial" w:cs="Times"/>
          <w:b/>
          <w:bCs/>
          <w:color w:val="000000"/>
          <w:sz w:val="22"/>
          <w:szCs w:val="22"/>
        </w:rPr>
        <w:t>CHSCT « Patrimoines »</w:t>
      </w:r>
      <w:r w:rsidRPr="003207A4">
        <w:rPr>
          <w:rFonts w:ascii="Arial" w:eastAsia="Cambria" w:hAnsi="Arial" w:cs="Times"/>
          <w:color w:val="000000"/>
          <w:sz w:val="22"/>
          <w:szCs w:val="22"/>
        </w:rPr>
        <w:t xml:space="preserve"> se substitue aux CHS D</w:t>
      </w:r>
      <w:r w:rsidR="00250AFD">
        <w:rPr>
          <w:rFonts w:ascii="Arial" w:eastAsia="Cambria" w:hAnsi="Arial" w:cs="Times"/>
          <w:color w:val="000000"/>
          <w:sz w:val="22"/>
          <w:szCs w:val="22"/>
        </w:rPr>
        <w:t xml:space="preserve">irection des </w:t>
      </w:r>
      <w:r w:rsidRPr="003207A4">
        <w:rPr>
          <w:rFonts w:ascii="Arial" w:eastAsia="Cambria" w:hAnsi="Arial" w:cs="Times"/>
          <w:color w:val="000000"/>
          <w:sz w:val="22"/>
          <w:szCs w:val="22"/>
        </w:rPr>
        <w:t>M</w:t>
      </w:r>
      <w:r w:rsidR="00250AFD">
        <w:rPr>
          <w:rFonts w:ascii="Arial" w:eastAsia="Cambria" w:hAnsi="Arial" w:cs="Times"/>
          <w:color w:val="000000"/>
          <w:sz w:val="22"/>
          <w:szCs w:val="22"/>
        </w:rPr>
        <w:t>usées de France (DMF)</w:t>
      </w:r>
      <w:r w:rsidRPr="003207A4">
        <w:rPr>
          <w:rFonts w:ascii="Arial" w:eastAsia="Cambria" w:hAnsi="Arial" w:cs="Times"/>
          <w:color w:val="000000"/>
          <w:sz w:val="22"/>
          <w:szCs w:val="22"/>
        </w:rPr>
        <w:t xml:space="preserve"> et D</w:t>
      </w:r>
      <w:r w:rsidR="00250AFD">
        <w:rPr>
          <w:rFonts w:ascii="Arial" w:eastAsia="Cambria" w:hAnsi="Arial" w:cs="Times"/>
          <w:color w:val="000000"/>
          <w:sz w:val="22"/>
          <w:szCs w:val="22"/>
        </w:rPr>
        <w:t>irection de l’</w:t>
      </w:r>
      <w:r w:rsidRPr="003207A4">
        <w:rPr>
          <w:rFonts w:ascii="Arial" w:eastAsia="Cambria" w:hAnsi="Arial" w:cs="Times"/>
          <w:color w:val="000000"/>
          <w:sz w:val="22"/>
          <w:szCs w:val="22"/>
        </w:rPr>
        <w:t>A</w:t>
      </w:r>
      <w:r w:rsidR="00250AFD">
        <w:rPr>
          <w:rFonts w:ascii="Arial" w:eastAsia="Cambria" w:hAnsi="Arial" w:cs="Times"/>
          <w:color w:val="000000"/>
          <w:sz w:val="22"/>
          <w:szCs w:val="22"/>
        </w:rPr>
        <w:t xml:space="preserve">rchitecture et du </w:t>
      </w:r>
      <w:r w:rsidRPr="003207A4">
        <w:rPr>
          <w:rFonts w:ascii="Arial" w:eastAsia="Cambria" w:hAnsi="Arial" w:cs="Times"/>
          <w:color w:val="000000"/>
          <w:sz w:val="22"/>
          <w:szCs w:val="22"/>
        </w:rPr>
        <w:t>P</w:t>
      </w:r>
      <w:r w:rsidR="00250AFD" w:rsidRPr="003207A4">
        <w:rPr>
          <w:rFonts w:ascii="Arial" w:eastAsia="Cambria" w:hAnsi="Arial" w:cs="Times"/>
          <w:color w:val="000000"/>
          <w:sz w:val="22"/>
          <w:szCs w:val="22"/>
        </w:rPr>
        <w:t>a</w:t>
      </w:r>
      <w:r w:rsidR="00250AFD">
        <w:rPr>
          <w:rFonts w:ascii="Arial" w:eastAsia="Cambria" w:hAnsi="Arial" w:cs="Times"/>
          <w:color w:val="000000"/>
          <w:sz w:val="22"/>
          <w:szCs w:val="22"/>
        </w:rPr>
        <w:t>trimoine (DAPA)</w:t>
      </w:r>
      <w:r w:rsidRPr="003207A4">
        <w:rPr>
          <w:rFonts w:ascii="Arial" w:eastAsia="Cambria" w:hAnsi="Arial" w:cs="Times"/>
          <w:color w:val="000000"/>
          <w:sz w:val="22"/>
          <w:szCs w:val="22"/>
        </w:rPr>
        <w:t xml:space="preserve"> qui examinaient les conditions de travail des agents en postes dans leurs </w:t>
      </w:r>
      <w:r w:rsidR="00250AFD">
        <w:rPr>
          <w:rFonts w:ascii="Arial" w:eastAsia="Cambria" w:hAnsi="Arial" w:cs="Times"/>
          <w:color w:val="000000"/>
          <w:sz w:val="22"/>
          <w:szCs w:val="22"/>
        </w:rPr>
        <w:t>Services à Compétence Nationale (</w:t>
      </w:r>
      <w:r w:rsidRPr="003207A4">
        <w:rPr>
          <w:rFonts w:ascii="Arial" w:eastAsia="Cambria" w:hAnsi="Arial" w:cs="Times"/>
          <w:color w:val="000000"/>
          <w:sz w:val="22"/>
          <w:szCs w:val="22"/>
        </w:rPr>
        <w:t>SCN</w:t>
      </w:r>
      <w:r w:rsidR="00250AFD">
        <w:rPr>
          <w:rFonts w:ascii="Arial" w:eastAsia="Cambria" w:hAnsi="Arial" w:cs="Times"/>
          <w:color w:val="000000"/>
          <w:sz w:val="22"/>
          <w:szCs w:val="22"/>
        </w:rPr>
        <w:t>)</w:t>
      </w:r>
      <w:r w:rsidRPr="003207A4">
        <w:rPr>
          <w:rFonts w:ascii="Arial" w:eastAsia="Cambria" w:hAnsi="Arial" w:cs="Times"/>
          <w:color w:val="000000"/>
          <w:sz w:val="22"/>
          <w:szCs w:val="22"/>
        </w:rPr>
        <w:t xml:space="preserve"> respectifs non dotés de CHS propres. L’existence d’une unique direction des patrimoines permet la création de ce seul CHS, examinant les conditions de travail au sein des SCN relevant de la DMF et de la DAPA (desquels pourraient être soustraits le D</w:t>
      </w:r>
      <w:r w:rsidR="005140CF">
        <w:rPr>
          <w:rFonts w:ascii="Arial" w:eastAsia="Cambria" w:hAnsi="Arial" w:cs="Times"/>
          <w:color w:val="000000"/>
          <w:sz w:val="22"/>
          <w:szCs w:val="22"/>
        </w:rPr>
        <w:t xml:space="preserve">épartement des Recherches </w:t>
      </w:r>
      <w:r w:rsidRPr="003207A4">
        <w:rPr>
          <w:rFonts w:ascii="Arial" w:eastAsia="Cambria" w:hAnsi="Arial" w:cs="Times"/>
          <w:color w:val="000000"/>
          <w:sz w:val="22"/>
          <w:szCs w:val="22"/>
        </w:rPr>
        <w:t>A</w:t>
      </w:r>
      <w:r w:rsidR="005140CF">
        <w:rPr>
          <w:rFonts w:ascii="Arial" w:eastAsia="Cambria" w:hAnsi="Arial" w:cs="Times"/>
          <w:color w:val="000000"/>
          <w:sz w:val="22"/>
          <w:szCs w:val="22"/>
        </w:rPr>
        <w:t xml:space="preserve">rchéologiques </w:t>
      </w:r>
      <w:r w:rsidRPr="003207A4">
        <w:rPr>
          <w:rFonts w:ascii="Arial" w:eastAsia="Cambria" w:hAnsi="Arial" w:cs="Times"/>
          <w:color w:val="000000"/>
          <w:sz w:val="22"/>
          <w:szCs w:val="22"/>
        </w:rPr>
        <w:t>S</w:t>
      </w:r>
      <w:r w:rsidR="005140CF">
        <w:rPr>
          <w:rFonts w:ascii="Arial" w:eastAsia="Cambria" w:hAnsi="Arial" w:cs="Times"/>
          <w:color w:val="000000"/>
          <w:sz w:val="22"/>
          <w:szCs w:val="22"/>
        </w:rPr>
        <w:t xml:space="preserve">ubaquatiques et </w:t>
      </w:r>
      <w:r w:rsidRPr="003207A4">
        <w:rPr>
          <w:rFonts w:ascii="Arial" w:eastAsia="Cambria" w:hAnsi="Arial" w:cs="Times"/>
          <w:color w:val="000000"/>
          <w:sz w:val="22"/>
          <w:szCs w:val="22"/>
        </w:rPr>
        <w:t>S</w:t>
      </w:r>
      <w:r w:rsidR="005140CF">
        <w:rPr>
          <w:rFonts w:ascii="Arial" w:eastAsia="Cambria" w:hAnsi="Arial" w:cs="Times"/>
          <w:color w:val="000000"/>
          <w:sz w:val="22"/>
          <w:szCs w:val="22"/>
        </w:rPr>
        <w:t>ous-</w:t>
      </w:r>
      <w:r w:rsidRPr="003207A4">
        <w:rPr>
          <w:rFonts w:ascii="Arial" w:eastAsia="Cambria" w:hAnsi="Arial" w:cs="Times"/>
          <w:color w:val="000000"/>
          <w:sz w:val="22"/>
          <w:szCs w:val="22"/>
        </w:rPr>
        <w:t>M</w:t>
      </w:r>
      <w:r w:rsidR="005140CF">
        <w:rPr>
          <w:rFonts w:ascii="Arial" w:eastAsia="Cambria" w:hAnsi="Arial" w:cs="Times"/>
          <w:color w:val="000000"/>
          <w:sz w:val="22"/>
          <w:szCs w:val="22"/>
        </w:rPr>
        <w:t>arines (DRASSM)</w:t>
      </w:r>
      <w:r w:rsidRPr="003207A4">
        <w:rPr>
          <w:rFonts w:ascii="Arial" w:eastAsia="Cambria" w:hAnsi="Arial" w:cs="Times"/>
          <w:color w:val="000000"/>
          <w:sz w:val="22"/>
          <w:szCs w:val="22"/>
        </w:rPr>
        <w:t xml:space="preserve"> et le L</w:t>
      </w:r>
      <w:r w:rsidR="005140CF">
        <w:rPr>
          <w:rFonts w:ascii="Arial" w:eastAsia="Cambria" w:hAnsi="Arial" w:cs="Times"/>
          <w:color w:val="000000"/>
          <w:sz w:val="22"/>
          <w:szCs w:val="22"/>
        </w:rPr>
        <w:t xml:space="preserve">aboratoire de </w:t>
      </w:r>
      <w:r w:rsidRPr="003207A4">
        <w:rPr>
          <w:rFonts w:ascii="Arial" w:eastAsia="Cambria" w:hAnsi="Arial" w:cs="Times"/>
          <w:color w:val="000000"/>
          <w:sz w:val="22"/>
          <w:szCs w:val="22"/>
        </w:rPr>
        <w:t>R</w:t>
      </w:r>
      <w:r w:rsidR="005140CF">
        <w:rPr>
          <w:rFonts w:ascii="Arial" w:eastAsia="Cambria" w:hAnsi="Arial" w:cs="Times"/>
          <w:color w:val="000000"/>
          <w:sz w:val="22"/>
          <w:szCs w:val="22"/>
        </w:rPr>
        <w:t xml:space="preserve">echerche des </w:t>
      </w:r>
      <w:r w:rsidRPr="003207A4">
        <w:rPr>
          <w:rFonts w:ascii="Arial" w:eastAsia="Cambria" w:hAnsi="Arial" w:cs="Times"/>
          <w:color w:val="000000"/>
          <w:sz w:val="22"/>
          <w:szCs w:val="22"/>
        </w:rPr>
        <w:t>M</w:t>
      </w:r>
      <w:r w:rsidR="005140CF">
        <w:rPr>
          <w:rFonts w:ascii="Arial" w:eastAsia="Cambria" w:hAnsi="Arial" w:cs="Times"/>
          <w:color w:val="000000"/>
          <w:sz w:val="22"/>
          <w:szCs w:val="22"/>
        </w:rPr>
        <w:t xml:space="preserve">onuments </w:t>
      </w:r>
      <w:r w:rsidRPr="003207A4">
        <w:rPr>
          <w:rFonts w:ascii="Arial" w:eastAsia="Cambria" w:hAnsi="Arial" w:cs="Times"/>
          <w:color w:val="000000"/>
          <w:sz w:val="22"/>
          <w:szCs w:val="22"/>
        </w:rPr>
        <w:t>H</w:t>
      </w:r>
      <w:r w:rsidR="005140CF">
        <w:rPr>
          <w:rFonts w:ascii="Arial" w:eastAsia="Cambria" w:hAnsi="Arial" w:cs="Times"/>
          <w:color w:val="000000"/>
          <w:sz w:val="22"/>
          <w:szCs w:val="22"/>
        </w:rPr>
        <w:t>istoriques (LRMH)</w:t>
      </w:r>
      <w:r w:rsidRPr="003207A4">
        <w:rPr>
          <w:rFonts w:ascii="Arial" w:eastAsia="Cambria" w:hAnsi="Arial" w:cs="Times"/>
          <w:color w:val="000000"/>
          <w:sz w:val="22"/>
          <w:szCs w:val="22"/>
        </w:rPr>
        <w:t xml:space="preserve"> </w:t>
      </w:r>
      <w:r w:rsidR="00250AFD">
        <w:rPr>
          <w:rFonts w:ascii="Arial" w:eastAsia="Cambria" w:hAnsi="Arial" w:cs="Times"/>
          <w:color w:val="000000"/>
          <w:sz w:val="22"/>
          <w:szCs w:val="22"/>
        </w:rPr>
        <w:t>(cf.</w:t>
      </w:r>
      <w:r w:rsidRPr="003207A4">
        <w:rPr>
          <w:rFonts w:ascii="Arial" w:eastAsia="Cambria" w:hAnsi="Arial" w:cs="Times"/>
          <w:color w:val="000000"/>
          <w:sz w:val="22"/>
          <w:szCs w:val="22"/>
        </w:rPr>
        <w:t xml:space="preserve"> ci-dessous).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spacing w:after="120"/>
        <w:jc w:val="both"/>
        <w:rPr>
          <w:rFonts w:ascii="Arial" w:eastAsia="Cambria" w:hAnsi="Arial" w:cs="Times"/>
          <w:color w:val="000000"/>
          <w:sz w:val="22"/>
          <w:szCs w:val="22"/>
        </w:rPr>
      </w:pPr>
      <w:r w:rsidRPr="003207A4">
        <w:rPr>
          <w:rFonts w:ascii="Arial" w:eastAsia="Cambria" w:hAnsi="Arial" w:cs="Times"/>
          <w:color w:val="000000"/>
          <w:sz w:val="22"/>
          <w:szCs w:val="22"/>
        </w:rPr>
        <w:t xml:space="preserve">3) Un </w:t>
      </w:r>
      <w:r w:rsidRPr="003207A4">
        <w:rPr>
          <w:rFonts w:ascii="Arial" w:eastAsia="Cambria" w:hAnsi="Arial" w:cs="Times"/>
          <w:b/>
          <w:bCs/>
          <w:color w:val="000000"/>
          <w:sz w:val="22"/>
          <w:szCs w:val="22"/>
        </w:rPr>
        <w:t>CHSCT « Métiers des Archives »</w:t>
      </w:r>
      <w:r w:rsidRPr="003207A4">
        <w:rPr>
          <w:rFonts w:ascii="Arial" w:eastAsia="Cambria" w:hAnsi="Arial" w:cs="Times"/>
          <w:color w:val="000000"/>
          <w:sz w:val="22"/>
          <w:szCs w:val="22"/>
        </w:rPr>
        <w:t>  à la fois fondé sur l’axe métier (vocation interministérielle) mais également sur une logique du bâti (Francs bourgeois et autres) connaîtra des sujets aussi bien propres aux agents des archives d’administration centrale (sauf à ce qu’ils intègrent les B</w:t>
      </w:r>
      <w:r w:rsidR="005140CF">
        <w:rPr>
          <w:rFonts w:ascii="Arial" w:eastAsia="Cambria" w:hAnsi="Arial" w:cs="Times"/>
          <w:color w:val="000000"/>
          <w:sz w:val="22"/>
          <w:szCs w:val="22"/>
        </w:rPr>
        <w:t xml:space="preserve">ons </w:t>
      </w:r>
      <w:r w:rsidRPr="003207A4">
        <w:rPr>
          <w:rFonts w:ascii="Arial" w:eastAsia="Cambria" w:hAnsi="Arial" w:cs="Times"/>
          <w:color w:val="000000"/>
          <w:sz w:val="22"/>
          <w:szCs w:val="22"/>
        </w:rPr>
        <w:t>E</w:t>
      </w:r>
      <w:r w:rsidR="005140CF">
        <w:rPr>
          <w:rFonts w:ascii="Arial" w:eastAsia="Cambria" w:hAnsi="Arial" w:cs="Times"/>
          <w:color w:val="000000"/>
          <w:sz w:val="22"/>
          <w:szCs w:val="22"/>
        </w:rPr>
        <w:t>nfants</w:t>
      </w:r>
      <w:r w:rsidRPr="003207A4">
        <w:rPr>
          <w:rFonts w:ascii="Arial" w:eastAsia="Cambria" w:hAnsi="Arial" w:cs="Times"/>
          <w:color w:val="000000"/>
          <w:sz w:val="22"/>
          <w:szCs w:val="22"/>
        </w:rPr>
        <w:t>) que des agents en poste en SCN.</w:t>
      </w:r>
    </w:p>
    <w:p w:rsidR="00250AFD" w:rsidRPr="00250AFD" w:rsidRDefault="00B75970" w:rsidP="00250AFD">
      <w:pPr>
        <w:pStyle w:val="western"/>
        <w:jc w:val="both"/>
        <w:rPr>
          <w:rFonts w:ascii="Liberation Sans" w:hAnsi="Liberation Sans" w:cs="Liberation Sans"/>
          <w:sz w:val="24"/>
          <w:szCs w:val="24"/>
        </w:rPr>
      </w:pPr>
      <w:r w:rsidRPr="003207A4">
        <w:rPr>
          <w:rFonts w:eastAsia="Cambria" w:cs="Times"/>
          <w:sz w:val="22"/>
          <w:szCs w:val="22"/>
        </w:rPr>
        <w:t xml:space="preserve">Le décret 2011-774 du 28 juin 2011 et sa circulaire d'application du 8 aout 2011 s'inscrivent en droite ligne de l'accord santé et sécurité au travail dans la fonction publique du 20 novembre 2009 et des accords de Bercy sur la rénovation du dialogue social. Les innovations du décret et de la circulaire se conjuguent pour promouvoir une véritable culture de prévention dans le secteur public. La politique de prévention des risques professionnels, les acteurs impliqués et les instances qui l'orientent s'en sont trouvé impactés </w:t>
      </w:r>
      <w:r w:rsidR="00250AFD" w:rsidRPr="00250AFD">
        <w:rPr>
          <w:sz w:val="22"/>
          <w:szCs w:val="22"/>
        </w:rPr>
        <w:t>depuis sa mise en œuvre sur l'ensemble du périmètre ministériel.</w:t>
      </w:r>
    </w:p>
    <w:p w:rsidR="00020814" w:rsidRDefault="00020814">
      <w:pPr>
        <w:spacing w:after="160" w:line="259" w:lineRule="auto"/>
        <w:rPr>
          <w:rFonts w:ascii="Arial" w:eastAsia="Cambria" w:hAnsi="Arial" w:cs="Times"/>
          <w:color w:val="000000"/>
          <w:sz w:val="22"/>
          <w:szCs w:val="22"/>
        </w:rPr>
      </w:pPr>
      <w:r>
        <w:rPr>
          <w:rFonts w:ascii="Arial" w:eastAsia="Cambria" w:hAnsi="Arial" w:cs="Times"/>
          <w:color w:val="000000"/>
          <w:sz w:val="22"/>
          <w:szCs w:val="22"/>
        </w:rPr>
        <w:br w:type="page"/>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u w:val="single"/>
        </w:rPr>
      </w:pPr>
      <w:r w:rsidRPr="003207A4">
        <w:rPr>
          <w:rFonts w:ascii="Arial" w:eastAsia="Cambria" w:hAnsi="Arial" w:cs="Times"/>
          <w:b/>
          <w:bCs/>
          <w:color w:val="800040"/>
          <w:sz w:val="22"/>
          <w:szCs w:val="22"/>
          <w:u w:val="single"/>
        </w:rPr>
        <w:t>Les acteurs de la prévention</w:t>
      </w:r>
      <w:r w:rsidRPr="0034289D">
        <w:rPr>
          <w:rFonts w:ascii="Arial" w:eastAsia="Cambria" w:hAnsi="Arial" w:cs="Times"/>
          <w:b/>
          <w:bCs/>
          <w:color w:val="800040"/>
          <w:sz w:val="22"/>
          <w:szCs w:val="22"/>
        </w:rPr>
        <w:t xml:space="preserve">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Le décret positionne le </w:t>
      </w:r>
      <w:r w:rsidRPr="003207A4">
        <w:rPr>
          <w:rFonts w:ascii="Arial" w:eastAsia="Cambria" w:hAnsi="Arial" w:cs="Times"/>
          <w:b/>
          <w:bCs/>
          <w:color w:val="000000"/>
          <w:sz w:val="22"/>
          <w:szCs w:val="22"/>
          <w:u w:color="000000"/>
        </w:rPr>
        <w:t xml:space="preserve">médecin de prévention, </w:t>
      </w:r>
      <w:r w:rsidRPr="003207A4">
        <w:rPr>
          <w:rFonts w:ascii="Arial" w:eastAsia="Cambria" w:hAnsi="Arial" w:cs="Times"/>
          <w:color w:val="000000"/>
          <w:sz w:val="22"/>
          <w:szCs w:val="22"/>
          <w:u w:color="000000"/>
        </w:rPr>
        <w:t>assisté des infirmiers, comme coordonnateur du service de santé au travail dont la nature pluridisciplinaire est posée.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Les </w:t>
      </w:r>
      <w:r w:rsidRPr="003207A4">
        <w:rPr>
          <w:rFonts w:ascii="Arial" w:eastAsia="Cambria" w:hAnsi="Arial" w:cs="Times"/>
          <w:b/>
          <w:bCs/>
          <w:color w:val="000000"/>
          <w:sz w:val="22"/>
          <w:szCs w:val="22"/>
          <w:u w:color="000000"/>
        </w:rPr>
        <w:t xml:space="preserve">inspecteurs santé et sécurité au travail </w:t>
      </w:r>
      <w:r w:rsidRPr="003207A4">
        <w:rPr>
          <w:rFonts w:ascii="Arial" w:eastAsia="Cambria" w:hAnsi="Arial" w:cs="Times"/>
          <w:color w:val="000000"/>
          <w:sz w:val="22"/>
          <w:szCs w:val="22"/>
          <w:u w:color="000000"/>
        </w:rPr>
        <w:t>reçoivent une formation spécifique et une lettre de mission à leur entrée en fonction. Leur libre accès aux locaux des services de leur ressort et à la documentation qui les concerne est conforté.</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 décret ouvre la possibilité d'instaurer deux niveaux d'agents de prévention, les</w:t>
      </w:r>
      <w:r w:rsidRPr="003207A4">
        <w:rPr>
          <w:rFonts w:ascii="Arial" w:eastAsia="Cambria" w:hAnsi="Arial" w:cs="Times"/>
          <w:b/>
          <w:bCs/>
          <w:color w:val="000000"/>
          <w:sz w:val="22"/>
          <w:szCs w:val="22"/>
          <w:u w:color="000000"/>
        </w:rPr>
        <w:t xml:space="preserve"> assistants de prévention</w:t>
      </w:r>
      <w:r w:rsidRPr="003207A4">
        <w:rPr>
          <w:rFonts w:ascii="Arial" w:eastAsia="Cambria" w:hAnsi="Arial" w:cs="Times"/>
          <w:color w:val="000000"/>
          <w:sz w:val="22"/>
          <w:szCs w:val="22"/>
          <w:u w:color="000000"/>
        </w:rPr>
        <w:t xml:space="preserve"> peuvent ainsi voir leur action coordonnée par un </w:t>
      </w:r>
      <w:r w:rsidRPr="003207A4">
        <w:rPr>
          <w:rFonts w:ascii="Arial" w:eastAsia="Cambria" w:hAnsi="Arial" w:cs="Times"/>
          <w:b/>
          <w:bCs/>
          <w:color w:val="000000"/>
          <w:sz w:val="22"/>
          <w:szCs w:val="22"/>
          <w:u w:color="000000"/>
        </w:rPr>
        <w:t xml:space="preserve">conseiller de prévention </w:t>
      </w:r>
      <w:r w:rsidRPr="003207A4">
        <w:rPr>
          <w:rFonts w:ascii="Arial" w:eastAsia="Cambria" w:hAnsi="Arial" w:cs="Times"/>
          <w:color w:val="000000"/>
          <w:sz w:val="22"/>
          <w:szCs w:val="22"/>
          <w:u w:color="000000"/>
        </w:rPr>
        <w:t>dans la mesure où l'importance des risques ou des effectifs le justifie</w:t>
      </w:r>
      <w:r w:rsidRPr="003207A4">
        <w:rPr>
          <w:rFonts w:ascii="Arial" w:eastAsia="Cambria" w:hAnsi="Arial" w:cs="Times"/>
          <w:b/>
          <w:bCs/>
          <w:color w:val="000000"/>
          <w:sz w:val="22"/>
          <w:szCs w:val="22"/>
          <w:u w:color="000000"/>
        </w:rPr>
        <w:t xml:space="preserve">. </w:t>
      </w:r>
      <w:r w:rsidRPr="003207A4">
        <w:rPr>
          <w:rFonts w:ascii="Arial" w:eastAsia="Cambria" w:hAnsi="Arial" w:cs="Times"/>
          <w:color w:val="000000"/>
          <w:sz w:val="22"/>
          <w:szCs w:val="22"/>
          <w:u w:color="000000"/>
        </w:rPr>
        <w:t>Ils reçoivent également à leur nomination, comme c'était déjà le cas au sein du ministère, une lettre de mission</w:t>
      </w:r>
      <w:r w:rsidRPr="003207A4">
        <w:rPr>
          <w:rFonts w:ascii="Arial" w:eastAsia="Cambria" w:hAnsi="Arial" w:cs="Times"/>
          <w:b/>
          <w:bCs/>
          <w:color w:val="000000"/>
          <w:sz w:val="22"/>
          <w:szCs w:val="22"/>
          <w:u w:color="000000"/>
        </w:rPr>
        <w:t xml:space="preserve">. </w:t>
      </w:r>
      <w:r w:rsidRPr="003207A4">
        <w:rPr>
          <w:rFonts w:ascii="Arial" w:eastAsia="Cambria" w:hAnsi="Arial" w:cs="Times"/>
          <w:color w:val="000000"/>
          <w:sz w:val="22"/>
          <w:szCs w:val="22"/>
          <w:u w:color="000000"/>
        </w:rPr>
        <w:t>Le ministère a fait le choix d'une mise en place de ce double niveau à chaque fois que les conditions et les ressources étaient disponibles.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u w:val="single"/>
        </w:rPr>
      </w:pPr>
      <w:r w:rsidRPr="003207A4">
        <w:rPr>
          <w:rFonts w:ascii="Arial" w:eastAsia="Cambria" w:hAnsi="Arial" w:cs="Times"/>
          <w:b/>
          <w:bCs/>
          <w:color w:val="800040"/>
          <w:sz w:val="22"/>
          <w:szCs w:val="22"/>
          <w:u w:val="single"/>
        </w:rPr>
        <w:t>Du Comité d'hygiène et de sécurité (CHS) au comité d'hygiène, de sécurité et des conditions de travail (CHSCT</w:t>
      </w:r>
      <w:r w:rsidRPr="0034289D">
        <w:rPr>
          <w:rFonts w:ascii="Arial" w:eastAsia="Cambria" w:hAnsi="Arial" w:cs="Times"/>
          <w:b/>
          <w:bCs/>
          <w:color w:val="800040"/>
          <w:sz w:val="22"/>
          <w:szCs w:val="22"/>
          <w:u w:val="single"/>
        </w:rPr>
        <w:t>)</w:t>
      </w:r>
      <w:r w:rsidRPr="0034289D">
        <w:rPr>
          <w:rFonts w:ascii="Arial" w:eastAsia="Cambria" w:hAnsi="Arial" w:cs="Times"/>
          <w:b/>
          <w:bCs/>
          <w:color w:val="800040"/>
          <w:sz w:val="22"/>
          <w:szCs w:val="22"/>
        </w:rPr>
        <w:t xml:space="preserve"> :</w:t>
      </w:r>
    </w:p>
    <w:p w:rsidR="00B75970" w:rsidRPr="003207A4" w:rsidRDefault="00B75970" w:rsidP="00B75970">
      <w:pPr>
        <w:widowControl w:val="0"/>
        <w:autoSpaceDE w:val="0"/>
        <w:autoSpaceDN w:val="0"/>
        <w:adjustRightInd w:val="0"/>
        <w:jc w:val="both"/>
        <w:rPr>
          <w:rFonts w:ascii="Arial" w:eastAsia="Cambria" w:hAnsi="Arial" w:cs="Times"/>
          <w:b/>
          <w:bCs/>
          <w:color w:val="000000"/>
          <w:sz w:val="22"/>
          <w:szCs w:val="22"/>
          <w:u w:val="single"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S'il reste une instance consultative, le CHSCT connait, par rapport au CHS, plusieurs évolutions majeures.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u w:val="single"/>
        </w:rPr>
      </w:pPr>
      <w:r w:rsidRPr="003207A4">
        <w:rPr>
          <w:rFonts w:ascii="Arial" w:eastAsia="Cambria" w:hAnsi="Arial" w:cs="Times"/>
          <w:b/>
          <w:bCs/>
          <w:color w:val="800040"/>
          <w:sz w:val="22"/>
          <w:szCs w:val="22"/>
          <w:u w:val="single"/>
        </w:rPr>
        <w:t>Composition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Dans la droite ligne de la réforme des anciens comités techniques paritaires qui deviennent comités techniques, auprès desquels ils sont toujours positionnés et qu'ils assistent, les CHSCT connaissent également une importante évolution de leur composition.</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Les </w:t>
      </w:r>
      <w:r w:rsidRPr="003207A4">
        <w:rPr>
          <w:rFonts w:ascii="Arial" w:eastAsia="Cambria" w:hAnsi="Arial" w:cs="Times"/>
          <w:color w:val="000000"/>
          <w:sz w:val="22"/>
          <w:szCs w:val="22"/>
          <w:u w:val="single" w:color="000000"/>
        </w:rPr>
        <w:t>membres et autres acteurs présents</w:t>
      </w:r>
      <w:r w:rsidRPr="003207A4">
        <w:rPr>
          <w:rFonts w:ascii="Arial" w:eastAsia="Cambria" w:hAnsi="Arial" w:cs="Times"/>
          <w:color w:val="000000"/>
          <w:sz w:val="22"/>
          <w:szCs w:val="22"/>
          <w:u w:color="000000"/>
        </w:rPr>
        <w:t xml:space="preserve"> en séance :</w:t>
      </w:r>
    </w:p>
    <w:p w:rsidR="00B75970" w:rsidRPr="003207A4" w:rsidRDefault="00B75970" w:rsidP="00B75970">
      <w:pPr>
        <w:widowControl w:val="0"/>
        <w:numPr>
          <w:ilvl w:val="0"/>
          <w:numId w:val="9"/>
        </w:numPr>
        <w:tabs>
          <w:tab w:val="left" w:pos="220"/>
          <w:tab w:val="left" w:pos="72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 président du CHSCT reste la personne ayant autorité sur la structure et les agents placés dans le ressort du CHSCT,</w:t>
      </w:r>
    </w:p>
    <w:p w:rsidR="00B75970" w:rsidRPr="003207A4" w:rsidRDefault="00B75970" w:rsidP="00B75970">
      <w:pPr>
        <w:widowControl w:val="0"/>
        <w:numPr>
          <w:ilvl w:val="0"/>
          <w:numId w:val="9"/>
        </w:numPr>
        <w:tabs>
          <w:tab w:val="left" w:pos="220"/>
          <w:tab w:val="left" w:pos="72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il est assisté du responsable ayant autorité en gestion des ressources humaines,</w:t>
      </w:r>
    </w:p>
    <w:p w:rsidR="00B75970" w:rsidRPr="003207A4" w:rsidRDefault="00B75970" w:rsidP="00B75970">
      <w:pPr>
        <w:widowControl w:val="0"/>
        <w:numPr>
          <w:ilvl w:val="0"/>
          <w:numId w:val="9"/>
        </w:numPr>
        <w:tabs>
          <w:tab w:val="left" w:pos="220"/>
          <w:tab w:val="left" w:pos="72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les représentants du personnel siègent pour un mandat de quatre ans, les suppléants peuvent assister aux séances,</w:t>
      </w:r>
    </w:p>
    <w:p w:rsidR="00B75970" w:rsidRPr="003207A4" w:rsidRDefault="00B75970" w:rsidP="00B75970">
      <w:pPr>
        <w:widowControl w:val="0"/>
        <w:numPr>
          <w:ilvl w:val="0"/>
          <w:numId w:val="9"/>
        </w:numPr>
        <w:tabs>
          <w:tab w:val="left" w:pos="220"/>
          <w:tab w:val="left" w:pos="72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 médecin de prévention assiste au CHSCT,</w:t>
      </w:r>
    </w:p>
    <w:p w:rsidR="00B75970" w:rsidRPr="003207A4" w:rsidRDefault="00B75970" w:rsidP="00B75970">
      <w:pPr>
        <w:widowControl w:val="0"/>
        <w:numPr>
          <w:ilvl w:val="0"/>
          <w:numId w:val="9"/>
        </w:numPr>
        <w:tabs>
          <w:tab w:val="left" w:pos="220"/>
          <w:tab w:val="left" w:pos="72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ainsi que l'agent de prévention,</w:t>
      </w:r>
    </w:p>
    <w:p w:rsidR="00B75970" w:rsidRPr="003207A4" w:rsidRDefault="00B75970" w:rsidP="00B75970">
      <w:pPr>
        <w:widowControl w:val="0"/>
        <w:numPr>
          <w:ilvl w:val="0"/>
          <w:numId w:val="9"/>
        </w:numPr>
        <w:tabs>
          <w:tab w:val="left" w:pos="220"/>
          <w:tab w:val="left" w:pos="72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l'inspecteur santé et sécurité au travail est convié, </w:t>
      </w:r>
    </w:p>
    <w:p w:rsidR="00B75970" w:rsidRPr="003207A4" w:rsidRDefault="00B75970" w:rsidP="00B75970">
      <w:pPr>
        <w:widowControl w:val="0"/>
        <w:numPr>
          <w:ilvl w:val="0"/>
          <w:numId w:val="9"/>
        </w:numPr>
        <w:tabs>
          <w:tab w:val="left" w:pos="220"/>
          <w:tab w:val="left" w:pos="72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 président peut également se faire assister en tant que de besoin par le ou les représentants exerçant auprès de lui des fonctions de responsabilité et intéressés par les questions ou projets de textes soumis à l'avis du comité,</w:t>
      </w:r>
    </w:p>
    <w:p w:rsidR="00B75970" w:rsidRPr="003207A4" w:rsidRDefault="00B75970" w:rsidP="00B75970">
      <w:pPr>
        <w:widowControl w:val="0"/>
        <w:numPr>
          <w:ilvl w:val="0"/>
          <w:numId w:val="9"/>
        </w:numPr>
        <w:tabs>
          <w:tab w:val="left" w:pos="220"/>
          <w:tab w:val="left" w:pos="720"/>
        </w:tabs>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le secrétaire administratif du comité assiste au débat en vue d'établir le </w:t>
      </w:r>
      <w:r w:rsidR="00020814" w:rsidRPr="003207A4">
        <w:rPr>
          <w:rFonts w:ascii="Arial" w:eastAsia="Cambria" w:hAnsi="Arial" w:cs="Times"/>
          <w:color w:val="000000"/>
          <w:sz w:val="22"/>
          <w:szCs w:val="22"/>
          <w:u w:color="000000"/>
        </w:rPr>
        <w:t>procès-verbal</w:t>
      </w:r>
      <w:r w:rsidRPr="003207A4">
        <w:rPr>
          <w:rFonts w:ascii="Arial" w:eastAsia="Cambria" w:hAnsi="Arial" w:cs="Times"/>
          <w:color w:val="000000"/>
          <w:sz w:val="22"/>
          <w:szCs w:val="22"/>
          <w:u w:color="000000"/>
        </w:rPr>
        <w:t>.</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val="single" w:color="000000"/>
        </w:rPr>
        <w:t>Focus sur le Secrétaire du CHSCT</w:t>
      </w:r>
      <w:r w:rsidRPr="003207A4">
        <w:rPr>
          <w:rFonts w:ascii="Arial" w:eastAsia="Cambria" w:hAnsi="Arial" w:cs="Times"/>
          <w:color w:val="000000"/>
          <w:sz w:val="22"/>
          <w:szCs w:val="22"/>
          <w:u w:color="000000"/>
        </w:rPr>
        <w:t xml:space="preserve">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Parmi les représentants du personnel est nommé un secrétaire de CHSCT. La durée de ses fonctions relève du choix des organisations représentatives du personnel dans la limite du mandat. Il est consulté par le président sur l’établissement de l'ordre du jour en amont de chaque CHSCT et conserve un regard sur la rédaction du </w:t>
      </w:r>
      <w:r w:rsidR="00020814" w:rsidRPr="003207A4">
        <w:rPr>
          <w:rFonts w:ascii="Arial" w:eastAsia="Cambria" w:hAnsi="Arial" w:cs="Times"/>
          <w:color w:val="000000"/>
          <w:sz w:val="22"/>
          <w:szCs w:val="22"/>
          <w:u w:color="000000"/>
        </w:rPr>
        <w:t>procès-verbal</w:t>
      </w:r>
      <w:r w:rsidRPr="003207A4">
        <w:rPr>
          <w:rFonts w:ascii="Arial" w:eastAsia="Cambria" w:hAnsi="Arial" w:cs="Times"/>
          <w:color w:val="000000"/>
          <w:sz w:val="22"/>
          <w:szCs w:val="22"/>
          <w:u w:color="000000"/>
        </w:rPr>
        <w:t xml:space="preserve"> établi par le secrétariat administratif du comité désigné par le président.</w:t>
      </w:r>
    </w:p>
    <w:p w:rsidR="00B75970" w:rsidRPr="003207A4" w:rsidRDefault="00B75970" w:rsidP="00B75970">
      <w:pPr>
        <w:widowControl w:val="0"/>
        <w:autoSpaceDE w:val="0"/>
        <w:autoSpaceDN w:val="0"/>
        <w:adjustRightInd w:val="0"/>
        <w:jc w:val="both"/>
        <w:rPr>
          <w:rFonts w:ascii="Arial" w:eastAsia="Cambria" w:hAnsi="Arial" w:cs="Times"/>
          <w:color w:val="80004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b/>
          <w:bCs/>
          <w:color w:val="800040"/>
          <w:sz w:val="22"/>
          <w:szCs w:val="22"/>
          <w:u w:val="single" w:color="000000"/>
        </w:rPr>
      </w:pPr>
      <w:r w:rsidRPr="003207A4">
        <w:rPr>
          <w:rFonts w:ascii="Arial" w:eastAsia="Cambria" w:hAnsi="Arial" w:cs="Times"/>
          <w:b/>
          <w:bCs/>
          <w:color w:val="800040"/>
          <w:sz w:val="22"/>
          <w:szCs w:val="22"/>
          <w:u w:val="single" w:color="000000"/>
        </w:rPr>
        <w:t>Fonctionnement :</w:t>
      </w:r>
    </w:p>
    <w:p w:rsidR="00B75970" w:rsidRPr="003207A4" w:rsidRDefault="00B75970" w:rsidP="00B75970">
      <w:pPr>
        <w:widowControl w:val="0"/>
        <w:autoSpaceDE w:val="0"/>
        <w:autoSpaceDN w:val="0"/>
        <w:adjustRightInd w:val="0"/>
        <w:jc w:val="both"/>
        <w:rPr>
          <w:rFonts w:ascii="Arial" w:eastAsia="Cambria" w:hAnsi="Arial" w:cs="Times"/>
          <w:b/>
          <w:bCs/>
          <w:color w:val="000000"/>
          <w:sz w:val="22"/>
          <w:szCs w:val="22"/>
          <w:u w:val="single"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val="single" w:color="000000"/>
        </w:rPr>
      </w:pPr>
      <w:r w:rsidRPr="003207A4">
        <w:rPr>
          <w:rFonts w:ascii="Arial" w:eastAsia="Cambria" w:hAnsi="Arial" w:cs="Times"/>
          <w:color w:val="000000"/>
          <w:sz w:val="22"/>
          <w:szCs w:val="22"/>
          <w:u w:val="single" w:color="000000"/>
        </w:rPr>
        <w:t>Le champ de compétence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L'environnement physique du travail, les conditions dans lesquelles il est exercé, la construction et l'aménagement des sites restent des sujets abordés en CHSCT. Peuvent désormais être examinées des questions relatives à la durée et à l'organisation du travail sur lesquelles le comité technique reste également compétent.</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val="single"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val="single" w:color="000000"/>
        </w:rPr>
      </w:pPr>
      <w:r w:rsidRPr="003207A4">
        <w:rPr>
          <w:rFonts w:ascii="Arial" w:eastAsia="Cambria" w:hAnsi="Arial" w:cs="Times"/>
          <w:color w:val="000000"/>
          <w:sz w:val="22"/>
          <w:szCs w:val="22"/>
          <w:u w:val="single" w:color="000000"/>
        </w:rPr>
        <w:t>Périodicité des réunions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 CHSCT se réunit désormais au moins trois fois par an (contre deux fois minimum pour le CHS).</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val="single" w:color="000000"/>
        </w:rPr>
      </w:pPr>
      <w:r w:rsidRPr="003207A4">
        <w:rPr>
          <w:rFonts w:ascii="Arial" w:eastAsia="Cambria" w:hAnsi="Arial" w:cs="Times"/>
          <w:color w:val="000000"/>
          <w:sz w:val="22"/>
          <w:szCs w:val="22"/>
          <w:u w:val="single" w:color="000000"/>
        </w:rPr>
        <w:t>Le vote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Seuls les représentants du personnel titulaires participent désormais au vote.</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val="single"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val="single" w:color="000000"/>
        </w:rPr>
      </w:pPr>
      <w:r w:rsidRPr="003207A4">
        <w:rPr>
          <w:rFonts w:ascii="Arial" w:eastAsia="Cambria" w:hAnsi="Arial" w:cs="Times"/>
          <w:color w:val="000000"/>
          <w:sz w:val="22"/>
          <w:szCs w:val="22"/>
          <w:u w:val="single" w:color="000000"/>
        </w:rPr>
        <w:t>Rôle, attributions et prérogatives du CHSCT</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 xml:space="preserve">Dans le cadre de sa mission d'observation et d'analyse des situations de travail le CHSCT peut proposer des actions en matière de prévention des risques professionnels. </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Il dispose d'un droit d'accès et de visite des locaux dans l'exercice de ses missions.</w:t>
      </w:r>
    </w:p>
    <w:p w:rsidR="00B75970" w:rsidRPr="003207A4" w:rsidRDefault="00B75970" w:rsidP="00B75970">
      <w:pPr>
        <w:widowControl w:val="0"/>
        <w:autoSpaceDE w:val="0"/>
        <w:autoSpaceDN w:val="0"/>
        <w:adjustRightInd w:val="0"/>
        <w:jc w:val="both"/>
        <w:rPr>
          <w:rFonts w:ascii="Arial" w:eastAsia="Cambria" w:hAnsi="Arial" w:cs="Times"/>
          <w:bCs/>
          <w:iCs/>
          <w:color w:val="000000"/>
          <w:sz w:val="22"/>
          <w:szCs w:val="22"/>
          <w:u w:color="000000"/>
        </w:rPr>
      </w:pPr>
      <w:r w:rsidRPr="003207A4">
        <w:rPr>
          <w:rFonts w:ascii="Arial" w:eastAsia="Cambria" w:hAnsi="Arial" w:cs="Times"/>
          <w:bCs/>
          <w:iCs/>
          <w:color w:val="000000"/>
          <w:sz w:val="22"/>
          <w:szCs w:val="22"/>
          <w:u w:color="000000"/>
        </w:rPr>
        <w:t>Le décret confirme le droit d'enquête du CHSCT sur les accidents du travail et les maladies professionnelles et crée la possibilité du recours à l’expertise agréée en cas de risque grave ou de projet important modifiant les conditions de santé et de sécurité au travail.</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r w:rsidRPr="003207A4">
        <w:rPr>
          <w:rFonts w:ascii="Arial" w:eastAsia="Cambria" w:hAnsi="Arial" w:cs="Times"/>
          <w:color w:val="000000"/>
          <w:sz w:val="22"/>
          <w:szCs w:val="22"/>
          <w:u w:color="000000"/>
        </w:rPr>
        <w:t>Le décret a été mis en application dès sa parution et après un travail concerté sur le règlement intérieur des instances, les premiers CHSCT ministériel et d'administration centrale ont pu être réunis dès le dernier trimestre 2011 mais la très grande majorité des CHSCT existant sur le périmètre ministériel se sont réuni</w:t>
      </w:r>
      <w:r w:rsidR="00020814">
        <w:rPr>
          <w:rFonts w:ascii="Arial" w:eastAsia="Cambria" w:hAnsi="Arial" w:cs="Times"/>
          <w:color w:val="000000"/>
          <w:sz w:val="22"/>
          <w:szCs w:val="22"/>
          <w:u w:color="000000"/>
        </w:rPr>
        <w:t>s</w:t>
      </w:r>
      <w:r w:rsidRPr="003207A4">
        <w:rPr>
          <w:rFonts w:ascii="Arial" w:eastAsia="Cambria" w:hAnsi="Arial" w:cs="Times"/>
          <w:color w:val="000000"/>
          <w:sz w:val="22"/>
          <w:szCs w:val="22"/>
          <w:u w:color="000000"/>
        </w:rPr>
        <w:t xml:space="preserve"> sous leur nouvelle forme en 2012.</w:t>
      </w:r>
    </w:p>
    <w:p w:rsidR="00B75970" w:rsidRPr="003207A4" w:rsidRDefault="00B75970" w:rsidP="00B75970">
      <w:pPr>
        <w:widowControl w:val="0"/>
        <w:autoSpaceDE w:val="0"/>
        <w:autoSpaceDN w:val="0"/>
        <w:adjustRightInd w:val="0"/>
        <w:jc w:val="both"/>
        <w:rPr>
          <w:rFonts w:ascii="Arial" w:eastAsia="Cambria" w:hAnsi="Arial" w:cs="Times"/>
          <w:color w:val="000000"/>
          <w:sz w:val="22"/>
          <w:szCs w:val="22"/>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020814" w:rsidRDefault="00020814">
      <w:pPr>
        <w:spacing w:after="160" w:line="259" w:lineRule="auto"/>
        <w:rPr>
          <w:rFonts w:ascii="Arial" w:eastAsia="Cambria" w:hAnsi="Arial" w:cs="Times"/>
          <w:color w:val="000000"/>
          <w:u w:color="000000"/>
        </w:rPr>
      </w:pPr>
      <w:r>
        <w:rPr>
          <w:rFonts w:ascii="Arial" w:eastAsia="Cambria" w:hAnsi="Arial" w:cs="Times"/>
          <w:color w:val="000000"/>
          <w:u w:color="000000"/>
        </w:rPr>
        <w:br w:type="page"/>
      </w:r>
    </w:p>
    <w:p w:rsidR="00B75970" w:rsidRPr="00EB6E0B" w:rsidRDefault="00B75970" w:rsidP="00B75970">
      <w:pPr>
        <w:widowControl w:val="0"/>
        <w:autoSpaceDE w:val="0"/>
        <w:autoSpaceDN w:val="0"/>
        <w:adjustRightInd w:val="0"/>
        <w:jc w:val="both"/>
        <w:rPr>
          <w:rFonts w:ascii="Arial" w:eastAsia="Cambria" w:hAnsi="Arial" w:cs="Times"/>
          <w:color w:val="000000"/>
          <w:u w:color="000000"/>
        </w:rPr>
      </w:pPr>
    </w:p>
    <w:p w:rsidR="00B75970" w:rsidRPr="00716D86" w:rsidRDefault="00B75970" w:rsidP="00B75970">
      <w:pPr>
        <w:ind w:left="1134" w:hanging="1134"/>
        <w:rPr>
          <w:rFonts w:ascii="Florencesans Exp" w:eastAsia="Cambria" w:hAnsi="Florencesans Exp" w:cs="Times New Roman"/>
        </w:rPr>
      </w:pPr>
      <w:r w:rsidRPr="00716D86">
        <w:rPr>
          <w:rFonts w:ascii="Florencesans Exp" w:eastAsia="Cambria" w:hAnsi="Florencesans Exp" w:cs="Times New Roman"/>
        </w:rPr>
        <w:t xml:space="preserve">4. C. 1. </w:t>
      </w:r>
      <w:r w:rsidRPr="0034289D">
        <w:rPr>
          <w:rFonts w:ascii="Florencesans Exp" w:eastAsia="Cambria" w:hAnsi="Florencesans Exp" w:cs="Times New Roman"/>
        </w:rPr>
        <w:t>LES R</w:t>
      </w:r>
      <w:r w:rsidR="0034289D" w:rsidRPr="0034289D">
        <w:rPr>
          <w:rFonts w:ascii="Florencesans Exp" w:eastAsia="Cambria" w:hAnsi="Florencesans Exp" w:cs="Times New Roman"/>
        </w:rPr>
        <w:t>EUNIONS DES COMITES D'HYGIENE,</w:t>
      </w:r>
      <w:r w:rsidRPr="0034289D">
        <w:rPr>
          <w:rFonts w:ascii="Florencesans Exp" w:eastAsia="Cambria" w:hAnsi="Florencesans Exp" w:cs="Times New Roman"/>
        </w:rPr>
        <w:t xml:space="preserve"> DE SECURITE </w:t>
      </w:r>
      <w:r w:rsidR="0034289D" w:rsidRPr="0034289D">
        <w:rPr>
          <w:rFonts w:ascii="Florencesans Exp" w:eastAsia="Cambria" w:hAnsi="Florencesans Exp" w:cs="Times New Roman"/>
        </w:rPr>
        <w:t xml:space="preserve">ET DES CONDITIONS DE TRAVAIL </w:t>
      </w:r>
      <w:r w:rsidRPr="0034289D">
        <w:rPr>
          <w:rFonts w:ascii="Florencesans Exp" w:eastAsia="Cambria" w:hAnsi="Florencesans Exp" w:cs="Times New Roman"/>
        </w:rPr>
        <w:t>(CHS</w:t>
      </w:r>
      <w:r w:rsidR="0034289D" w:rsidRPr="0034289D">
        <w:rPr>
          <w:rFonts w:ascii="Florencesans Exp" w:eastAsia="Cambria" w:hAnsi="Florencesans Exp" w:cs="Times New Roman"/>
        </w:rPr>
        <w:t>CT</w:t>
      </w:r>
      <w:r w:rsidR="00497A34">
        <w:rPr>
          <w:rFonts w:ascii="Florencesans Exp" w:eastAsia="Cambria" w:hAnsi="Florencesans Exp" w:cs="Times New Roman"/>
        </w:rPr>
        <w:t>)</w:t>
      </w:r>
    </w:p>
    <w:p w:rsidR="004132E7" w:rsidRPr="00EB6E0B" w:rsidRDefault="004132E7" w:rsidP="004132E7">
      <w:pPr>
        <w:widowControl w:val="0"/>
        <w:tabs>
          <w:tab w:val="right" w:pos="7230"/>
        </w:tabs>
        <w:autoSpaceDE w:val="0"/>
        <w:autoSpaceDN w:val="0"/>
        <w:adjustRightInd w:val="0"/>
        <w:jc w:val="both"/>
        <w:rPr>
          <w:rFonts w:ascii="Arial" w:eastAsia="Cambria" w:hAnsi="Arial" w:cs="Times"/>
          <w:color w:val="000000"/>
          <w:u w:color="000000"/>
        </w:rPr>
      </w:pPr>
    </w:p>
    <w:p w:rsidR="004132E7" w:rsidRPr="00B95022" w:rsidRDefault="004132E7" w:rsidP="004132E7">
      <w:pPr>
        <w:widowControl w:val="0"/>
        <w:autoSpaceDE w:val="0"/>
        <w:autoSpaceDN w:val="0"/>
        <w:adjustRightInd w:val="0"/>
        <w:ind w:left="142" w:right="-291"/>
        <w:jc w:val="center"/>
        <w:rPr>
          <w:rFonts w:ascii="Arial Black" w:eastAsia="Cambria" w:hAnsi="Arial Black" w:cs="Times"/>
          <w:i/>
          <w:color w:val="000000"/>
          <w:sz w:val="22"/>
          <w:u w:color="000000"/>
        </w:rPr>
      </w:pPr>
      <w:r>
        <w:rPr>
          <w:rFonts w:ascii="Arial Black" w:eastAsia="Cambria" w:hAnsi="Arial Black" w:cs="Times"/>
          <w:i/>
          <w:color w:val="FF0000"/>
          <w:sz w:val="22"/>
          <w:highlight w:val="lightGray"/>
          <w:u w:color="000000"/>
        </w:rPr>
        <w:t>VOIR</w:t>
      </w:r>
      <w:r w:rsidRPr="00B95022">
        <w:rPr>
          <w:rFonts w:ascii="Arial Black" w:eastAsia="Cambria" w:hAnsi="Arial Black" w:cs="Times"/>
          <w:i/>
          <w:color w:val="FF0000"/>
          <w:sz w:val="22"/>
          <w:highlight w:val="lightGray"/>
          <w:u w:color="000000"/>
        </w:rPr>
        <w:t xml:space="preserve"> PARTIE 7 – RELATIONS SOCIALES (7.A.2)</w:t>
      </w:r>
      <w:r w:rsidR="0074755D">
        <w:rPr>
          <w:rFonts w:ascii="Arial Black" w:eastAsia="Cambria" w:hAnsi="Arial Black" w:cs="Times"/>
          <w:i/>
          <w:color w:val="FF0000"/>
          <w:sz w:val="22"/>
          <w:u w:color="000000"/>
        </w:rPr>
        <w:t xml:space="preserve"> </w:t>
      </w:r>
    </w:p>
    <w:p w:rsidR="00497A34" w:rsidRDefault="00497A34">
      <w:pPr>
        <w:spacing w:after="160" w:line="259" w:lineRule="auto"/>
        <w:rPr>
          <w:rFonts w:ascii="Arial" w:eastAsia="Times New Roman" w:hAnsi="Arial" w:cs="Arial"/>
          <w:b/>
          <w:bCs/>
          <w:color w:val="000000"/>
          <w:sz w:val="22"/>
          <w:szCs w:val="22"/>
          <w:lang w:eastAsia="fr-FR"/>
        </w:rPr>
      </w:pPr>
    </w:p>
    <w:p w:rsidR="00497A34" w:rsidRPr="00020814" w:rsidRDefault="00497A34" w:rsidP="00497A34">
      <w:pPr>
        <w:pStyle w:val="Paragraphedeliste"/>
        <w:spacing w:before="100" w:beforeAutospacing="1"/>
        <w:jc w:val="both"/>
        <w:rPr>
          <w:rFonts w:ascii="Arial" w:eastAsia="Times New Roman" w:hAnsi="Arial" w:cs="Arial"/>
          <w:b/>
          <w:bCs/>
          <w:color w:val="000000"/>
          <w:sz w:val="14"/>
          <w:szCs w:val="14"/>
          <w:lang w:eastAsia="fr-FR"/>
        </w:rPr>
      </w:pPr>
    </w:p>
    <w:p w:rsidR="00B75970" w:rsidRPr="003207A4" w:rsidRDefault="00B75970" w:rsidP="00020814">
      <w:pPr>
        <w:widowControl w:val="0"/>
        <w:tabs>
          <w:tab w:val="left" w:pos="220"/>
          <w:tab w:val="left" w:pos="720"/>
          <w:tab w:val="right" w:pos="7230"/>
        </w:tabs>
        <w:autoSpaceDE w:val="0"/>
        <w:autoSpaceDN w:val="0"/>
        <w:adjustRightInd w:val="0"/>
        <w:ind w:left="720"/>
        <w:jc w:val="both"/>
        <w:rPr>
          <w:rFonts w:ascii="Arial" w:eastAsia="Cambria" w:hAnsi="Arial" w:cs="Times"/>
          <w:color w:val="000000"/>
          <w:sz w:val="22"/>
          <w:szCs w:val="22"/>
          <w:u w:color="000000"/>
        </w:rPr>
        <w:sectPr w:rsidR="00B75970" w:rsidRPr="003207A4" w:rsidSect="000A142C">
          <w:headerReference w:type="even" r:id="rId207"/>
          <w:headerReference w:type="default" r:id="rId208"/>
          <w:footerReference w:type="default" r:id="rId209"/>
          <w:headerReference w:type="first" r:id="rId210"/>
          <w:type w:val="continuous"/>
          <w:pgSz w:w="11900" w:h="16840"/>
          <w:pgMar w:top="1077" w:right="1134" w:bottom="1077" w:left="851" w:header="709" w:footer="709" w:gutter="0"/>
          <w:cols w:space="708"/>
        </w:sectPr>
      </w:pPr>
    </w:p>
    <w:p w:rsidR="00B75970" w:rsidRPr="003207A4" w:rsidRDefault="00B75970" w:rsidP="00B75970">
      <w:pPr>
        <w:rPr>
          <w:rFonts w:ascii="Arial" w:hAnsi="Arial" w:cs="Arial"/>
          <w:sz w:val="22"/>
          <w:szCs w:val="22"/>
        </w:rPr>
      </w:pPr>
    </w:p>
    <w:p w:rsidR="00526043" w:rsidRPr="00C30383" w:rsidRDefault="00526043" w:rsidP="00526043">
      <w:pPr>
        <w:tabs>
          <w:tab w:val="left" w:pos="1220"/>
        </w:tabs>
        <w:rPr>
          <w:rFonts w:ascii="BlairMdITC TT-Medium" w:eastAsia="Cambria" w:hAnsi="BlairMdITC TT-Medium" w:cs="Times New Roman"/>
          <w:b/>
          <w:color w:val="0080FF"/>
          <w:sz w:val="48"/>
        </w:rPr>
      </w:pPr>
      <w:r w:rsidRPr="00C30383">
        <w:rPr>
          <w:rFonts w:ascii="BlairMdITC TT-Medium" w:eastAsia="Cambria" w:hAnsi="BlairMdITC TT-Medium" w:cs="Times New Roman"/>
          <w:b/>
          <w:noProof/>
          <w:color w:val="0080FF"/>
          <w:sz w:val="48"/>
          <w:lang w:eastAsia="fr-FR"/>
        </w:rPr>
        <mc:AlternateContent>
          <mc:Choice Requires="wps">
            <w:drawing>
              <wp:anchor distT="0" distB="0" distL="114300" distR="114300" simplePos="0" relativeHeight="251825152" behindDoc="0" locked="0" layoutInCell="1" allowOverlap="1" wp14:anchorId="39D5708A" wp14:editId="4C4B29E3">
                <wp:simplePos x="0" y="0"/>
                <wp:positionH relativeFrom="column">
                  <wp:posOffset>0</wp:posOffset>
                </wp:positionH>
                <wp:positionV relativeFrom="paragraph">
                  <wp:posOffset>0</wp:posOffset>
                </wp:positionV>
                <wp:extent cx="914400" cy="914400"/>
                <wp:effectExtent l="15240" t="17145" r="13335" b="11430"/>
                <wp:wrapNone/>
                <wp:docPr id="246" name="Ellips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8000"/>
                        </a:solidFill>
                        <a:ln w="19050">
                          <a:solidFill>
                            <a:srgbClr val="FF8000"/>
                          </a:solidFill>
                          <a:round/>
                          <a:headEnd/>
                          <a:tailEnd/>
                        </a:ln>
                        <a:effectLst/>
                        <a:extLs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6856F8" id="Ellipse 246" o:spid="_x0000_s1026" style="position:absolute;margin-left:0;margin-top:0;width:1in;height:1in;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" fillcolor="#ff8000" strokecolor="#ff8000" strokeweight="1.5pt">
                <v:shadow opacity="22938f" offset="0"/>
                <v:textbox inset=",7.2pt,,7.2pt"/>
              </v:oval>
            </w:pict>
          </mc:Fallback>
        </mc:AlternateContent>
      </w:r>
      <w:r w:rsidRPr="00C30383">
        <w:rPr>
          <w:rFonts w:ascii="BlairMdITC TT-Medium" w:eastAsia="Cambria" w:hAnsi="BlairMdITC TT-Medium" w:cs="Times New Roman"/>
          <w:b/>
          <w:noProof/>
          <w:color w:val="0080FF"/>
          <w:sz w:val="48"/>
          <w:lang w:eastAsia="fr-FR"/>
        </w:rPr>
        <mc:AlternateContent>
          <mc:Choice Requires="wps">
            <w:drawing>
              <wp:anchor distT="0" distB="0" distL="114300" distR="114300" simplePos="0" relativeHeight="251826176" behindDoc="0" locked="0" layoutInCell="1" allowOverlap="1" wp14:anchorId="1CFA13E4" wp14:editId="40D9D2B7">
                <wp:simplePos x="0" y="0"/>
                <wp:positionH relativeFrom="column">
                  <wp:posOffset>228600</wp:posOffset>
                </wp:positionH>
                <wp:positionV relativeFrom="paragraph">
                  <wp:posOffset>228600</wp:posOffset>
                </wp:positionV>
                <wp:extent cx="457200" cy="457200"/>
                <wp:effectExtent l="0" t="0" r="3810" b="1905"/>
                <wp:wrapTight wrapText="bothSides">
                  <wp:wrapPolygon edited="0">
                    <wp:start x="0" y="0"/>
                    <wp:lineTo x="21600" y="0"/>
                    <wp:lineTo x="21600" y="21600"/>
                    <wp:lineTo x="0" y="21600"/>
                    <wp:lineTo x="0" y="0"/>
                  </wp:wrapPolygon>
                </wp:wrapTight>
                <wp:docPr id="247" name="Zone de texte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C30383" w:rsidRDefault="007B1397" w:rsidP="00526043">
                            <w:pPr>
                              <w:jc w:val="center"/>
                              <w:rPr>
                                <w:rFonts w:ascii="Apple Casual" w:eastAsia="GB18030 Bitmap" w:hAnsi="Apple Casual"/>
                                <w:b/>
                                <w:color w:val="FFFFFF"/>
                                <w:sz w:val="48"/>
                              </w:rPr>
                            </w:pPr>
                            <w:r w:rsidRPr="00C30383">
                              <w:rPr>
                                <w:rFonts w:ascii="Apple Casual" w:eastAsia="GB18030 Bitmap" w:hAnsi="Apple Casual"/>
                                <w:b/>
                                <w:color w:val="FFFFFF"/>
                                <w:sz w:val="48"/>
                              </w:rPr>
                              <w:t>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A13E4" id="Zone de texte 247" o:spid="_x0000_s1080" type="#_x0000_t202" style="position:absolute;margin-left:18pt;margin-top:18pt;width:36pt;height:3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" filled="f" stroked="f">
                <v:textbox inset=",7.2pt,,7.2pt">
                  <w:txbxContent>
                    <w:p w:rsidR="007B1397" w:rsidRPr="00C30383" w:rsidRDefault="007B1397" w:rsidP="00526043">
                      <w:pPr>
                        <w:jc w:val="center"/>
                        <w:rPr>
                          <w:rFonts w:ascii="Apple Casual" w:eastAsia="GB18030 Bitmap" w:hAnsi="Apple Casual"/>
                          <w:b/>
                          <w:color w:val="FFFFFF"/>
                          <w:sz w:val="48"/>
                        </w:rPr>
                      </w:pPr>
                      <w:r w:rsidRPr="00C30383">
                        <w:rPr>
                          <w:rFonts w:ascii="Apple Casual" w:eastAsia="GB18030 Bitmap" w:hAnsi="Apple Casual"/>
                          <w:b/>
                          <w:color w:val="FFFFFF"/>
                          <w:sz w:val="48"/>
                        </w:rPr>
                        <w:t>5</w:t>
                      </w:r>
                    </w:p>
                  </w:txbxContent>
                </v:textbox>
                <w10:wrap type="tight"/>
              </v:shape>
            </w:pict>
          </mc:Fallback>
        </mc:AlternateContent>
      </w:r>
    </w:p>
    <w:p w:rsidR="00526043" w:rsidRPr="00C30383" w:rsidRDefault="00526043" w:rsidP="00526043">
      <w:pPr>
        <w:tabs>
          <w:tab w:val="left" w:pos="1220"/>
        </w:tabs>
        <w:rPr>
          <w:rFonts w:ascii="BlairMdITC TT-Medium" w:eastAsia="Cambria" w:hAnsi="BlairMdITC TT-Medium" w:cs="Times New Roman"/>
          <w:b/>
          <w:color w:val="0080FF"/>
          <w:sz w:val="48"/>
        </w:rPr>
      </w:pPr>
    </w:p>
    <w:p w:rsidR="00526043" w:rsidRPr="00C30383" w:rsidRDefault="00526043" w:rsidP="00526043">
      <w:pPr>
        <w:tabs>
          <w:tab w:val="left" w:pos="1220"/>
        </w:tabs>
        <w:rPr>
          <w:rFonts w:ascii="BlairMdITC TT-Medium" w:eastAsia="Cambria" w:hAnsi="BlairMdITC TT-Medium" w:cs="Times New Roman"/>
          <w:b/>
          <w:color w:val="0080FF"/>
          <w:sz w:val="48"/>
        </w:rPr>
      </w:pPr>
    </w:p>
    <w:p w:rsidR="00526043" w:rsidRPr="007C0367" w:rsidRDefault="00526043" w:rsidP="00526043">
      <w:pPr>
        <w:rPr>
          <w:rFonts w:ascii="Florencesans Exp" w:eastAsia="Cambria" w:hAnsi="Florencesans Exp" w:cs="Times New Roman"/>
          <w:b/>
          <w:color w:val="FF8000"/>
          <w:sz w:val="46"/>
          <w:szCs w:val="46"/>
        </w:rPr>
      </w:pPr>
      <w:r w:rsidRPr="007C0367">
        <w:rPr>
          <w:rFonts w:ascii="Florencesans Exp" w:eastAsia="Cambria" w:hAnsi="Florencesans Exp" w:cs="Times New Roman"/>
          <w:b/>
          <w:noProof/>
          <w:color w:val="800000"/>
          <w:sz w:val="46"/>
          <w:szCs w:val="46"/>
          <w:lang w:eastAsia="fr-FR"/>
        </w:rPr>
        <mc:AlternateContent>
          <mc:Choice Requires="wps">
            <w:drawing>
              <wp:anchor distT="0" distB="0" distL="114300" distR="114300" simplePos="0" relativeHeight="251831296" behindDoc="1" locked="0" layoutInCell="1" allowOverlap="1" wp14:anchorId="439B97C1" wp14:editId="43199291">
                <wp:simplePos x="0" y="0"/>
                <wp:positionH relativeFrom="margin">
                  <wp:align>left</wp:align>
                </wp:positionH>
                <wp:positionV relativeFrom="paragraph">
                  <wp:posOffset>1137285</wp:posOffset>
                </wp:positionV>
                <wp:extent cx="3378200" cy="6705600"/>
                <wp:effectExtent l="0" t="0" r="0" b="0"/>
                <wp:wrapSquare wrapText="bothSides"/>
                <wp:docPr id="248" name="Zone de texte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0" cy="670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7D1DED" w:rsidRDefault="007B1397" w:rsidP="00526043">
                            <w:pPr>
                              <w:jc w:val="both"/>
                              <w:rPr>
                                <w:rFonts w:ascii="Arial" w:hAnsi="Arial" w:cs="Arial"/>
                                <w:sz w:val="20"/>
                                <w:szCs w:val="20"/>
                              </w:rPr>
                            </w:pPr>
                            <w:r w:rsidRPr="007D1DED">
                              <w:rPr>
                                <w:rFonts w:ascii="Arial" w:hAnsi="Arial" w:cs="Arial"/>
                                <w:sz w:val="20"/>
                                <w:szCs w:val="20"/>
                              </w:rPr>
                              <w:t>Les orientations des politiques d’action sociale découlent des débats du comité national d’action sociale et des échanges au sein des différents groupes de travail.</w:t>
                            </w:r>
                          </w:p>
                          <w:p w:rsidR="007B1397" w:rsidRPr="007D1DED" w:rsidRDefault="007B1397" w:rsidP="00526043">
                            <w:pPr>
                              <w:jc w:val="both"/>
                              <w:rPr>
                                <w:rFonts w:ascii="Arial" w:hAnsi="Arial" w:cs="Arial"/>
                                <w:sz w:val="20"/>
                                <w:szCs w:val="20"/>
                              </w:rPr>
                            </w:pPr>
                            <w:r w:rsidRPr="007D1DED">
                              <w:rPr>
                                <w:rFonts w:ascii="Arial" w:hAnsi="Arial" w:cs="Arial"/>
                                <w:sz w:val="20"/>
                                <w:szCs w:val="20"/>
                              </w:rPr>
                              <w:t xml:space="preserve">Les précédentes années ont vu la création ou la refonte de certaines prestations ministérielles telles que l’aide sociale exceptionnelle au départ à la retraite, l’aide à la garde d’enfants de 6 à 12 ans, l’aide à la garde d’enfants en situation de handicap, l’extension de l’aide à la scolarité aux collégiens. La prise en compte des évolutions sociales et sociétales permet sur plusieurs dispositifs une  meilleure prise en compte des familles recomposées et des situations de garde alternée ou partagée. </w:t>
                            </w:r>
                          </w:p>
                          <w:p w:rsidR="007B1397" w:rsidRPr="007D1DED" w:rsidRDefault="007B1397" w:rsidP="00526043">
                            <w:pPr>
                              <w:jc w:val="both"/>
                              <w:rPr>
                                <w:rFonts w:ascii="Arial" w:hAnsi="Arial" w:cs="Arial"/>
                                <w:sz w:val="20"/>
                                <w:szCs w:val="20"/>
                              </w:rPr>
                            </w:pPr>
                            <w:r w:rsidRPr="007D1DED">
                              <w:rPr>
                                <w:rFonts w:ascii="Arial" w:hAnsi="Arial" w:cs="Arial"/>
                                <w:sz w:val="20"/>
                                <w:szCs w:val="20"/>
                              </w:rPr>
                              <w:t>La principale évolution de l'année 2013 a porté sur une revalorisation des plafonds de ressource en deçà desquels les agents sont éligibles au versement des différentes prestations sociales. L'aide au déménagement qui est la seule aide bénéficiant à un foyer sans enfant a également été revalorisée en particulier pour les familles monoparentales. La mesure des effets de cette revalorisation pourra être mesurée sur l'année 2014 et les années suivantes. Les travaux de réflexion partagée avec les partenaires sociaux sur l'évolution des plafonds des ressources ont d'ailleurs permis d'apprécier par rapport à d'autres ministères la richesse et la recherche de la meilleure adéquation des dispositifs mis en œuvre avec les besoins des agents.</w:t>
                            </w:r>
                          </w:p>
                          <w:p w:rsidR="007B1397" w:rsidRPr="007D1DED" w:rsidRDefault="007B1397" w:rsidP="00526043">
                            <w:pPr>
                              <w:jc w:val="both"/>
                              <w:rPr>
                                <w:rFonts w:ascii="Arial" w:hAnsi="Arial" w:cs="Arial"/>
                                <w:sz w:val="20"/>
                                <w:szCs w:val="20"/>
                              </w:rPr>
                            </w:pPr>
                            <w:r w:rsidRPr="007D1DED">
                              <w:rPr>
                                <w:rFonts w:ascii="Arial" w:hAnsi="Arial" w:cs="Arial"/>
                                <w:sz w:val="20"/>
                                <w:szCs w:val="20"/>
                              </w:rPr>
                              <w:t>Le budget de l’action sociale reflète, au-delà des prestations individuelles, les missions qui lui incombent. Ces missions dépassent au ministère de la culture et de la communication le strict périmètre de l’action sociale tel qu’il peut être entendu dans d'autres ministères.</w:t>
                            </w:r>
                          </w:p>
                          <w:p w:rsidR="007B1397" w:rsidRPr="007D1DED" w:rsidRDefault="007B1397" w:rsidP="00526043">
                            <w:pPr>
                              <w:jc w:val="both"/>
                              <w:rPr>
                                <w:rFonts w:ascii="Arial" w:hAnsi="Arial" w:cs="Arial"/>
                              </w:rPr>
                            </w:pPr>
                            <w:r w:rsidRPr="007D1DED">
                              <w:rPr>
                                <w:rFonts w:ascii="Arial" w:hAnsi="Arial" w:cs="Arial"/>
                                <w:sz w:val="20"/>
                                <w:szCs w:val="20"/>
                              </w:rPr>
                              <w:t>Tant sur le titre 2 que sur le titre 3 apparaissent notamment des crédits consacrés à la prise en charge des accidents de travail et des montants correspondants aux honoraires médicaux versés au titre des expertises préalables à l’examen en commissions de réforme et comités médicaux des situations des agents du ministère.</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9B97C1" id="Zone de texte 248" o:spid="_x0000_s1081" type="#_x0000_t202" style="position:absolute;margin-left:0;margin-top:89.55pt;width:266pt;height:528pt;z-index:-251485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" filled="f" stroked="f">
                <v:textbox inset=",7.2pt,,7.2pt">
                  <w:txbxContent>
                    <w:p w:rsidR="007B1397" w:rsidRPr="007D1DED" w:rsidRDefault="007B1397" w:rsidP="00526043">
                      <w:pPr>
                        <w:jc w:val="both"/>
                        <w:rPr>
                          <w:rFonts w:ascii="Arial" w:hAnsi="Arial" w:cs="Arial"/>
                          <w:sz w:val="20"/>
                          <w:szCs w:val="20"/>
                        </w:rPr>
                      </w:pPr>
                      <w:r w:rsidRPr="007D1DED">
                        <w:rPr>
                          <w:rFonts w:ascii="Arial" w:hAnsi="Arial" w:cs="Arial"/>
                          <w:sz w:val="20"/>
                          <w:szCs w:val="20"/>
                        </w:rPr>
                        <w:t>Les orientations des politiques d’action sociale découlent des débats du comité national d’action sociale et des échanges au sein des différents groupes de travail.</w:t>
                      </w:r>
                    </w:p>
                    <w:p w:rsidR="007B1397" w:rsidRPr="007D1DED" w:rsidRDefault="007B1397" w:rsidP="00526043">
                      <w:pPr>
                        <w:jc w:val="both"/>
                        <w:rPr>
                          <w:rFonts w:ascii="Arial" w:hAnsi="Arial" w:cs="Arial"/>
                          <w:sz w:val="20"/>
                          <w:szCs w:val="20"/>
                        </w:rPr>
                      </w:pPr>
                      <w:r w:rsidRPr="007D1DED">
                        <w:rPr>
                          <w:rFonts w:ascii="Arial" w:hAnsi="Arial" w:cs="Arial"/>
                          <w:sz w:val="20"/>
                          <w:szCs w:val="20"/>
                        </w:rPr>
                        <w:t xml:space="preserve">Les précédentes années ont vu la création ou la refonte de certaines prestations ministérielles telles que l’aide sociale exceptionnelle au départ à la retraite, l’aide à la garde d’enfants de 6 à 12 ans, l’aide à la garde d’enfants en situation de handicap, l’extension de l’aide à la scolarité aux collégiens. La prise en compte des évolutions sociales et sociétales permet sur plusieurs dispositifs une  meilleure prise en compte des familles recomposées et des situations de garde alternée ou partagée. </w:t>
                      </w:r>
                    </w:p>
                    <w:p w:rsidR="007B1397" w:rsidRPr="007D1DED" w:rsidRDefault="007B1397" w:rsidP="00526043">
                      <w:pPr>
                        <w:jc w:val="both"/>
                        <w:rPr>
                          <w:rFonts w:ascii="Arial" w:hAnsi="Arial" w:cs="Arial"/>
                          <w:sz w:val="20"/>
                          <w:szCs w:val="20"/>
                        </w:rPr>
                      </w:pPr>
                      <w:r w:rsidRPr="007D1DED">
                        <w:rPr>
                          <w:rFonts w:ascii="Arial" w:hAnsi="Arial" w:cs="Arial"/>
                          <w:sz w:val="20"/>
                          <w:szCs w:val="20"/>
                        </w:rPr>
                        <w:t>La principale évolution de l'année 2013 a porté sur une revalorisation des plafonds de ressource en deçà desquels les agents sont éligibles au versement des différentes prestations sociales. L'aide au déménagement qui est la seule aide bénéficiant à un foyer sans enfant a également été revalorisée en particulier pour les familles monoparentales. La mesure des effets de cette revalorisation pourra être mesurée sur l'année 2014 et les années suivantes. Les travaux de réflexion partagée avec les partenaires sociaux sur l'évolution des plafonds des ressources ont d'ailleurs permis d'apprécier par rapport à d'autres ministères la richesse et la recherche de la meilleure adéquation des dispositifs mis en œuvre avec les besoins des agents.</w:t>
                      </w:r>
                    </w:p>
                    <w:p w:rsidR="007B1397" w:rsidRPr="007D1DED" w:rsidRDefault="007B1397" w:rsidP="00526043">
                      <w:pPr>
                        <w:jc w:val="both"/>
                        <w:rPr>
                          <w:rFonts w:ascii="Arial" w:hAnsi="Arial" w:cs="Arial"/>
                          <w:sz w:val="20"/>
                          <w:szCs w:val="20"/>
                        </w:rPr>
                      </w:pPr>
                      <w:r w:rsidRPr="007D1DED">
                        <w:rPr>
                          <w:rFonts w:ascii="Arial" w:hAnsi="Arial" w:cs="Arial"/>
                          <w:sz w:val="20"/>
                          <w:szCs w:val="20"/>
                        </w:rPr>
                        <w:t>Le budget de l’action sociale reflète, au-delà des prestations individuelles, les missions qui lui incombent. Ces missions dépassent au ministère de la culture et de la communication le strict périmètre de l’action sociale tel qu’il peut être entendu dans d'autres ministères.</w:t>
                      </w:r>
                    </w:p>
                    <w:p w:rsidR="007B1397" w:rsidRPr="007D1DED" w:rsidRDefault="007B1397" w:rsidP="00526043">
                      <w:pPr>
                        <w:jc w:val="both"/>
                        <w:rPr>
                          <w:rFonts w:ascii="Arial" w:hAnsi="Arial" w:cs="Arial"/>
                        </w:rPr>
                      </w:pPr>
                      <w:r w:rsidRPr="007D1DED">
                        <w:rPr>
                          <w:rFonts w:ascii="Arial" w:hAnsi="Arial" w:cs="Arial"/>
                          <w:sz w:val="20"/>
                          <w:szCs w:val="20"/>
                        </w:rPr>
                        <w:t>Tant sur le titre 2 que sur le titre 3 apparaissent notamment des crédits consacrés à la prise en charge des accidents de travail et des montants correspondants aux honoraires médicaux versés au titre des expertises préalables à l’examen en commissions de réforme et comités médicaux des situations des agents du ministère.</w:t>
                      </w:r>
                    </w:p>
                  </w:txbxContent>
                </v:textbox>
                <w10:wrap type="square" anchorx="margin"/>
              </v:shape>
            </w:pict>
          </mc:Fallback>
        </mc:AlternateContent>
      </w:r>
      <w:r w:rsidRPr="007C0367">
        <w:rPr>
          <w:rFonts w:ascii="Florencesans Exp" w:eastAsia="Cambria" w:hAnsi="Florencesans Exp" w:cs="Times New Roman"/>
          <w:b/>
          <w:color w:val="FF8000"/>
          <w:sz w:val="46"/>
          <w:szCs w:val="46"/>
        </w:rPr>
        <w:t xml:space="preserve">AUTRES CONDITIONS DE VIE AU TRAVAIL - L’ACTION </w:t>
      </w:r>
      <w:r w:rsidR="007C0367" w:rsidRPr="007C0367">
        <w:rPr>
          <w:rFonts w:ascii="Florencesans Exp" w:eastAsia="Cambria" w:hAnsi="Florencesans Exp" w:cs="Times New Roman"/>
          <w:b/>
          <w:color w:val="FF8000"/>
          <w:sz w:val="46"/>
          <w:szCs w:val="46"/>
        </w:rPr>
        <w:t>S</w:t>
      </w:r>
      <w:r w:rsidRPr="007C0367">
        <w:rPr>
          <w:rFonts w:ascii="Florencesans Exp" w:eastAsia="Cambria" w:hAnsi="Florencesans Exp" w:cs="Times New Roman"/>
          <w:b/>
          <w:color w:val="FF8000"/>
          <w:sz w:val="46"/>
          <w:szCs w:val="46"/>
        </w:rPr>
        <w:t>OCIALE</w:t>
      </w:r>
    </w:p>
    <w:p w:rsidR="00526043" w:rsidRPr="00C30383" w:rsidRDefault="00526043" w:rsidP="00526043">
      <w:pPr>
        <w:tabs>
          <w:tab w:val="left" w:pos="1220"/>
        </w:tabs>
        <w:rPr>
          <w:rFonts w:ascii="BlairMdITC TT-Medium" w:eastAsia="Cambria" w:hAnsi="BlairMdITC TT-Medium" w:cs="Times New Roman"/>
          <w:b/>
          <w:color w:val="800000"/>
          <w:sz w:val="48"/>
        </w:rPr>
      </w:pPr>
      <w:r w:rsidRPr="00C30383">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27200" behindDoc="1" locked="0" layoutInCell="1" allowOverlap="1" wp14:anchorId="0D10D55E" wp14:editId="59D63C02">
                <wp:simplePos x="0" y="0"/>
                <wp:positionH relativeFrom="margin">
                  <wp:posOffset>3506470</wp:posOffset>
                </wp:positionH>
                <wp:positionV relativeFrom="paragraph">
                  <wp:posOffset>175895</wp:posOffset>
                </wp:positionV>
                <wp:extent cx="2505075" cy="5590540"/>
                <wp:effectExtent l="0" t="0" r="28575" b="10160"/>
                <wp:wrapTight wrapText="bothSides">
                  <wp:wrapPolygon edited="0">
                    <wp:start x="0" y="0"/>
                    <wp:lineTo x="0" y="21566"/>
                    <wp:lineTo x="21682" y="21566"/>
                    <wp:lineTo x="21682" y="0"/>
                    <wp:lineTo x="0" y="0"/>
                  </wp:wrapPolygon>
                </wp:wrapTight>
                <wp:docPr id="249"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075" cy="5590540"/>
                        </a:xfrm>
                        <a:prstGeom prst="rect">
                          <a:avLst/>
                        </a:prstGeom>
                        <a:noFill/>
                        <a:ln w="19050">
                          <a:solidFill>
                            <a:srgbClr val="808080"/>
                          </a:solidFill>
                          <a:miter lim="800000"/>
                          <a:headEnd/>
                          <a:tailEnd/>
                        </a:ln>
                        <a:effectLst/>
                        <a:extLst>
                          <a:ext uri="{909E8E84-426E-40DD-AFC4-6F175D3DCCD1}">
                            <a14:hiddenFill xmlns:a14="http://schemas.microsoft.com/office/drawing/2010/main">
                              <a:solidFill>
                                <a:srgbClr val="008080">
                                  <a:alpha val="39999"/>
                                </a:srgbClr>
                              </a:soli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7B1397" w:rsidRDefault="007B1397" w:rsidP="00526043">
                            <w:pPr>
                              <w:ind w:right="-500"/>
                              <w:jc w:val="center"/>
                              <w:rPr>
                                <w:b/>
                              </w:rPr>
                            </w:pPr>
                          </w:p>
                          <w:p w:rsidR="007B1397" w:rsidRPr="00F27AFC" w:rsidRDefault="007B1397" w:rsidP="00526043">
                            <w:pPr>
                              <w:jc w:val="center"/>
                              <w:rPr>
                                <w:rFonts w:ascii="Arial" w:hAnsi="Arial"/>
                                <w:b/>
                                <w:color w:val="FF8000"/>
                                <w:sz w:val="32"/>
                              </w:rPr>
                            </w:pPr>
                            <w:r w:rsidRPr="0038268E">
                              <w:rPr>
                                <w:rFonts w:ascii="Arial" w:hAnsi="Arial"/>
                                <w:b/>
                                <w:color w:val="FF8000"/>
                                <w:sz w:val="32"/>
                              </w:rPr>
                              <w:t>Chiffres clés</w:t>
                            </w:r>
                          </w:p>
                          <w:p w:rsidR="007B1397" w:rsidRDefault="007B1397" w:rsidP="00526043">
                            <w:pPr>
                              <w:jc w:val="center"/>
                              <w:rPr>
                                <w:rFonts w:ascii="Arial" w:hAnsi="Arial"/>
                                <w:b/>
                              </w:rPr>
                            </w:pPr>
                          </w:p>
                          <w:p w:rsidR="007B1397" w:rsidRDefault="007B1397" w:rsidP="00526043">
                            <w:pPr>
                              <w:jc w:val="center"/>
                              <w:rPr>
                                <w:rFonts w:ascii="Arial" w:hAnsi="Arial"/>
                                <w:b/>
                              </w:rPr>
                            </w:pPr>
                            <w:r>
                              <w:rPr>
                                <w:rFonts w:ascii="Arial" w:hAnsi="Arial"/>
                                <w:b/>
                              </w:rPr>
                              <w:t>En administration centrale :</w:t>
                            </w:r>
                          </w:p>
                          <w:p w:rsidR="007B1397" w:rsidRPr="00CB5F30" w:rsidRDefault="007B1397" w:rsidP="00526043">
                            <w:pPr>
                              <w:jc w:val="center"/>
                              <w:rPr>
                                <w:rFonts w:ascii="Arial" w:hAnsi="Arial"/>
                                <w:b/>
                              </w:rPr>
                            </w:pPr>
                          </w:p>
                          <w:p w:rsidR="007B1397" w:rsidRPr="00F27AFC" w:rsidRDefault="007B1397" w:rsidP="00526043">
                            <w:pPr>
                              <w:jc w:val="center"/>
                              <w:rPr>
                                <w:rFonts w:ascii="Arial" w:hAnsi="Arial"/>
                                <w:b/>
                              </w:rPr>
                            </w:pPr>
                            <w:r>
                              <w:rPr>
                                <w:rFonts w:ascii="Arial" w:hAnsi="Arial"/>
                                <w:b/>
                                <w:color w:val="FF8000"/>
                                <w:sz w:val="32"/>
                              </w:rPr>
                              <w:t>24,5</w:t>
                            </w:r>
                            <w:r w:rsidRPr="00F27AFC">
                              <w:rPr>
                                <w:rFonts w:ascii="Arial" w:hAnsi="Arial"/>
                                <w:b/>
                                <w:color w:val="FF8000"/>
                                <w:sz w:val="32"/>
                              </w:rPr>
                              <w:t>%</w:t>
                            </w:r>
                            <w:r w:rsidRPr="00F27AFC">
                              <w:rPr>
                                <w:rFonts w:ascii="Arial" w:hAnsi="Arial"/>
                                <w:b/>
                              </w:rPr>
                              <w:t xml:space="preserve"> des dépenses d’action sociale concernent le logement</w:t>
                            </w:r>
                          </w:p>
                          <w:p w:rsidR="007B1397" w:rsidRPr="00F27AFC" w:rsidRDefault="007B1397" w:rsidP="00526043">
                            <w:pPr>
                              <w:jc w:val="center"/>
                              <w:rPr>
                                <w:rFonts w:ascii="Arial" w:hAnsi="Arial"/>
                                <w:b/>
                              </w:rPr>
                            </w:pPr>
                          </w:p>
                          <w:p w:rsidR="007B1397" w:rsidRPr="00F27AFC" w:rsidRDefault="007B1397" w:rsidP="00526043">
                            <w:pPr>
                              <w:jc w:val="center"/>
                              <w:rPr>
                                <w:rFonts w:ascii="Arial" w:hAnsi="Arial"/>
                                <w:b/>
                              </w:rPr>
                            </w:pPr>
                            <w:r>
                              <w:rPr>
                                <w:rFonts w:ascii="Arial" w:hAnsi="Arial"/>
                                <w:b/>
                                <w:color w:val="FF8000"/>
                                <w:sz w:val="32"/>
                              </w:rPr>
                              <w:t>24,1</w:t>
                            </w:r>
                            <w:r w:rsidRPr="00F27AFC">
                              <w:rPr>
                                <w:rFonts w:ascii="Arial" w:hAnsi="Arial"/>
                                <w:b/>
                                <w:color w:val="FF8000"/>
                                <w:sz w:val="32"/>
                              </w:rPr>
                              <w:t>%</w:t>
                            </w:r>
                            <w:r w:rsidRPr="00F27AFC">
                              <w:rPr>
                                <w:rFonts w:ascii="Arial" w:hAnsi="Arial"/>
                                <w:b/>
                              </w:rPr>
                              <w:t xml:space="preserve"> des dépenses d’action sociale concernent les associations de personnel</w:t>
                            </w:r>
                          </w:p>
                          <w:p w:rsidR="007B1397" w:rsidRPr="00F27AFC" w:rsidRDefault="007B1397" w:rsidP="00526043">
                            <w:pPr>
                              <w:jc w:val="center"/>
                              <w:rPr>
                                <w:rFonts w:ascii="Arial" w:hAnsi="Arial"/>
                                <w:b/>
                              </w:rPr>
                            </w:pPr>
                          </w:p>
                          <w:p w:rsidR="007B1397" w:rsidRDefault="007B1397" w:rsidP="00526043">
                            <w:pPr>
                              <w:jc w:val="center"/>
                              <w:rPr>
                                <w:rFonts w:ascii="Arial" w:hAnsi="Arial"/>
                                <w:b/>
                              </w:rPr>
                            </w:pPr>
                            <w:r>
                              <w:rPr>
                                <w:rFonts w:ascii="Arial" w:hAnsi="Arial"/>
                                <w:b/>
                                <w:color w:val="FF8000"/>
                                <w:sz w:val="32"/>
                              </w:rPr>
                              <w:t>18,8</w:t>
                            </w:r>
                            <w:r w:rsidRPr="00F27AFC">
                              <w:rPr>
                                <w:rFonts w:ascii="Arial" w:hAnsi="Arial"/>
                                <w:b/>
                                <w:color w:val="FF8000"/>
                                <w:sz w:val="32"/>
                              </w:rPr>
                              <w:t>%</w:t>
                            </w:r>
                            <w:r w:rsidRPr="00F27AFC">
                              <w:rPr>
                                <w:rFonts w:ascii="Arial" w:hAnsi="Arial"/>
                                <w:b/>
                              </w:rPr>
                              <w:t xml:space="preserve"> des dépenses d’action sociale concernent la restauration</w:t>
                            </w:r>
                            <w:r>
                              <w:rPr>
                                <w:rFonts w:ascii="Arial" w:hAnsi="Arial"/>
                                <w:b/>
                              </w:rPr>
                              <w:t xml:space="preserve"> collective</w:t>
                            </w:r>
                          </w:p>
                          <w:p w:rsidR="007B1397" w:rsidRDefault="007B1397" w:rsidP="00526043">
                            <w:pPr>
                              <w:jc w:val="center"/>
                              <w:rPr>
                                <w:rFonts w:ascii="Arial" w:hAnsi="Arial"/>
                                <w:b/>
                              </w:rPr>
                            </w:pPr>
                          </w:p>
                          <w:p w:rsidR="007B1397" w:rsidRDefault="007B1397" w:rsidP="00526043">
                            <w:pPr>
                              <w:jc w:val="center"/>
                              <w:rPr>
                                <w:rFonts w:ascii="Arial" w:hAnsi="Arial"/>
                                <w:b/>
                              </w:rPr>
                            </w:pPr>
                            <w:r>
                              <w:rPr>
                                <w:rFonts w:ascii="Arial" w:hAnsi="Arial"/>
                                <w:b/>
                                <w:color w:val="FF8000"/>
                                <w:sz w:val="32"/>
                              </w:rPr>
                              <w:t>87</w:t>
                            </w:r>
                            <w:r>
                              <w:rPr>
                                <w:rFonts w:ascii="Arial" w:hAnsi="Arial"/>
                                <w:b/>
                              </w:rPr>
                              <w:t xml:space="preserve"> agents d’administration centrale ont été logés en logements sociaux</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0D55E" id="Rectangle 249" o:spid="_x0000_s1082" style="position:absolute;margin-left:276.1pt;margin-top:13.85pt;width:197.25pt;height:440.2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" filled="f" fillcolor="teal" strokecolor="gray" strokeweight="1.5pt">
                <v:fill opacity="26214f"/>
                <v:shadow opacity="22938f" offset="0"/>
                <v:textbox inset=",7.2pt,,7.2pt">
                  <w:txbxContent>
                    <w:p w:rsidR="007B1397" w:rsidRDefault="007B1397" w:rsidP="00526043">
                      <w:pPr>
                        <w:ind w:right="-500"/>
                        <w:jc w:val="center"/>
                        <w:rPr>
                          <w:b/>
                        </w:rPr>
                      </w:pPr>
                    </w:p>
                    <w:p w:rsidR="007B1397" w:rsidRPr="00F27AFC" w:rsidRDefault="007B1397" w:rsidP="00526043">
                      <w:pPr>
                        <w:jc w:val="center"/>
                        <w:rPr>
                          <w:rFonts w:ascii="Arial" w:hAnsi="Arial"/>
                          <w:b/>
                          <w:color w:val="FF8000"/>
                          <w:sz w:val="32"/>
                        </w:rPr>
                      </w:pPr>
                      <w:r w:rsidRPr="0038268E">
                        <w:rPr>
                          <w:rFonts w:ascii="Arial" w:hAnsi="Arial"/>
                          <w:b/>
                          <w:color w:val="FF8000"/>
                          <w:sz w:val="32"/>
                        </w:rPr>
                        <w:t>Chiffres clés</w:t>
                      </w:r>
                    </w:p>
                    <w:p w:rsidR="007B1397" w:rsidRDefault="007B1397" w:rsidP="00526043">
                      <w:pPr>
                        <w:jc w:val="center"/>
                        <w:rPr>
                          <w:rFonts w:ascii="Arial" w:hAnsi="Arial"/>
                          <w:b/>
                        </w:rPr>
                      </w:pPr>
                    </w:p>
                    <w:p w:rsidR="007B1397" w:rsidRDefault="007B1397" w:rsidP="00526043">
                      <w:pPr>
                        <w:jc w:val="center"/>
                        <w:rPr>
                          <w:rFonts w:ascii="Arial" w:hAnsi="Arial"/>
                          <w:b/>
                        </w:rPr>
                      </w:pPr>
                      <w:r>
                        <w:rPr>
                          <w:rFonts w:ascii="Arial" w:hAnsi="Arial"/>
                          <w:b/>
                        </w:rPr>
                        <w:t>En administration centrale :</w:t>
                      </w:r>
                    </w:p>
                    <w:p w:rsidR="007B1397" w:rsidRPr="00CB5F30" w:rsidRDefault="007B1397" w:rsidP="00526043">
                      <w:pPr>
                        <w:jc w:val="center"/>
                        <w:rPr>
                          <w:rFonts w:ascii="Arial" w:hAnsi="Arial"/>
                          <w:b/>
                        </w:rPr>
                      </w:pPr>
                    </w:p>
                    <w:p w:rsidR="007B1397" w:rsidRPr="00F27AFC" w:rsidRDefault="007B1397" w:rsidP="00526043">
                      <w:pPr>
                        <w:jc w:val="center"/>
                        <w:rPr>
                          <w:rFonts w:ascii="Arial" w:hAnsi="Arial"/>
                          <w:b/>
                        </w:rPr>
                      </w:pPr>
                      <w:r>
                        <w:rPr>
                          <w:rFonts w:ascii="Arial" w:hAnsi="Arial"/>
                          <w:b/>
                          <w:color w:val="FF8000"/>
                          <w:sz w:val="32"/>
                        </w:rPr>
                        <w:t>24,5</w:t>
                      </w:r>
                      <w:r w:rsidRPr="00F27AFC">
                        <w:rPr>
                          <w:rFonts w:ascii="Arial" w:hAnsi="Arial"/>
                          <w:b/>
                          <w:color w:val="FF8000"/>
                          <w:sz w:val="32"/>
                        </w:rPr>
                        <w:t>%</w:t>
                      </w:r>
                      <w:r w:rsidRPr="00F27AFC">
                        <w:rPr>
                          <w:rFonts w:ascii="Arial" w:hAnsi="Arial"/>
                          <w:b/>
                        </w:rPr>
                        <w:t xml:space="preserve"> des dépenses d’action sociale concernent le logement</w:t>
                      </w:r>
                    </w:p>
                    <w:p w:rsidR="007B1397" w:rsidRPr="00F27AFC" w:rsidRDefault="007B1397" w:rsidP="00526043">
                      <w:pPr>
                        <w:jc w:val="center"/>
                        <w:rPr>
                          <w:rFonts w:ascii="Arial" w:hAnsi="Arial"/>
                          <w:b/>
                        </w:rPr>
                      </w:pPr>
                    </w:p>
                    <w:p w:rsidR="007B1397" w:rsidRPr="00F27AFC" w:rsidRDefault="007B1397" w:rsidP="00526043">
                      <w:pPr>
                        <w:jc w:val="center"/>
                        <w:rPr>
                          <w:rFonts w:ascii="Arial" w:hAnsi="Arial"/>
                          <w:b/>
                        </w:rPr>
                      </w:pPr>
                      <w:r>
                        <w:rPr>
                          <w:rFonts w:ascii="Arial" w:hAnsi="Arial"/>
                          <w:b/>
                          <w:color w:val="FF8000"/>
                          <w:sz w:val="32"/>
                        </w:rPr>
                        <w:t>24,1</w:t>
                      </w:r>
                      <w:r w:rsidRPr="00F27AFC">
                        <w:rPr>
                          <w:rFonts w:ascii="Arial" w:hAnsi="Arial"/>
                          <w:b/>
                          <w:color w:val="FF8000"/>
                          <w:sz w:val="32"/>
                        </w:rPr>
                        <w:t>%</w:t>
                      </w:r>
                      <w:r w:rsidRPr="00F27AFC">
                        <w:rPr>
                          <w:rFonts w:ascii="Arial" w:hAnsi="Arial"/>
                          <w:b/>
                        </w:rPr>
                        <w:t xml:space="preserve"> des dépenses d’action sociale concernent les associations de personnel</w:t>
                      </w:r>
                    </w:p>
                    <w:p w:rsidR="007B1397" w:rsidRPr="00F27AFC" w:rsidRDefault="007B1397" w:rsidP="00526043">
                      <w:pPr>
                        <w:jc w:val="center"/>
                        <w:rPr>
                          <w:rFonts w:ascii="Arial" w:hAnsi="Arial"/>
                          <w:b/>
                        </w:rPr>
                      </w:pPr>
                    </w:p>
                    <w:p w:rsidR="007B1397" w:rsidRDefault="007B1397" w:rsidP="00526043">
                      <w:pPr>
                        <w:jc w:val="center"/>
                        <w:rPr>
                          <w:rFonts w:ascii="Arial" w:hAnsi="Arial"/>
                          <w:b/>
                        </w:rPr>
                      </w:pPr>
                      <w:r>
                        <w:rPr>
                          <w:rFonts w:ascii="Arial" w:hAnsi="Arial"/>
                          <w:b/>
                          <w:color w:val="FF8000"/>
                          <w:sz w:val="32"/>
                        </w:rPr>
                        <w:t>18,8</w:t>
                      </w:r>
                      <w:r w:rsidRPr="00F27AFC">
                        <w:rPr>
                          <w:rFonts w:ascii="Arial" w:hAnsi="Arial"/>
                          <w:b/>
                          <w:color w:val="FF8000"/>
                          <w:sz w:val="32"/>
                        </w:rPr>
                        <w:t>%</w:t>
                      </w:r>
                      <w:r w:rsidRPr="00F27AFC">
                        <w:rPr>
                          <w:rFonts w:ascii="Arial" w:hAnsi="Arial"/>
                          <w:b/>
                        </w:rPr>
                        <w:t xml:space="preserve"> des dépenses d’action sociale concernent la restauration</w:t>
                      </w:r>
                      <w:r>
                        <w:rPr>
                          <w:rFonts w:ascii="Arial" w:hAnsi="Arial"/>
                          <w:b/>
                        </w:rPr>
                        <w:t xml:space="preserve"> collective</w:t>
                      </w:r>
                    </w:p>
                    <w:p w:rsidR="007B1397" w:rsidRDefault="007B1397" w:rsidP="00526043">
                      <w:pPr>
                        <w:jc w:val="center"/>
                        <w:rPr>
                          <w:rFonts w:ascii="Arial" w:hAnsi="Arial"/>
                          <w:b/>
                        </w:rPr>
                      </w:pPr>
                    </w:p>
                    <w:p w:rsidR="007B1397" w:rsidRDefault="007B1397" w:rsidP="00526043">
                      <w:pPr>
                        <w:jc w:val="center"/>
                        <w:rPr>
                          <w:rFonts w:ascii="Arial" w:hAnsi="Arial"/>
                          <w:b/>
                        </w:rPr>
                      </w:pPr>
                      <w:r>
                        <w:rPr>
                          <w:rFonts w:ascii="Arial" w:hAnsi="Arial"/>
                          <w:b/>
                          <w:color w:val="FF8000"/>
                          <w:sz w:val="32"/>
                        </w:rPr>
                        <w:t>87</w:t>
                      </w:r>
                      <w:r>
                        <w:rPr>
                          <w:rFonts w:ascii="Arial" w:hAnsi="Arial"/>
                          <w:b/>
                        </w:rPr>
                        <w:t xml:space="preserve"> agents d’administration centrale ont été logés en logements sociaux</w:t>
                      </w:r>
                    </w:p>
                  </w:txbxContent>
                </v:textbox>
                <w10:wrap type="tight" anchorx="margin"/>
              </v:rect>
            </w:pict>
          </mc:Fallback>
        </mc:AlternateContent>
      </w:r>
    </w:p>
    <w:p w:rsidR="00526043" w:rsidRDefault="00526043" w:rsidP="00526043">
      <w:pPr>
        <w:tabs>
          <w:tab w:val="left" w:pos="1220"/>
        </w:tabs>
        <w:rPr>
          <w:rFonts w:ascii="BlairMdITC TT-Medium" w:eastAsia="Cambria" w:hAnsi="BlairMdITC TT-Medium" w:cs="Times New Roman"/>
          <w:b/>
          <w:color w:val="800000"/>
          <w:sz w:val="48"/>
        </w:rPr>
      </w:pPr>
    </w:p>
    <w:p w:rsidR="00526043" w:rsidRDefault="00526043" w:rsidP="00526043">
      <w:pPr>
        <w:tabs>
          <w:tab w:val="left" w:pos="1220"/>
        </w:tabs>
        <w:rPr>
          <w:rFonts w:ascii="BlairMdITC TT-Medium" w:eastAsia="Cambria" w:hAnsi="BlairMdITC TT-Medium" w:cs="Times New Roman"/>
          <w:b/>
          <w:color w:val="800000"/>
          <w:sz w:val="48"/>
        </w:rPr>
      </w:pPr>
    </w:p>
    <w:p w:rsidR="007C0367" w:rsidRDefault="007C0367" w:rsidP="00526043">
      <w:pPr>
        <w:jc w:val="both"/>
        <w:rPr>
          <w:rFonts w:ascii="Arial" w:eastAsia="Times New Roman" w:hAnsi="Arial" w:cs="Arial"/>
          <w:b/>
          <w:sz w:val="22"/>
          <w:szCs w:val="22"/>
          <w:u w:val="single"/>
          <w:lang w:eastAsia="fr-FR"/>
        </w:rPr>
      </w:pPr>
    </w:p>
    <w:p w:rsidR="007C0367" w:rsidRDefault="007C0367" w:rsidP="00526043">
      <w:pPr>
        <w:jc w:val="both"/>
        <w:rPr>
          <w:rFonts w:ascii="Arial" w:eastAsia="Times New Roman" w:hAnsi="Arial" w:cs="Arial"/>
          <w:b/>
          <w:sz w:val="22"/>
          <w:szCs w:val="22"/>
          <w:u w:val="single"/>
          <w:lang w:eastAsia="fr-FR"/>
        </w:rPr>
      </w:pPr>
    </w:p>
    <w:p w:rsidR="00526043" w:rsidRPr="00526043" w:rsidRDefault="007C0367" w:rsidP="00526043">
      <w:pPr>
        <w:jc w:val="both"/>
        <w:rPr>
          <w:rFonts w:ascii="Arial" w:eastAsia="Times New Roman" w:hAnsi="Arial" w:cs="Arial"/>
          <w:b/>
          <w:sz w:val="22"/>
          <w:szCs w:val="22"/>
          <w:u w:val="single"/>
          <w:lang w:eastAsia="fr-FR"/>
        </w:rPr>
      </w:pPr>
      <w:r>
        <w:rPr>
          <w:noProof/>
          <w:lang w:eastAsia="fr-FR"/>
        </w:rPr>
        <w:lastRenderedPageBreak/>
        <mc:AlternateContent>
          <mc:Choice Requires="wps">
            <w:drawing>
              <wp:anchor distT="0" distB="0" distL="114300" distR="114300" simplePos="0" relativeHeight="251832320" behindDoc="0" locked="0" layoutInCell="1" allowOverlap="1" wp14:anchorId="5B909ABD" wp14:editId="558D1A9A">
                <wp:simplePos x="0" y="0"/>
                <wp:positionH relativeFrom="page">
                  <wp:posOffset>54294</wp:posOffset>
                </wp:positionH>
                <wp:positionV relativeFrom="paragraph">
                  <wp:posOffset>-640398</wp:posOffset>
                </wp:positionV>
                <wp:extent cx="1241180" cy="714904"/>
                <wp:effectExtent l="301307" t="0" r="184468" b="0"/>
                <wp:wrapNone/>
                <wp:docPr id="250" name="Zone de texte 250"/>
                <wp:cNvGraphicFramePr/>
                <a:graphic xmlns:a="http://schemas.openxmlformats.org/drawingml/2006/main">
                  <a:graphicData uri="http://schemas.microsoft.com/office/word/2010/wordprocessingShape">
                    <wps:wsp>
                      <wps:cNvSpPr txBox="1"/>
                      <wps:spPr>
                        <a:xfrm rot="3345911">
                          <a:off x="0" y="0"/>
                          <a:ext cx="1241180" cy="714904"/>
                        </a:xfrm>
                        <a:prstGeom prst="rect">
                          <a:avLst/>
                        </a:prstGeom>
                        <a:noFill/>
                        <a:ln>
                          <a:noFill/>
                        </a:ln>
                        <a:effectLst/>
                        <a:scene3d>
                          <a:camera prst="isometricRightUp"/>
                          <a:lightRig rig="threePt" dir="t"/>
                        </a:scene3d>
                      </wps:spPr>
                      <wps:txbx>
                        <w:txbxContent>
                          <w:p w:rsidR="007B1397" w:rsidRPr="00B95022" w:rsidRDefault="007B1397" w:rsidP="00526043">
                            <w:pPr>
                              <w:widowControl w:val="0"/>
                              <w:autoSpaceDE w:val="0"/>
                              <w:autoSpaceDN w:val="0"/>
                              <w:adjustRightInd w:val="0"/>
                              <w:jc w:val="center"/>
                              <w:rPr>
                                <w:rFonts w:ascii="Arial" w:eastAsia="Cambria" w:hAnsi="Arial" w:cs="Times New Roman"/>
                                <w:b/>
                                <w:color w:val="FF0000"/>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C0367">
                              <w:rPr>
                                <w:rFonts w:ascii="Arial" w:eastAsia="Cambria" w:hAnsi="Arial" w:cs="Times New Roman"/>
                                <w:b/>
                                <w:color w:val="FF0000"/>
                                <w:sz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B909ABD" id="Zone de texte 250" o:spid="_x0000_s1083" type="#_x0000_t202" style="position:absolute;left:0;text-align:left;margin-left:4.3pt;margin-top:-50.45pt;width:97.75pt;height:56.3pt;rotation:3654627fd;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" filled="f" stroked="f">
                <v:textbox>
                  <w:txbxContent>
                    <w:p w:rsidR="007B1397" w:rsidRPr="00B95022" w:rsidRDefault="007B1397" w:rsidP="00526043">
                      <w:pPr>
                        <w:widowControl w:val="0"/>
                        <w:autoSpaceDE w:val="0"/>
                        <w:autoSpaceDN w:val="0"/>
                        <w:adjustRightInd w:val="0"/>
                        <w:jc w:val="center"/>
                        <w:rPr>
                          <w:rFonts w:ascii="Arial" w:eastAsia="Cambria" w:hAnsi="Arial" w:cs="Times New Roman"/>
                          <w:b/>
                          <w:color w:val="FF0000"/>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C0367">
                        <w:rPr>
                          <w:rFonts w:ascii="Arial" w:eastAsia="Cambria" w:hAnsi="Arial" w:cs="Times New Roman"/>
                          <w:b/>
                          <w:color w:val="FF0000"/>
                          <w:sz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w10:wrap anchorx="page"/>
              </v:shape>
            </w:pict>
          </mc:Fallback>
        </mc:AlternateContent>
      </w:r>
      <w:r w:rsidR="00526043" w:rsidRPr="00526043">
        <w:rPr>
          <w:rFonts w:ascii="Arial" w:eastAsia="Times New Roman" w:hAnsi="Arial" w:cs="Arial"/>
          <w:b/>
          <w:sz w:val="22"/>
          <w:szCs w:val="22"/>
          <w:u w:val="single"/>
          <w:lang w:eastAsia="fr-FR"/>
        </w:rPr>
        <w:t>Le bureau de l’action sociale et de la prévention</w:t>
      </w:r>
    </w:p>
    <w:p w:rsidR="00526043" w:rsidRPr="00526043" w:rsidRDefault="00526043" w:rsidP="00526043">
      <w:pPr>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sz w:val="22"/>
          <w:szCs w:val="22"/>
          <w:lang w:eastAsia="fr-FR"/>
        </w:rPr>
        <w:t>La mobilisation quotidienne de l’ensemble de l’équipe du bureau de l’action sociale et de la prévention sur l’année 2013 est une réalité que ne reflète pas la seule analyse des données budgétaires et comptables.</w:t>
      </w:r>
    </w:p>
    <w:p w:rsidR="00526043" w:rsidRPr="00526043" w:rsidRDefault="00526043" w:rsidP="00526043">
      <w:pPr>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sz w:val="22"/>
          <w:szCs w:val="22"/>
          <w:lang w:eastAsia="fr-FR"/>
        </w:rPr>
        <w:t>Qu’elle soit orientée vers l’action sociale collective ou individuelle, la mise en œuvre, au quotidien, des orientations des politiques sociales correspond avant tout à une activité de service de chacun des membres du bureau. Ce service rendu à d’autres agents répartis sur l’ensemble du répertoire, correspond à une éthique intégrant l’écoute et le renseignement des interlocuteurs, le respect des agents en demande, la relation de confiance notamment fondée sur la confidentialité des situations individuelles présentées, la qualité de l’analyse des situations, la réponse systématique aux demandes dans les meilleurs délais.</w:t>
      </w:r>
    </w:p>
    <w:p w:rsidR="00526043" w:rsidRPr="00526043" w:rsidRDefault="00526043" w:rsidP="00526043">
      <w:pPr>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sz w:val="22"/>
          <w:szCs w:val="22"/>
          <w:lang w:eastAsia="fr-FR"/>
        </w:rPr>
        <w:t>Ce service ne doit cependant pas être confondu avec une servitude et il est devenu plus souvent nécessaire de rappeler certains fondamentaux à quelques agents en demande pressante, qui considèrent leur situation comme la plus digne d’intérêt, la plus urgente et la plus prioritaire.</w:t>
      </w:r>
    </w:p>
    <w:p w:rsidR="00526043" w:rsidRPr="00526043" w:rsidRDefault="00526043" w:rsidP="00526043">
      <w:pPr>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sz w:val="22"/>
          <w:szCs w:val="22"/>
          <w:lang w:eastAsia="fr-FR"/>
        </w:rPr>
        <w:t>Le périmètre d’activité du bureau s’étend pour de nombreux champs d’action au-delà du périmètre classique des frontières du ministère. Depuis 2010, il verse bien sûr les prestations sociales de tous les agents rémunérés par le ministère, quelle que soit leur affectation. Il s’est en la matière conformé, dans ce mouvement de recentralisation, à la démarche adoptée pour la paie par le bureau de la rémunération, puis par les bureaux de gestion. Il convient de souligner qu’il assure un service qui bénéficie également aux agents contractuels des établissements. Pour le logement social en particulier, il est pour eux, en Île-de-France, le passage obligé de l’accès au parc préfectoral. C’est également lui qui assure en Île-de-France l’accompagnement social de proximité des agents contractuels d’EPA non dotés de travailleurs sociaux.</w:t>
      </w:r>
    </w:p>
    <w:p w:rsidR="00526043" w:rsidRPr="00526043" w:rsidRDefault="00526043" w:rsidP="00526043">
      <w:pPr>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sz w:val="22"/>
          <w:szCs w:val="22"/>
          <w:lang w:eastAsia="fr-FR"/>
        </w:rPr>
        <w:t>Le bureau se soucie d’adapter en permanence les réponses à la demande pour renforcer la qualité du service rendu. Le rythme de création et l’évolution de prestations sociales en témoignent sur la durée. Plus ponctuellement, si aucun renfort pérenne n’a accompagné la recentralisation de l’instruction, du calcul des droits et de la mise en paiement des prestations sociales individuelles, la présence d’une vacataire a permis en 2013 un traitement accéléré des dossiers et de répondre à l’afflux des demandes d’aide à la scolarité, concentré comme chaque année entre septembre et novembre.</w:t>
      </w:r>
    </w:p>
    <w:p w:rsidR="00526043" w:rsidRPr="00526043" w:rsidRDefault="00526043" w:rsidP="00526043">
      <w:pPr>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p>
    <w:p w:rsidR="00526043" w:rsidRPr="00526043" w:rsidRDefault="00526043" w:rsidP="00526043">
      <w:pPr>
        <w:pStyle w:val="Titre1"/>
        <w:jc w:val="both"/>
        <w:rPr>
          <w:rFonts w:ascii="Arial" w:hAnsi="Arial" w:cs="Arial"/>
          <w:sz w:val="22"/>
          <w:szCs w:val="22"/>
          <w:u w:val="single"/>
        </w:rPr>
      </w:pPr>
      <w:r w:rsidRPr="00526043">
        <w:rPr>
          <w:rFonts w:ascii="Arial" w:hAnsi="Arial" w:cs="Arial"/>
          <w:sz w:val="22"/>
          <w:szCs w:val="22"/>
          <w:u w:val="single"/>
        </w:rPr>
        <w:t>Le service social du personnel</w:t>
      </w:r>
    </w:p>
    <w:p w:rsidR="00526043" w:rsidRPr="00526043" w:rsidRDefault="00526043" w:rsidP="00526043">
      <w:pPr>
        <w:rPr>
          <w:sz w:val="22"/>
          <w:szCs w:val="22"/>
          <w:lang w:eastAsia="hi-IN" w:bidi="hi-IN"/>
        </w:rPr>
      </w:pPr>
    </w:p>
    <w:p w:rsidR="00526043" w:rsidRPr="00526043" w:rsidRDefault="00526043" w:rsidP="00526043">
      <w:pPr>
        <w:jc w:val="both"/>
        <w:rPr>
          <w:rFonts w:ascii="Arial" w:hAnsi="Arial" w:cs="Arial"/>
          <w:sz w:val="22"/>
          <w:szCs w:val="22"/>
        </w:rPr>
      </w:pPr>
      <w:r w:rsidRPr="00526043">
        <w:rPr>
          <w:rFonts w:ascii="Arial" w:hAnsi="Arial" w:cs="Arial"/>
          <w:sz w:val="22"/>
          <w:szCs w:val="22"/>
        </w:rPr>
        <w:t>Rattaché au Bureau de l'Action Sociale et de la Prévention au sein du service des ressources humaines (S.R.H), le service social du personnel intervient auprès des agents sur le plan individuel et collectif.</w:t>
      </w:r>
    </w:p>
    <w:p w:rsidR="00526043" w:rsidRPr="00526043" w:rsidRDefault="00526043" w:rsidP="00526043">
      <w:pPr>
        <w:jc w:val="both"/>
        <w:rPr>
          <w:rFonts w:ascii="Arial" w:hAnsi="Arial" w:cs="Arial"/>
          <w:sz w:val="22"/>
          <w:szCs w:val="22"/>
        </w:rPr>
      </w:pPr>
      <w:r w:rsidRPr="00526043">
        <w:rPr>
          <w:rFonts w:ascii="Arial" w:hAnsi="Arial" w:cs="Arial"/>
          <w:sz w:val="22"/>
          <w:szCs w:val="22"/>
        </w:rPr>
        <w:t>A disposition des agents demandeurs d’aide, les assistantes sociales sont tenues au secret professionnel. Sur le plan déontologique, l’intervention du service social est fondée sur le respect de la personne et sur l’égalité de traitement entre les agents.</w:t>
      </w:r>
    </w:p>
    <w:p w:rsidR="00526043" w:rsidRPr="00526043" w:rsidRDefault="00526043" w:rsidP="00526043">
      <w:pPr>
        <w:pStyle w:val="Corpsdetexte21"/>
        <w:rPr>
          <w:rFonts w:ascii="Arial" w:hAnsi="Arial" w:cs="Arial"/>
          <w:color w:val="auto"/>
          <w:sz w:val="22"/>
          <w:szCs w:val="22"/>
        </w:rPr>
      </w:pPr>
      <w:r w:rsidRPr="00526043">
        <w:rPr>
          <w:rFonts w:ascii="Arial" w:hAnsi="Arial" w:cs="Arial"/>
          <w:color w:val="auto"/>
          <w:sz w:val="22"/>
          <w:szCs w:val="22"/>
        </w:rPr>
        <w:t xml:space="preserve">L’écoute, l’information sur les droits, l’accompagnement et l’orientation vers les dispositifs et interlocuteurs les plus adaptés font partie des missions premières du service social, ainsi que la mise sous protection des personnes vulnérables (majeures ou mineures). </w:t>
      </w:r>
    </w:p>
    <w:p w:rsidR="00526043" w:rsidRPr="00526043" w:rsidRDefault="00526043" w:rsidP="00526043">
      <w:pPr>
        <w:jc w:val="both"/>
        <w:rPr>
          <w:rFonts w:ascii="Arial" w:hAnsi="Arial" w:cs="Arial"/>
          <w:sz w:val="22"/>
          <w:szCs w:val="22"/>
        </w:rPr>
      </w:pPr>
      <w:r w:rsidRPr="00526043">
        <w:rPr>
          <w:rFonts w:ascii="Arial" w:hAnsi="Arial" w:cs="Arial"/>
          <w:sz w:val="22"/>
          <w:szCs w:val="22"/>
        </w:rPr>
        <w:t xml:space="preserve">Les agents demandeurs d’aide peuvent être soutenus et accompagnés par le service social dans la résolution de leurs difficultés financières, professionnelles, familiales et sociales. </w:t>
      </w:r>
    </w:p>
    <w:p w:rsidR="00526043" w:rsidRPr="00526043" w:rsidRDefault="00526043" w:rsidP="00526043">
      <w:pPr>
        <w:jc w:val="both"/>
        <w:rPr>
          <w:rFonts w:ascii="Arial" w:hAnsi="Arial" w:cs="Arial"/>
          <w:sz w:val="22"/>
          <w:szCs w:val="22"/>
        </w:rPr>
      </w:pPr>
    </w:p>
    <w:p w:rsidR="00526043" w:rsidRPr="00526043" w:rsidRDefault="00526043" w:rsidP="00526043">
      <w:pPr>
        <w:jc w:val="both"/>
        <w:rPr>
          <w:rFonts w:ascii="Arial" w:hAnsi="Arial" w:cs="Arial"/>
          <w:sz w:val="22"/>
          <w:szCs w:val="22"/>
        </w:rPr>
      </w:pPr>
      <w:r w:rsidRPr="00526043">
        <w:rPr>
          <w:rFonts w:ascii="Arial" w:hAnsi="Arial" w:cs="Arial"/>
          <w:sz w:val="22"/>
          <w:szCs w:val="22"/>
        </w:rPr>
        <w:lastRenderedPageBreak/>
        <w:t>L’équipe sociale est composée de 4 assistantes sociales. Elle continue d’assumer les missions de la conseillère technique sociale dont le poste est vacant depuis juillet 2011, ainsi que les fonctions administratives et tâches relatives au secrétariat.</w:t>
      </w:r>
    </w:p>
    <w:p w:rsidR="00526043" w:rsidRPr="00526043" w:rsidRDefault="00526043" w:rsidP="00526043">
      <w:pPr>
        <w:jc w:val="both"/>
        <w:rPr>
          <w:rFonts w:ascii="Arial" w:hAnsi="Arial" w:cs="Arial"/>
          <w:sz w:val="22"/>
          <w:szCs w:val="22"/>
        </w:rPr>
      </w:pPr>
      <w:r w:rsidRPr="00526043">
        <w:rPr>
          <w:rFonts w:ascii="Arial" w:hAnsi="Arial" w:cs="Arial"/>
          <w:sz w:val="22"/>
          <w:szCs w:val="22"/>
        </w:rPr>
        <w:t>L’équipe a également maintenu pendant le premier semestre 2013 son effort dans la prise en charge des agents contractuels CMN suite à la vacance du poste d’assistante sociale et dans l’attente du recrutement d’une conseillère technique.</w:t>
      </w:r>
    </w:p>
    <w:p w:rsidR="00526043" w:rsidRPr="00526043" w:rsidRDefault="00526043" w:rsidP="00526043">
      <w:pPr>
        <w:jc w:val="both"/>
        <w:rPr>
          <w:rFonts w:ascii="Arial" w:hAnsi="Arial" w:cs="Arial"/>
          <w:sz w:val="22"/>
          <w:szCs w:val="22"/>
        </w:rPr>
      </w:pPr>
      <w:r w:rsidRPr="00526043">
        <w:rPr>
          <w:rFonts w:ascii="Arial" w:hAnsi="Arial" w:cs="Arial"/>
          <w:sz w:val="22"/>
          <w:szCs w:val="22"/>
        </w:rPr>
        <w:t>Les agents peuvent contacter le service social par téléphone lors des permanences téléphoniques, par mail ou en se présentant spontanément au service. Ils sont ensuite reçus sur rendez-vous sur site.</w:t>
      </w:r>
    </w:p>
    <w:p w:rsidR="00526043" w:rsidRPr="00526043" w:rsidRDefault="00526043" w:rsidP="00526043">
      <w:pPr>
        <w:jc w:val="both"/>
        <w:rPr>
          <w:rFonts w:ascii="Arial" w:hAnsi="Arial" w:cs="Arial"/>
          <w:sz w:val="22"/>
          <w:szCs w:val="22"/>
        </w:rPr>
      </w:pPr>
      <w:r w:rsidRPr="00526043">
        <w:rPr>
          <w:rFonts w:ascii="Arial" w:hAnsi="Arial" w:cs="Arial"/>
          <w:sz w:val="22"/>
          <w:szCs w:val="22"/>
        </w:rPr>
        <w:t>L’équipe sociale effectue également des visites à domicile auprès d’agents qui, pour des raisons de lourds problèmes de santé, sont dans l’impossibilité de se déplacer.</w:t>
      </w:r>
    </w:p>
    <w:p w:rsidR="00526043" w:rsidRPr="00526043" w:rsidRDefault="00526043" w:rsidP="00526043">
      <w:pPr>
        <w:jc w:val="both"/>
        <w:rPr>
          <w:rFonts w:ascii="Arial" w:hAnsi="Arial" w:cs="Arial"/>
          <w:sz w:val="22"/>
          <w:szCs w:val="22"/>
          <w:u w:val="single"/>
        </w:rPr>
      </w:pPr>
    </w:p>
    <w:p w:rsidR="00526043" w:rsidRPr="00526043" w:rsidRDefault="00526043" w:rsidP="00526043">
      <w:pPr>
        <w:jc w:val="both"/>
        <w:rPr>
          <w:rFonts w:ascii="Arial" w:hAnsi="Arial" w:cs="Arial"/>
          <w:sz w:val="22"/>
          <w:szCs w:val="22"/>
        </w:rPr>
      </w:pPr>
      <w:r w:rsidRPr="00526043">
        <w:rPr>
          <w:rFonts w:ascii="Arial" w:hAnsi="Arial" w:cs="Arial"/>
          <w:sz w:val="22"/>
          <w:szCs w:val="22"/>
          <w:u w:val="single"/>
        </w:rPr>
        <w:t>Profil des demandeurs</w:t>
      </w:r>
    </w:p>
    <w:p w:rsidR="00526043" w:rsidRPr="00526043" w:rsidRDefault="00526043" w:rsidP="00526043">
      <w:pPr>
        <w:suppressAutoHyphens/>
        <w:jc w:val="both"/>
        <w:rPr>
          <w:rFonts w:ascii="Arial" w:hAnsi="Arial" w:cs="Arial"/>
          <w:sz w:val="22"/>
          <w:szCs w:val="22"/>
        </w:rPr>
      </w:pPr>
      <w:r w:rsidRPr="00526043">
        <w:rPr>
          <w:rFonts w:ascii="Arial" w:hAnsi="Arial" w:cs="Arial"/>
          <w:sz w:val="22"/>
          <w:szCs w:val="22"/>
        </w:rPr>
        <w:t>Pour l’année 2013, 410 agents ont été accueillis par le service social du personnel soit une augmentation de 5% par rapport à 2012.</w:t>
      </w:r>
    </w:p>
    <w:p w:rsidR="00526043" w:rsidRPr="00526043" w:rsidRDefault="00526043" w:rsidP="00526043">
      <w:pPr>
        <w:suppressAutoHyphens/>
        <w:jc w:val="both"/>
        <w:rPr>
          <w:rFonts w:ascii="Arial" w:hAnsi="Arial" w:cs="Arial"/>
          <w:sz w:val="22"/>
          <w:szCs w:val="22"/>
        </w:rPr>
      </w:pP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Les personnes célibataires avec ou sans enfant représentent toujours la majeure partie de la population accueillie en 2013 (42 %), et ces données restent stables par rapport à 2012.</w:t>
      </w:r>
    </w:p>
    <w:p w:rsidR="00526043" w:rsidRPr="00526043" w:rsidRDefault="00526043" w:rsidP="00526043">
      <w:pPr>
        <w:jc w:val="both"/>
        <w:rPr>
          <w:rFonts w:ascii="Arial" w:hAnsi="Arial" w:cs="Arial"/>
          <w:sz w:val="22"/>
          <w:szCs w:val="22"/>
        </w:rPr>
      </w:pPr>
      <w:r w:rsidRPr="00526043">
        <w:rPr>
          <w:rFonts w:ascii="Arial" w:hAnsi="Arial" w:cs="Arial"/>
          <w:sz w:val="22"/>
          <w:szCs w:val="22"/>
        </w:rPr>
        <w:t>Les agents titulaires, bien que représentant la population majoritairement reçue au service social (70%), connaît une forte baisse (- 14%) par rapport à l’année 2012.</w:t>
      </w: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A l’inverse, la catégorie d’agents “contractuels et vacataires” est en constante et forte hausse par rapport aux précédentes années (+ 14% par rapport à 2012, +18 % par rapport à 2011).</w:t>
      </w:r>
    </w:p>
    <w:p w:rsidR="00526043" w:rsidRPr="00526043" w:rsidRDefault="00526043" w:rsidP="00526043">
      <w:pPr>
        <w:jc w:val="both"/>
        <w:rPr>
          <w:rFonts w:ascii="Arial" w:hAnsi="Arial" w:cs="Arial"/>
          <w:sz w:val="22"/>
          <w:szCs w:val="22"/>
        </w:rPr>
      </w:pPr>
      <w:r w:rsidRPr="00526043">
        <w:rPr>
          <w:rFonts w:ascii="Arial" w:hAnsi="Arial" w:cs="Arial"/>
          <w:sz w:val="22"/>
          <w:szCs w:val="22"/>
        </w:rPr>
        <w:t>66% des agents reçus au service en 2013 sont des primo-arrivants.</w:t>
      </w:r>
    </w:p>
    <w:p w:rsidR="00526043" w:rsidRPr="00526043" w:rsidRDefault="00526043" w:rsidP="00526043">
      <w:pPr>
        <w:pStyle w:val="Corpsdetexte21"/>
        <w:rPr>
          <w:rFonts w:ascii="Arial" w:hAnsi="Arial" w:cs="Arial"/>
          <w:color w:val="auto"/>
          <w:sz w:val="22"/>
          <w:szCs w:val="22"/>
        </w:rPr>
      </w:pPr>
      <w:r w:rsidRPr="00526043">
        <w:rPr>
          <w:rFonts w:ascii="Arial" w:hAnsi="Arial" w:cs="Arial"/>
          <w:color w:val="auto"/>
          <w:sz w:val="22"/>
          <w:szCs w:val="22"/>
        </w:rPr>
        <w:t xml:space="preserve">Les demandes d’information, de conseil et d’écoute sont les motifs prioritairement et spontanément évoqués lors de la prise de contact avec le service social. Les agents expriment souvent ne pas connaître leurs droits et les dispositifs existants et se sentent démunis pour effectuer certaines démarches. Le rôle d’écoute, d’information et de conseil prend alors toute sa dimension pour répondre à cette demande. </w:t>
      </w:r>
    </w:p>
    <w:p w:rsidR="00526043" w:rsidRPr="00526043" w:rsidRDefault="00526043" w:rsidP="00526043">
      <w:pPr>
        <w:jc w:val="both"/>
        <w:rPr>
          <w:rFonts w:ascii="Arial" w:hAnsi="Arial" w:cs="Arial"/>
          <w:sz w:val="22"/>
          <w:szCs w:val="22"/>
        </w:rPr>
      </w:pPr>
      <w:r w:rsidRPr="00526043">
        <w:rPr>
          <w:rFonts w:ascii="Arial" w:hAnsi="Arial" w:cs="Arial"/>
          <w:sz w:val="22"/>
          <w:szCs w:val="22"/>
        </w:rPr>
        <w:t>La sollicitation d’un secours financier reste le second motif de demande d’aide.</w:t>
      </w:r>
    </w:p>
    <w:p w:rsidR="00526043" w:rsidRPr="00526043" w:rsidRDefault="00526043" w:rsidP="00526043">
      <w:pPr>
        <w:suppressAutoHyphens/>
        <w:jc w:val="both"/>
        <w:rPr>
          <w:rFonts w:ascii="Arial" w:hAnsi="Arial" w:cs="Arial"/>
          <w:sz w:val="22"/>
          <w:szCs w:val="22"/>
        </w:rPr>
      </w:pPr>
      <w:r w:rsidRPr="00526043">
        <w:rPr>
          <w:rFonts w:ascii="Arial" w:hAnsi="Arial" w:cs="Arial"/>
          <w:sz w:val="22"/>
          <w:szCs w:val="22"/>
        </w:rPr>
        <w:t>Les problématiques identifiées sont celles mises en lumière par le service social après échange et évaluation sociale de la situation de l’agent dans sa globalité. Ces dernières peuvent être différentes du motif initial exposé par l’agent lors de la première prise de contact.</w:t>
      </w:r>
    </w:p>
    <w:p w:rsidR="00526043" w:rsidRPr="00526043" w:rsidRDefault="00526043" w:rsidP="00526043">
      <w:pPr>
        <w:jc w:val="both"/>
        <w:rPr>
          <w:rFonts w:ascii="Arial" w:hAnsi="Arial" w:cs="Arial"/>
          <w:sz w:val="22"/>
          <w:szCs w:val="22"/>
        </w:rPr>
      </w:pPr>
      <w:r w:rsidRPr="00526043">
        <w:rPr>
          <w:rFonts w:ascii="Arial" w:hAnsi="Arial" w:cs="Arial"/>
          <w:sz w:val="22"/>
          <w:szCs w:val="22"/>
        </w:rPr>
        <w:t>Les problématiques identifiées sont catégorisées en plusieurs items généraux : financier, santé, familial, logement et professionnel.</w:t>
      </w:r>
    </w:p>
    <w:p w:rsidR="00526043" w:rsidRPr="00526043" w:rsidRDefault="00526043" w:rsidP="00526043">
      <w:pPr>
        <w:jc w:val="both"/>
        <w:rPr>
          <w:rFonts w:ascii="Arial" w:hAnsi="Arial" w:cs="Arial"/>
          <w:sz w:val="22"/>
          <w:szCs w:val="22"/>
        </w:rPr>
      </w:pPr>
      <w:r w:rsidRPr="00526043">
        <w:rPr>
          <w:rFonts w:ascii="Arial" w:hAnsi="Arial" w:cs="Arial"/>
          <w:sz w:val="22"/>
          <w:szCs w:val="22"/>
        </w:rPr>
        <w:t>La problématique financière demeure dominante. Elle reste prégnante et facteur d’angoisse pour l’agent et prédomine le plus souvent sur les autres problématiques néanmoins existantes.</w:t>
      </w: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En 2013, 181 demandes de secours ont été présentées par l’équipe de service social en commission des secours.</w:t>
      </w:r>
    </w:p>
    <w:p w:rsidR="00526043" w:rsidRPr="00526043" w:rsidRDefault="00526043" w:rsidP="00526043">
      <w:pPr>
        <w:jc w:val="both"/>
        <w:rPr>
          <w:rFonts w:ascii="Arial" w:hAnsi="Arial" w:cs="Arial"/>
          <w:sz w:val="22"/>
          <w:szCs w:val="22"/>
        </w:rPr>
      </w:pPr>
      <w:r w:rsidRPr="00526043">
        <w:rPr>
          <w:rFonts w:ascii="Arial" w:hAnsi="Arial" w:cs="Arial"/>
          <w:sz w:val="22"/>
          <w:szCs w:val="22"/>
        </w:rPr>
        <w:t>Ce nombre de demandes est en hausse constante depuis plusieurs années (+ 24 demandes entre 2012 et 2013, soit 15% d’augmentation).</w:t>
      </w:r>
    </w:p>
    <w:p w:rsidR="00526043" w:rsidRPr="00526043" w:rsidRDefault="00526043" w:rsidP="00526043">
      <w:pPr>
        <w:jc w:val="both"/>
        <w:rPr>
          <w:rFonts w:ascii="Arial" w:hAnsi="Arial" w:cs="Arial"/>
          <w:sz w:val="22"/>
          <w:szCs w:val="22"/>
        </w:rPr>
      </w:pPr>
      <w:r w:rsidRPr="00526043">
        <w:rPr>
          <w:rFonts w:ascii="Arial" w:hAnsi="Arial" w:cs="Arial"/>
          <w:sz w:val="22"/>
          <w:szCs w:val="22"/>
        </w:rPr>
        <w:t xml:space="preserve">Le suivi social des agents basés en région est assuré depuis 2010 par un réseau d’assistantes sociales qui interviennent en proximité sur les différents sites, suite à la signature d’une convention entre le Ministère de la culture et le Ministère de l’intérieur. Ce partenariat reste une réussite partagée. </w:t>
      </w:r>
    </w:p>
    <w:p w:rsidR="00526043" w:rsidRPr="00526043" w:rsidRDefault="00526043" w:rsidP="00526043">
      <w:pPr>
        <w:jc w:val="both"/>
        <w:rPr>
          <w:rFonts w:ascii="Arial" w:hAnsi="Arial" w:cs="Arial"/>
          <w:b/>
          <w:sz w:val="22"/>
          <w:szCs w:val="22"/>
        </w:rPr>
      </w:pPr>
    </w:p>
    <w:p w:rsidR="00526043" w:rsidRPr="00526043" w:rsidRDefault="00526043" w:rsidP="00526043">
      <w:pPr>
        <w:jc w:val="both"/>
        <w:rPr>
          <w:rFonts w:ascii="Arial" w:hAnsi="Arial" w:cs="Arial"/>
          <w:sz w:val="22"/>
          <w:szCs w:val="22"/>
          <w:u w:val="single"/>
        </w:rPr>
      </w:pPr>
      <w:r w:rsidRPr="00526043">
        <w:rPr>
          <w:rFonts w:ascii="Arial" w:hAnsi="Arial" w:cs="Arial"/>
          <w:sz w:val="22"/>
          <w:szCs w:val="22"/>
          <w:u w:val="single"/>
        </w:rPr>
        <w:t>Travail collectif et partenarial</w:t>
      </w:r>
    </w:p>
    <w:p w:rsidR="00526043" w:rsidRPr="00526043" w:rsidRDefault="00526043" w:rsidP="00526043">
      <w:pPr>
        <w:pStyle w:val="Corpsdetexte21"/>
        <w:rPr>
          <w:rFonts w:ascii="Arial" w:hAnsi="Arial" w:cs="Arial"/>
          <w:color w:val="auto"/>
          <w:sz w:val="22"/>
          <w:szCs w:val="22"/>
        </w:rPr>
      </w:pPr>
      <w:r w:rsidRPr="00526043">
        <w:rPr>
          <w:rFonts w:ascii="Arial" w:hAnsi="Arial" w:cs="Arial"/>
          <w:color w:val="auto"/>
          <w:sz w:val="22"/>
          <w:szCs w:val="22"/>
        </w:rPr>
        <w:t>L’équipe du service social a organisé une action collective sur le thème « La Consommation » qui s’est tenue le 19 février 2013 au sein du Ministère de la culture et de la communication.</w:t>
      </w:r>
    </w:p>
    <w:p w:rsidR="00526043" w:rsidRPr="00526043" w:rsidRDefault="00526043" w:rsidP="00526043">
      <w:pPr>
        <w:jc w:val="both"/>
        <w:rPr>
          <w:rFonts w:ascii="Arial" w:hAnsi="Arial" w:cs="Arial"/>
          <w:sz w:val="22"/>
          <w:szCs w:val="22"/>
        </w:rPr>
      </w:pPr>
      <w:r w:rsidRPr="00526043">
        <w:rPr>
          <w:rFonts w:ascii="Arial" w:hAnsi="Arial" w:cs="Arial"/>
          <w:sz w:val="22"/>
          <w:szCs w:val="22"/>
        </w:rPr>
        <w:t>L’objectif principal de l’action collective est de sensibiliser les agents sur cette thématique complexe et spécifique qu’est la consommation, et tenter de les aider à répondre aux questions suivantes : Qu’est-ce que la Consommation ? Comment je consomme ? Existe-t-il des moyens de consommer différemment ? Comment faire des économies ? Qu’est-ce qu’un crédit à la consommation?</w:t>
      </w: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 xml:space="preserve">Le service social, est acteur dans les instances ministérielles tels que le groupe « Risque Psycho-Sociaux », la commission des secours financiers, la participation au stage </w:t>
      </w:r>
      <w:r w:rsidRPr="00526043">
        <w:rPr>
          <w:rFonts w:ascii="Arial" w:hAnsi="Arial" w:cs="Arial"/>
          <w:color w:val="auto"/>
          <w:sz w:val="22"/>
          <w:szCs w:val="22"/>
        </w:rPr>
        <w:lastRenderedPageBreak/>
        <w:t>« préparation à la retraite ». Il s’est également investi en 2013 dans plusieurs groupes de travail en cohérence  avec sa spécificité sociale (groupes « Alerte suicide », « Mobilité et handicap », « Prestations ministérielles »).</w:t>
      </w:r>
    </w:p>
    <w:p w:rsidR="00526043" w:rsidRPr="00526043" w:rsidRDefault="00526043" w:rsidP="00526043">
      <w:pPr>
        <w:pStyle w:val="Corpsdetexte31"/>
        <w:jc w:val="both"/>
        <w:rPr>
          <w:rFonts w:ascii="Arial" w:hAnsi="Arial" w:cs="Arial"/>
          <w:color w:val="auto"/>
          <w:sz w:val="22"/>
          <w:szCs w:val="22"/>
        </w:rPr>
      </w:pP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Le service social travaille en étroite collaboration avec les différents interlocuteurs du Ministère (bureaux de gestion, BASP, médecine de prévention…). Ce partenariat permet de porter un regard global et pluridisciplinaire sur la situation d’un agent, de réfléchir, d’échanger et d’apporter des propositions adaptées et pertinentes.</w:t>
      </w: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Il permet de resserrer des liens interprofessionnels et cibler les compétences, possibilités et limites d’intervention de chacun.</w:t>
      </w:r>
    </w:p>
    <w:p w:rsidR="00526043" w:rsidRPr="00526043" w:rsidRDefault="00526043" w:rsidP="00526043">
      <w:pPr>
        <w:pStyle w:val="Corpsdetexte31"/>
        <w:jc w:val="both"/>
        <w:rPr>
          <w:rFonts w:ascii="Arial" w:hAnsi="Arial" w:cs="Arial"/>
          <w:b/>
          <w:color w:val="auto"/>
          <w:sz w:val="22"/>
          <w:szCs w:val="22"/>
        </w:rPr>
      </w:pPr>
    </w:p>
    <w:p w:rsidR="00526043" w:rsidRPr="00526043" w:rsidRDefault="00526043" w:rsidP="00526043">
      <w:pPr>
        <w:pStyle w:val="Corpsdetexte31"/>
        <w:jc w:val="both"/>
        <w:rPr>
          <w:rFonts w:ascii="Arial" w:hAnsi="Arial" w:cs="Arial"/>
          <w:color w:val="auto"/>
          <w:sz w:val="22"/>
          <w:szCs w:val="22"/>
          <w:u w:val="single"/>
        </w:rPr>
      </w:pPr>
      <w:r w:rsidRPr="00526043">
        <w:rPr>
          <w:rFonts w:ascii="Arial" w:hAnsi="Arial" w:cs="Arial"/>
          <w:color w:val="auto"/>
          <w:sz w:val="22"/>
          <w:szCs w:val="22"/>
          <w:u w:val="single"/>
        </w:rPr>
        <w:t>Conclusion</w:t>
      </w:r>
    </w:p>
    <w:p w:rsidR="00526043" w:rsidRPr="00526043" w:rsidRDefault="00526043" w:rsidP="00526043">
      <w:pPr>
        <w:pStyle w:val="Corpsdetexte31"/>
        <w:jc w:val="both"/>
        <w:rPr>
          <w:rFonts w:ascii="Arial" w:hAnsi="Arial" w:cs="Arial"/>
          <w:color w:val="auto"/>
          <w:sz w:val="22"/>
          <w:szCs w:val="22"/>
        </w:rPr>
      </w:pP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Placée sous le signe d’une équipe sociale stabilisée en terme d’effectif, l’année 2013 a néanmoins été une année chargée pour les travailleurs sociaux pour maintenir une qualité de service dans la prise en charge des agents, dans le traitement des demandes sociales, et dans l’intérêt des agents placés au cœur de notre travail.</w:t>
      </w:r>
    </w:p>
    <w:p w:rsidR="00526043" w:rsidRPr="00526043" w:rsidRDefault="00526043" w:rsidP="00526043">
      <w:pPr>
        <w:pStyle w:val="Corpsdetexte31"/>
        <w:jc w:val="both"/>
        <w:rPr>
          <w:rFonts w:ascii="Arial" w:hAnsi="Arial" w:cs="Arial"/>
          <w:color w:val="auto"/>
          <w:sz w:val="22"/>
          <w:szCs w:val="22"/>
        </w:rPr>
      </w:pP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L’augmentation constante du nombre de demandeurs d’aide sociale amène l’équipe à s’adapter en développant de nouvelles manières de travailler pour garantir un  fonctionnement et une organisation internes satisfaisants à la fois pour les travailleurs sociaux et les agents en demande d’aide.</w:t>
      </w:r>
    </w:p>
    <w:p w:rsidR="00526043" w:rsidRPr="00526043" w:rsidRDefault="00526043" w:rsidP="00526043">
      <w:pPr>
        <w:pStyle w:val="Corpsdetexte31"/>
        <w:jc w:val="both"/>
        <w:rPr>
          <w:rFonts w:ascii="Arial" w:hAnsi="Arial" w:cs="Arial"/>
          <w:color w:val="auto"/>
          <w:sz w:val="22"/>
          <w:szCs w:val="22"/>
        </w:rPr>
      </w:pPr>
    </w:p>
    <w:p w:rsidR="00526043" w:rsidRPr="00526043" w:rsidRDefault="00526043" w:rsidP="00526043">
      <w:pPr>
        <w:pStyle w:val="Corpsdetexte31"/>
        <w:jc w:val="both"/>
        <w:rPr>
          <w:rFonts w:ascii="Arial" w:hAnsi="Arial" w:cs="Arial"/>
          <w:color w:val="auto"/>
          <w:sz w:val="22"/>
          <w:szCs w:val="22"/>
        </w:rPr>
      </w:pPr>
      <w:r w:rsidRPr="00526043">
        <w:rPr>
          <w:rFonts w:ascii="Arial" w:hAnsi="Arial" w:cs="Arial"/>
          <w:color w:val="auto"/>
          <w:sz w:val="22"/>
          <w:szCs w:val="22"/>
        </w:rPr>
        <w:t>Les orientations pour 2014 s’inscrivent dans la continuité de celles engagées l’an dernier.</w:t>
      </w:r>
    </w:p>
    <w:p w:rsidR="00526043" w:rsidRDefault="00526043" w:rsidP="00526043">
      <w:pPr>
        <w:pStyle w:val="Corpsdetexte31"/>
        <w:jc w:val="both"/>
        <w:rPr>
          <w:rFonts w:ascii="BlairMdITC TT-Medium" w:eastAsia="Cambria" w:hAnsi="BlairMdITC TT-Medium"/>
          <w:b/>
          <w:color w:val="800000"/>
          <w:sz w:val="48"/>
          <w:szCs w:val="24"/>
        </w:rPr>
      </w:pPr>
      <w:r>
        <w:rPr>
          <w:rFonts w:ascii="BlairMdITC TT-Medium" w:eastAsia="Cambria" w:hAnsi="BlairMdITC TT-Medium"/>
          <w:b/>
          <w:color w:val="800000"/>
          <w:sz w:val="48"/>
          <w:szCs w:val="24"/>
        </w:rPr>
        <w:br w:type="page"/>
      </w:r>
    </w:p>
    <w:p w:rsidR="00526043" w:rsidRDefault="00526043" w:rsidP="00526043">
      <w:pPr>
        <w:tabs>
          <w:tab w:val="left" w:pos="1220"/>
        </w:tabs>
        <w:rPr>
          <w:rFonts w:ascii="BlairMdITC TT-Medium" w:eastAsia="Cambria" w:hAnsi="BlairMdITC TT-Medium" w:cs="Times New Roman"/>
          <w:b/>
          <w:color w:val="FF8000"/>
          <w:sz w:val="28"/>
        </w:rPr>
      </w:pPr>
    </w:p>
    <w:p w:rsidR="00526043" w:rsidRPr="008D5764" w:rsidRDefault="00526043" w:rsidP="00526043">
      <w:pPr>
        <w:tabs>
          <w:tab w:val="left" w:pos="1220"/>
        </w:tabs>
        <w:ind w:left="851" w:hanging="851"/>
        <w:rPr>
          <w:rFonts w:ascii="Florencesans Exp" w:eastAsia="Cambria" w:hAnsi="Florencesans Exp" w:cs="Times New Roman"/>
          <w:b/>
          <w:color w:val="FF8000"/>
          <w:sz w:val="28"/>
        </w:rPr>
      </w:pPr>
      <w:r w:rsidRPr="008D5764">
        <w:rPr>
          <w:rFonts w:ascii="Florencesans Exp" w:eastAsia="Cambria" w:hAnsi="Florencesans Exp" w:cs="Times New Roman"/>
          <w:b/>
          <w:color w:val="FF8000"/>
          <w:sz w:val="28"/>
        </w:rPr>
        <w:t>5. A. BILAN FINANCIER DE L’ACTION SOCIALE A</w:t>
      </w:r>
      <w:r>
        <w:rPr>
          <w:rFonts w:ascii="Florencesans Exp" w:eastAsia="Cambria" w:hAnsi="Florencesans Exp" w:cs="Times New Roman"/>
          <w:b/>
          <w:color w:val="FF8000"/>
          <w:sz w:val="28"/>
        </w:rPr>
        <w:t xml:space="preserve">DMINISTRATION </w:t>
      </w:r>
      <w:r w:rsidRPr="008D5764">
        <w:rPr>
          <w:rFonts w:ascii="Florencesans Exp" w:eastAsia="Cambria" w:hAnsi="Florencesans Exp" w:cs="Times New Roman"/>
          <w:b/>
          <w:color w:val="FF8000"/>
          <w:sz w:val="28"/>
        </w:rPr>
        <w:t>C</w:t>
      </w:r>
      <w:r>
        <w:rPr>
          <w:rFonts w:ascii="Florencesans Exp" w:eastAsia="Cambria" w:hAnsi="Florencesans Exp" w:cs="Times New Roman"/>
          <w:b/>
          <w:color w:val="FF8000"/>
          <w:sz w:val="28"/>
        </w:rPr>
        <w:t>ENTRALE</w:t>
      </w:r>
      <w:r w:rsidRPr="008D5764">
        <w:rPr>
          <w:rFonts w:ascii="Florencesans Exp" w:eastAsia="Cambria" w:hAnsi="Florencesans Exp" w:cs="Times New Roman"/>
          <w:b/>
          <w:color w:val="FF8000"/>
          <w:sz w:val="28"/>
        </w:rPr>
        <w:t xml:space="preserve"> ET S</w:t>
      </w:r>
      <w:r>
        <w:rPr>
          <w:rFonts w:ascii="Florencesans Exp" w:eastAsia="Cambria" w:hAnsi="Florencesans Exp" w:cs="Times New Roman"/>
          <w:b/>
          <w:color w:val="FF8000"/>
          <w:sz w:val="28"/>
        </w:rPr>
        <w:t xml:space="preserve">ERVICES </w:t>
      </w:r>
      <w:r w:rsidRPr="008D5764">
        <w:rPr>
          <w:rFonts w:ascii="Florencesans Exp" w:eastAsia="Cambria" w:hAnsi="Florencesans Exp" w:cs="Times New Roman"/>
          <w:b/>
          <w:color w:val="FF8000"/>
          <w:sz w:val="28"/>
        </w:rPr>
        <w:t>D</w:t>
      </w:r>
      <w:r>
        <w:rPr>
          <w:rFonts w:ascii="Florencesans Exp" w:eastAsia="Cambria" w:hAnsi="Florencesans Exp" w:cs="Times New Roman"/>
          <w:b/>
          <w:color w:val="FF8000"/>
          <w:sz w:val="28"/>
        </w:rPr>
        <w:t>ECONCENTRES</w:t>
      </w:r>
      <w:r w:rsidRPr="008D5764">
        <w:rPr>
          <w:rFonts w:ascii="Florencesans Exp" w:eastAsia="Cambria" w:hAnsi="Florencesans Exp" w:cs="Times New Roman"/>
          <w:b/>
          <w:color w:val="FF8000"/>
          <w:sz w:val="28"/>
        </w:rPr>
        <w:t xml:space="preserve"> (DONNEES T2 ET T3)</w:t>
      </w:r>
    </w:p>
    <w:p w:rsidR="00526043" w:rsidRPr="00C30383" w:rsidRDefault="00526043" w:rsidP="00526043">
      <w:pPr>
        <w:tabs>
          <w:tab w:val="left" w:pos="1220"/>
        </w:tabs>
        <w:rPr>
          <w:rFonts w:ascii="BlairMdITC TT-Medium" w:eastAsia="Cambria" w:hAnsi="BlairMdITC TT-Medium" w:cs="Times New Roman"/>
          <w:b/>
          <w:color w:val="FF8000"/>
          <w:sz w:val="28"/>
        </w:rPr>
      </w:pPr>
      <w:r w:rsidRPr="00FC285C">
        <w:rPr>
          <w:noProof/>
          <w:lang w:eastAsia="fr-FR"/>
        </w:rPr>
        <w:drawing>
          <wp:anchor distT="0" distB="0" distL="114300" distR="114300" simplePos="0" relativeHeight="251828224" behindDoc="1" locked="0" layoutInCell="1" allowOverlap="1" wp14:anchorId="0E704511" wp14:editId="041660D7">
            <wp:simplePos x="0" y="0"/>
            <wp:positionH relativeFrom="margin">
              <wp:align>center</wp:align>
            </wp:positionH>
            <wp:positionV relativeFrom="paragraph">
              <wp:posOffset>326390</wp:posOffset>
            </wp:positionV>
            <wp:extent cx="6382385" cy="3469640"/>
            <wp:effectExtent l="0" t="0" r="0" b="0"/>
            <wp:wrapTight wrapText="bothSides">
              <wp:wrapPolygon edited="0">
                <wp:start x="0" y="0"/>
                <wp:lineTo x="0" y="21466"/>
                <wp:lineTo x="21533" y="21466"/>
                <wp:lineTo x="21533" y="12215"/>
                <wp:lineTo x="19277" y="11385"/>
                <wp:lineTo x="21533" y="11148"/>
                <wp:lineTo x="21533" y="8064"/>
                <wp:lineTo x="21404" y="7946"/>
                <wp:lineTo x="20824" y="7590"/>
                <wp:lineTo x="21533" y="6878"/>
                <wp:lineTo x="21533" y="0"/>
                <wp:lineTo x="0" y="0"/>
              </wp:wrapPolygon>
            </wp:wrapTight>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382385" cy="3469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6043" w:rsidRPr="008E6DEC" w:rsidRDefault="00526043" w:rsidP="00526043">
      <w:pPr>
        <w:pStyle w:val="NormalWeb"/>
        <w:spacing w:after="0"/>
        <w:jc w:val="both"/>
        <w:rPr>
          <w:rFonts w:ascii="Arial" w:hAnsi="Arial" w:cs="Arial"/>
        </w:rPr>
      </w:pPr>
      <w:r w:rsidRPr="008E6DEC">
        <w:rPr>
          <w:rFonts w:ascii="Arial" w:hAnsi="Arial" w:cs="Arial"/>
          <w:sz w:val="22"/>
          <w:szCs w:val="22"/>
        </w:rPr>
        <w:t xml:space="preserve">L’examen des postes de dépenses du bureau de l’action sociale fait apparaître des tendances fortes. La consommation globale des crédits de paiement sur les trois dernières années en titre 3, consacré principalement à l’action sociale collective, montre une légère régression (4,759 millions d’euros) et une évolution sensible du titre 2 (crédits d’action sociale individuelle). </w:t>
      </w:r>
    </w:p>
    <w:p w:rsidR="00526043" w:rsidRPr="00290251" w:rsidRDefault="00526043" w:rsidP="00526043">
      <w:pPr>
        <w:pStyle w:val="NormalWeb"/>
        <w:spacing w:after="0"/>
        <w:jc w:val="both"/>
        <w:rPr>
          <w:rFonts w:ascii="Arial" w:hAnsi="Arial" w:cs="Arial"/>
        </w:rPr>
      </w:pPr>
      <w:r w:rsidRPr="00290251">
        <w:rPr>
          <w:rFonts w:ascii="Arial" w:hAnsi="Arial" w:cs="Arial"/>
          <w:bCs/>
          <w:sz w:val="22"/>
          <w:szCs w:val="22"/>
        </w:rPr>
        <w:t>Au global, l’évolution de la consommation des crédits connaît une croissance d’environ 2 % entre 2012 et 2013, pour atteindre près de 5,9 millions d’euros.</w:t>
      </w:r>
    </w:p>
    <w:p w:rsidR="00526043" w:rsidRPr="008E6DEC" w:rsidRDefault="00526043" w:rsidP="0034289D">
      <w:pPr>
        <w:pStyle w:val="NormalWeb"/>
        <w:numPr>
          <w:ilvl w:val="0"/>
          <w:numId w:val="13"/>
        </w:numPr>
        <w:spacing w:after="0"/>
        <w:jc w:val="both"/>
        <w:rPr>
          <w:rFonts w:ascii="Arial" w:hAnsi="Arial" w:cs="Arial"/>
        </w:rPr>
      </w:pPr>
      <w:r w:rsidRPr="008E6DEC">
        <w:rPr>
          <w:rFonts w:ascii="Arial" w:hAnsi="Arial" w:cs="Arial"/>
          <w:sz w:val="22"/>
          <w:szCs w:val="22"/>
        </w:rPr>
        <w:t>Analyse de certaines constances</w:t>
      </w:r>
    </w:p>
    <w:p w:rsidR="00526043" w:rsidRPr="008E6DEC" w:rsidRDefault="00526043" w:rsidP="00526043">
      <w:pPr>
        <w:pStyle w:val="NormalWeb"/>
        <w:spacing w:after="0"/>
        <w:jc w:val="both"/>
        <w:rPr>
          <w:rFonts w:ascii="Arial" w:hAnsi="Arial" w:cs="Arial"/>
        </w:rPr>
      </w:pPr>
      <w:r w:rsidRPr="008E6DEC">
        <w:rPr>
          <w:rFonts w:ascii="Arial" w:hAnsi="Arial" w:cs="Arial"/>
          <w:sz w:val="22"/>
          <w:szCs w:val="22"/>
        </w:rPr>
        <w:t>Les trois principaux postes de dépenses du bureau demeurent constants, avec le logement social, les subventions aux associations et la restauration collective. Certaines évolutions peuvent néanmoins être constatées à l’intérieur de ces trois postes :</w:t>
      </w:r>
    </w:p>
    <w:p w:rsidR="00526043" w:rsidRPr="008E6DEC" w:rsidRDefault="00526043" w:rsidP="0034289D">
      <w:pPr>
        <w:pStyle w:val="NormalWeb"/>
        <w:numPr>
          <w:ilvl w:val="0"/>
          <w:numId w:val="14"/>
        </w:numPr>
        <w:spacing w:after="0"/>
        <w:jc w:val="both"/>
        <w:rPr>
          <w:rFonts w:ascii="Arial" w:hAnsi="Arial" w:cs="Arial"/>
        </w:rPr>
      </w:pPr>
      <w:r w:rsidRPr="008E6DEC">
        <w:rPr>
          <w:rFonts w:ascii="Arial" w:hAnsi="Arial" w:cs="Arial"/>
          <w:sz w:val="22"/>
          <w:szCs w:val="22"/>
        </w:rPr>
        <w:t>la stabilité du montant consacré aux associations du personnel ;</w:t>
      </w:r>
    </w:p>
    <w:p w:rsidR="00526043" w:rsidRPr="008E6DEC" w:rsidRDefault="00526043" w:rsidP="0034289D">
      <w:pPr>
        <w:pStyle w:val="NormalWeb"/>
        <w:numPr>
          <w:ilvl w:val="0"/>
          <w:numId w:val="14"/>
        </w:numPr>
        <w:spacing w:after="0"/>
        <w:jc w:val="both"/>
        <w:rPr>
          <w:rFonts w:ascii="Arial" w:hAnsi="Arial" w:cs="Arial"/>
        </w:rPr>
      </w:pPr>
      <w:r w:rsidRPr="008E6DEC">
        <w:rPr>
          <w:rFonts w:ascii="Arial" w:hAnsi="Arial" w:cs="Arial"/>
          <w:sz w:val="22"/>
          <w:szCs w:val="22"/>
        </w:rPr>
        <w:t>la diminution du poste « logement », qui avait bénéficié en 2011 de 400 000 euros supplémentaires pour un projet avec Versailles Habitat, et qui accuse une légère réduction en 2013 en raison d’échéances de livraison de logements intervenant après la fin de gestion. La démarche concernant les logements de fonction est de long cours et comprend deux leviers, avec d’une part la signature de conventions avec les bailleurs sociaux dans le « patrimoine ancien » et, d’autre part, l’opportunité de réserver des droits de suite sur des projets neufs et en construction, qui donnent lieu à des contentieux venant retarder les livraisons ;</w:t>
      </w:r>
    </w:p>
    <w:p w:rsidR="00526043" w:rsidRPr="008E6DEC" w:rsidRDefault="00526043" w:rsidP="0034289D">
      <w:pPr>
        <w:pStyle w:val="NormalWeb"/>
        <w:numPr>
          <w:ilvl w:val="0"/>
          <w:numId w:val="14"/>
        </w:numPr>
        <w:spacing w:after="0"/>
        <w:jc w:val="both"/>
        <w:rPr>
          <w:rFonts w:ascii="Arial" w:hAnsi="Arial" w:cs="Arial"/>
        </w:rPr>
      </w:pPr>
      <w:r w:rsidRPr="008E6DEC">
        <w:rPr>
          <w:rFonts w:ascii="Arial" w:hAnsi="Arial" w:cs="Arial"/>
          <w:sz w:val="22"/>
          <w:szCs w:val="22"/>
        </w:rPr>
        <w:lastRenderedPageBreak/>
        <w:t>la tendance à la hausse de la restauration collective. Les préconisations du CNAS à l’égard des services déconcentrés visent à limiter le montant du reste à charge du repas des agents. La hausse observée bénéficie notamment aux agents en STAP implantés en département. En DRAC Guyane, une solution a été trouvée pour le portage de plateaux-repas. Cette initiative sera suivie par la préfecture de Guyane. Les crédits déconcentrés ont été accrus au niveau des prix de l’agro-alimentaire à la suite de la démarche volontaire menée pour un accès large des agents à la restauration collective.</w:t>
      </w:r>
    </w:p>
    <w:p w:rsidR="00526043" w:rsidRPr="008E6DEC" w:rsidRDefault="00526043" w:rsidP="0034289D">
      <w:pPr>
        <w:pStyle w:val="NormalWeb"/>
        <w:numPr>
          <w:ilvl w:val="0"/>
          <w:numId w:val="15"/>
        </w:numPr>
        <w:spacing w:after="0"/>
        <w:jc w:val="both"/>
        <w:rPr>
          <w:rFonts w:ascii="Arial" w:hAnsi="Arial" w:cs="Arial"/>
        </w:rPr>
      </w:pPr>
      <w:r w:rsidRPr="008E6DEC">
        <w:rPr>
          <w:rFonts w:ascii="Arial" w:hAnsi="Arial" w:cs="Arial"/>
          <w:sz w:val="22"/>
          <w:szCs w:val="22"/>
        </w:rPr>
        <w:t>Focus sur les dépenses de prestations sociales individuelles (titre 2)</w:t>
      </w:r>
    </w:p>
    <w:p w:rsidR="00526043" w:rsidRPr="008E6DEC" w:rsidRDefault="00526043" w:rsidP="00526043">
      <w:pPr>
        <w:pStyle w:val="NormalWeb"/>
        <w:spacing w:after="0"/>
        <w:jc w:val="both"/>
        <w:rPr>
          <w:rFonts w:ascii="Arial" w:hAnsi="Arial" w:cs="Arial"/>
        </w:rPr>
      </w:pPr>
      <w:r w:rsidRPr="008E6DEC">
        <w:rPr>
          <w:rFonts w:ascii="Arial" w:hAnsi="Arial" w:cs="Arial"/>
          <w:sz w:val="22"/>
          <w:szCs w:val="22"/>
        </w:rPr>
        <w:t>Hormis l’aide au déménagement, l’ensemble des prestations sont à la hausse et expliquent le rééquilibrage entre les titres 3 et 2. L’évolution est particulièrement sensible au niveau de l’aide à la scolarité, étendue au collège et marquée par la hausse des plafonds de ressources, entraînant l’augmentation du nombre de bénéficiaires. Les trois prestations principales dont bénéficient le plus d’agents au sein du ministère sont l’aide à la scolarité, l’aide aux familles monoparentales et l’aide aux parents d’enfants handicapés, aide sociale d’initiative interministérielle réglée par les ministères.</w:t>
      </w:r>
    </w:p>
    <w:p w:rsidR="00526043" w:rsidRPr="008E6DEC" w:rsidRDefault="00526043" w:rsidP="00526043">
      <w:pPr>
        <w:pStyle w:val="NormalWeb"/>
        <w:spacing w:after="0"/>
        <w:jc w:val="both"/>
        <w:rPr>
          <w:rFonts w:ascii="Arial" w:hAnsi="Arial" w:cs="Arial"/>
        </w:rPr>
      </w:pPr>
      <w:r w:rsidRPr="008E6DEC">
        <w:rPr>
          <w:rFonts w:ascii="Arial" w:hAnsi="Arial" w:cs="Arial"/>
          <w:sz w:val="22"/>
          <w:szCs w:val="22"/>
        </w:rPr>
        <w:t>Depuis 2010, le bureau de l’action sociale est devenu le payeur unique des prestations en France des agents rémunérés par le ministère. En 2012, la difficulté observée concernant l’aide à la rentrée scolaire s’explique par la concentration des flux de prestations réglées entre septembre et la fin de l’année civile. En 2013, tous les dossiers arrivés complets au bureau de l’action sociale ont pu être réglés avant la fin de la période de gestion, expliquant en partie l’évolution importante de l’aide à la rentrée scolaire. Une vacation ponctuelle a été nécessaire pour faire face à l’afflux saisonnier, permettant de gérer de façon satisfaisante les demandes.</w:t>
      </w:r>
    </w:p>
    <w:p w:rsidR="00526043" w:rsidRPr="008E6DEC" w:rsidRDefault="00526043" w:rsidP="00526043">
      <w:pPr>
        <w:pStyle w:val="NormalWeb"/>
        <w:spacing w:after="0"/>
        <w:jc w:val="both"/>
        <w:rPr>
          <w:rFonts w:ascii="Arial" w:hAnsi="Arial" w:cs="Arial"/>
        </w:rPr>
      </w:pPr>
      <w:r w:rsidRPr="008E6DEC">
        <w:rPr>
          <w:rFonts w:ascii="Arial" w:hAnsi="Arial" w:cs="Arial"/>
          <w:sz w:val="22"/>
          <w:szCs w:val="22"/>
        </w:rPr>
        <w:t>Les frais relatifs aux accidents du travail sont également en hausse, approchant le plafond fixé depuis de nombreuses années et qui n’a jamais été dépassé. L’enveloppe dévolue à ce poste, par essence imprévisible, est fixée à 320 000 euros. Le nombre d’accidents du travail n’est pas forcément en cause, mais plutôt leur gravité, qui a entraîné des dépenses très élevées.</w:t>
      </w:r>
    </w:p>
    <w:p w:rsidR="00526043" w:rsidRPr="008E6DEC" w:rsidRDefault="00526043" w:rsidP="00526043">
      <w:pPr>
        <w:pStyle w:val="NormalWeb"/>
        <w:spacing w:after="0"/>
        <w:jc w:val="both"/>
        <w:rPr>
          <w:rFonts w:ascii="Arial" w:hAnsi="Arial" w:cs="Arial"/>
        </w:rPr>
      </w:pPr>
      <w:r w:rsidRPr="008E6DEC">
        <w:rPr>
          <w:rFonts w:ascii="Arial" w:hAnsi="Arial" w:cs="Arial"/>
          <w:sz w:val="22"/>
          <w:szCs w:val="22"/>
        </w:rPr>
        <w:t>Enfin, le poste des secours connaît une hausse constante, pour un nombre de dossiers stable. Le nombre des demandes exprimées et soumises en commission est identique à celui de 2006. Entre 2006 et 2009, le nombre et le montant alloué aux secours a connu une baisse. La convention passée en 2009 avec le ministère de l’Intérieur afin d’accompagner au plus proche les agents en services déconcentrés s’est avérée bénéfique. Depuis 2009 et la passation de cet accord-cadre, le nombre de situations soumises à la commission des secours ministérielle est de nouveau à la hausse.</w:t>
      </w:r>
    </w:p>
    <w:p w:rsidR="00526043" w:rsidRPr="008E6DEC" w:rsidRDefault="00526043" w:rsidP="00526043">
      <w:pPr>
        <w:pStyle w:val="NormalWeb"/>
        <w:spacing w:after="0"/>
        <w:jc w:val="both"/>
        <w:rPr>
          <w:rFonts w:ascii="Arial" w:hAnsi="Arial" w:cs="Arial"/>
        </w:rPr>
      </w:pPr>
    </w:p>
    <w:p w:rsidR="00526043" w:rsidRDefault="00526043" w:rsidP="00526043">
      <w:pPr>
        <w:rPr>
          <w:rFonts w:ascii="Times New Roman" w:eastAsia="Times New Roman" w:hAnsi="Times New Roman" w:cs="Times New Roman"/>
          <w:lang w:eastAsia="fr-FR"/>
        </w:rPr>
      </w:pPr>
      <w:r>
        <w:br w:type="page"/>
      </w: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lastRenderedPageBreak/>
        <w:t>Les graphiques suivants font apparaître la proportion des divers postes de dépense sur l'année 2013 et leur évolution sur les trois dernières années :</w:t>
      </w:r>
    </w:p>
    <w:p w:rsidR="00526043" w:rsidRDefault="00526043" w:rsidP="00526043">
      <w:pPr>
        <w:widowControl w:val="0"/>
        <w:autoSpaceDE w:val="0"/>
        <w:autoSpaceDN w:val="0"/>
        <w:adjustRightInd w:val="0"/>
        <w:ind w:firstLine="283"/>
        <w:rPr>
          <w:rFonts w:ascii="Arial" w:eastAsia="Cambria" w:hAnsi="Arial" w:cs="Times"/>
          <w:b/>
          <w:bCs/>
        </w:rPr>
      </w:pPr>
    </w:p>
    <w:p w:rsidR="00526043" w:rsidRPr="00A14E81" w:rsidRDefault="00526043" w:rsidP="00526043">
      <w:pPr>
        <w:widowControl w:val="0"/>
        <w:autoSpaceDE w:val="0"/>
        <w:autoSpaceDN w:val="0"/>
        <w:adjustRightInd w:val="0"/>
        <w:ind w:firstLine="283"/>
        <w:jc w:val="center"/>
        <w:rPr>
          <w:rFonts w:ascii="Arial" w:eastAsia="Cambria" w:hAnsi="Arial" w:cs="Times"/>
          <w:b/>
        </w:rPr>
      </w:pPr>
      <w:r w:rsidRPr="00A14E81">
        <w:rPr>
          <w:rFonts w:ascii="Arial" w:eastAsia="Cambria" w:hAnsi="Arial" w:cs="Times"/>
          <w:b/>
          <w:bCs/>
        </w:rPr>
        <w:t>Répartition des crédits centraux mobilisés par type de dépense</w:t>
      </w:r>
    </w:p>
    <w:p w:rsidR="00526043" w:rsidRPr="00C30383" w:rsidRDefault="00526043" w:rsidP="00526043">
      <w:pPr>
        <w:widowControl w:val="0"/>
        <w:autoSpaceDE w:val="0"/>
        <w:autoSpaceDN w:val="0"/>
        <w:adjustRightInd w:val="0"/>
        <w:ind w:firstLine="283"/>
        <w:rPr>
          <w:rFonts w:ascii="Arial" w:eastAsia="Cambria" w:hAnsi="Arial" w:cs="Times"/>
          <w:b/>
          <w:bCs/>
        </w:rPr>
      </w:pPr>
      <w:r>
        <w:rPr>
          <w:noProof/>
          <w:lang w:eastAsia="fr-FR"/>
        </w:rPr>
        <mc:AlternateContent>
          <mc:Choice Requires="wps">
            <w:drawing>
              <wp:anchor distT="0" distB="0" distL="114300" distR="114300" simplePos="0" relativeHeight="251834368" behindDoc="0" locked="0" layoutInCell="1" allowOverlap="1" wp14:anchorId="698DCC67" wp14:editId="7FE78360">
                <wp:simplePos x="0" y="0"/>
                <wp:positionH relativeFrom="margin">
                  <wp:posOffset>1511300</wp:posOffset>
                </wp:positionH>
                <wp:positionV relativeFrom="paragraph">
                  <wp:posOffset>3453765</wp:posOffset>
                </wp:positionV>
                <wp:extent cx="1878965" cy="381000"/>
                <wp:effectExtent l="0" t="0" r="0" b="0"/>
                <wp:wrapNone/>
                <wp:docPr id="252" name="Zone de texte 252"/>
                <wp:cNvGraphicFramePr/>
                <a:graphic xmlns:a="http://schemas.openxmlformats.org/drawingml/2006/main">
                  <a:graphicData uri="http://schemas.microsoft.com/office/word/2010/wordprocessingShape">
                    <wps:wsp>
                      <wps:cNvSpPr txBox="1"/>
                      <wps:spPr>
                        <a:xfrm>
                          <a:off x="0" y="0"/>
                          <a:ext cx="1878965" cy="381000"/>
                        </a:xfrm>
                        <a:prstGeom prst="rect">
                          <a:avLst/>
                        </a:prstGeom>
                        <a:noFill/>
                        <a:ln>
                          <a:noFill/>
                        </a:ln>
                        <a:effectLst/>
                      </wps:spPr>
                      <wps:txbx>
                        <w:txbxContent>
                          <w:p w:rsidR="007B1397" w:rsidRPr="00B95022" w:rsidRDefault="007B1397" w:rsidP="00526043">
                            <w:pPr>
                              <w:widowControl w:val="0"/>
                              <w:autoSpaceDE w:val="0"/>
                              <w:autoSpaceDN w:val="0"/>
                              <w:adjustRightInd w:val="0"/>
                              <w:jc w:val="center"/>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98DCC67" id="Zone de texte 252" o:spid="_x0000_s1084" type="#_x0000_t202" style="position:absolute;left:0;text-align:left;margin-left:119pt;margin-top:271.95pt;width:147.95pt;height:30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" filled="f" stroked="f">
                <v:textbox>
                  <w:txbxContent>
                    <w:p w:rsidR="007B1397" w:rsidRPr="00B95022" w:rsidRDefault="007B1397" w:rsidP="00526043">
                      <w:pPr>
                        <w:widowControl w:val="0"/>
                        <w:autoSpaceDE w:val="0"/>
                        <w:autoSpaceDN w:val="0"/>
                        <w:adjustRightInd w:val="0"/>
                        <w:jc w:val="center"/>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w10:wrap anchorx="margin"/>
              </v:shape>
            </w:pict>
          </mc:Fallback>
        </mc:AlternateContent>
      </w:r>
      <w:r>
        <w:rPr>
          <w:noProof/>
          <w:lang w:eastAsia="fr-FR"/>
        </w:rPr>
        <w:drawing>
          <wp:anchor distT="0" distB="0" distL="114300" distR="114300" simplePos="0" relativeHeight="251830272" behindDoc="1" locked="0" layoutInCell="1" allowOverlap="1" wp14:anchorId="6FA7F2A8" wp14:editId="19150FBE">
            <wp:simplePos x="0" y="0"/>
            <wp:positionH relativeFrom="column">
              <wp:posOffset>-118745</wp:posOffset>
            </wp:positionH>
            <wp:positionV relativeFrom="paragraph">
              <wp:posOffset>3770630</wp:posOffset>
            </wp:positionV>
            <wp:extent cx="5881370" cy="3098165"/>
            <wp:effectExtent l="0" t="0" r="5080" b="6985"/>
            <wp:wrapTight wrapText="bothSides">
              <wp:wrapPolygon edited="0">
                <wp:start x="70" y="0"/>
                <wp:lineTo x="0" y="398"/>
                <wp:lineTo x="0" y="21250"/>
                <wp:lineTo x="70" y="21516"/>
                <wp:lineTo x="21479" y="21516"/>
                <wp:lineTo x="21549" y="21250"/>
                <wp:lineTo x="21549" y="398"/>
                <wp:lineTo x="21479" y="0"/>
                <wp:lineTo x="70" y="0"/>
              </wp:wrapPolygon>
            </wp:wrapTight>
            <wp:docPr id="256" name="Graphique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829248" behindDoc="1" locked="0" layoutInCell="1" allowOverlap="1" wp14:anchorId="5809B77A" wp14:editId="07D099CB">
            <wp:simplePos x="0" y="0"/>
            <wp:positionH relativeFrom="column">
              <wp:posOffset>-213995</wp:posOffset>
            </wp:positionH>
            <wp:positionV relativeFrom="paragraph">
              <wp:posOffset>182245</wp:posOffset>
            </wp:positionV>
            <wp:extent cx="5943600" cy="3409950"/>
            <wp:effectExtent l="0" t="0" r="0" b="0"/>
            <wp:wrapTight wrapText="bothSides">
              <wp:wrapPolygon edited="0">
                <wp:start x="0" y="0"/>
                <wp:lineTo x="0" y="21479"/>
                <wp:lineTo x="21531" y="21479"/>
                <wp:lineTo x="21531" y="0"/>
                <wp:lineTo x="0" y="0"/>
              </wp:wrapPolygon>
            </wp:wrapTight>
            <wp:docPr id="257" name="Graphique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14:sizeRelH relativeFrom="margin">
              <wp14:pctWidth>0</wp14:pctWidth>
            </wp14:sizeRelH>
            <wp14:sizeRelV relativeFrom="margin">
              <wp14:pctHeight>0</wp14:pctHeight>
            </wp14:sizeRelV>
          </wp:anchor>
        </w:drawing>
      </w:r>
    </w:p>
    <w:p w:rsidR="00526043" w:rsidRPr="00526043" w:rsidRDefault="00526043" w:rsidP="00526043">
      <w:pPr>
        <w:spacing w:before="100" w:beforeAutospacing="1"/>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1 289 500 € ont été consacrés au logement social en 2013.</w:t>
      </w:r>
    </w:p>
    <w:p w:rsidR="00526043" w:rsidRPr="00526043" w:rsidRDefault="00526043" w:rsidP="00526043">
      <w:pPr>
        <w:spacing w:before="100" w:beforeAutospacing="1"/>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Avec les crédits qui lui sont consacrés, le logement reste le premier poste de dépense en administration centrale (24,5 % des dépenses totales).</w:t>
      </w:r>
    </w:p>
    <w:p w:rsidR="00526043" w:rsidRPr="00526043" w:rsidRDefault="00526043" w:rsidP="00526043">
      <w:pPr>
        <w:spacing w:before="100" w:beforeAutospacing="1"/>
        <w:jc w:val="both"/>
        <w:rPr>
          <w:rFonts w:ascii="Arial" w:eastAsia="Times New Roman" w:hAnsi="Arial" w:cs="Arial"/>
          <w:color w:val="000000"/>
          <w:sz w:val="22"/>
          <w:szCs w:val="22"/>
          <w:lang w:eastAsia="fr-FR"/>
        </w:rPr>
      </w:pPr>
      <w:r w:rsidRPr="00526043">
        <w:rPr>
          <w:rFonts w:ascii="Arial" w:eastAsia="Times New Roman" w:hAnsi="Arial" w:cs="Arial"/>
          <w:color w:val="000000"/>
          <w:sz w:val="22"/>
          <w:szCs w:val="22"/>
          <w:lang w:eastAsia="fr-FR"/>
        </w:rPr>
        <w:lastRenderedPageBreak/>
        <w:t xml:space="preserve">Les subventions aux associations de personnel sont stables (- 10 700 €) et arrivent en deuxième position avec 1 268 994 € de subventions, dont 1 000 000 € à l'AAS. </w:t>
      </w:r>
    </w:p>
    <w:p w:rsidR="00526043" w:rsidRPr="00526043" w:rsidRDefault="00526043" w:rsidP="00526043">
      <w:pPr>
        <w:spacing w:before="100" w:beforeAutospacing="1"/>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 xml:space="preserve">La restauration représente 18,8 % des dépenses d'administration centrale (988 346 €). Elle reste au troisième rang des dépenses d’administration centrale, mais au premier rang des dépenses si l’on ajoute les crédits qui y sont consacrés en services déconcentrés (1 448 706 €, soit le quart des dépenses d’action sociale (24,6%). De nombreuses structures ont ainsi vu leurs agents accéder à la restauration collective en 2013. </w:t>
      </w:r>
    </w:p>
    <w:p w:rsidR="00526043" w:rsidRPr="00526043" w:rsidRDefault="00526043" w:rsidP="00526043">
      <w:pPr>
        <w:spacing w:before="100" w:beforeAutospacing="1"/>
        <w:jc w:val="both"/>
        <w:rPr>
          <w:rFonts w:ascii="Arial" w:eastAsia="Times New Roman" w:hAnsi="Arial" w:cs="Arial"/>
          <w:sz w:val="22"/>
          <w:szCs w:val="22"/>
          <w:lang w:eastAsia="fr-FR"/>
        </w:rPr>
      </w:pPr>
      <w:r w:rsidRPr="00526043">
        <w:rPr>
          <w:noProof/>
          <w:sz w:val="22"/>
          <w:szCs w:val="22"/>
          <w:lang w:eastAsia="fr-FR"/>
        </w:rPr>
        <mc:AlternateContent>
          <mc:Choice Requires="wps">
            <w:drawing>
              <wp:anchor distT="0" distB="0" distL="114300" distR="114300" simplePos="0" relativeHeight="251835392" behindDoc="0" locked="0" layoutInCell="1" allowOverlap="1" wp14:anchorId="68A8A562" wp14:editId="28DD99FD">
                <wp:simplePos x="0" y="0"/>
                <wp:positionH relativeFrom="margin">
                  <wp:posOffset>4939723</wp:posOffset>
                </wp:positionH>
                <wp:positionV relativeFrom="paragraph">
                  <wp:posOffset>176588</wp:posOffset>
                </wp:positionV>
                <wp:extent cx="1878965" cy="381000"/>
                <wp:effectExtent l="0" t="0" r="0" b="0"/>
                <wp:wrapNone/>
                <wp:docPr id="253" name="Zone de texte 253"/>
                <wp:cNvGraphicFramePr/>
                <a:graphic xmlns:a="http://schemas.openxmlformats.org/drawingml/2006/main">
                  <a:graphicData uri="http://schemas.microsoft.com/office/word/2010/wordprocessingShape">
                    <wps:wsp>
                      <wps:cNvSpPr txBox="1"/>
                      <wps:spPr>
                        <a:xfrm>
                          <a:off x="0" y="0"/>
                          <a:ext cx="1878965" cy="381000"/>
                        </a:xfrm>
                        <a:prstGeom prst="rect">
                          <a:avLst/>
                        </a:prstGeom>
                        <a:noFill/>
                        <a:ln>
                          <a:noFill/>
                        </a:ln>
                        <a:effectLst/>
                      </wps:spPr>
                      <wps:txbx>
                        <w:txbxContent>
                          <w:p w:rsidR="007B1397" w:rsidRPr="00B95022" w:rsidRDefault="007B1397" w:rsidP="00526043">
                            <w:pPr>
                              <w:widowControl w:val="0"/>
                              <w:autoSpaceDE w:val="0"/>
                              <w:autoSpaceDN w:val="0"/>
                              <w:adjustRightInd w:val="0"/>
                              <w:jc w:val="center"/>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8A8A562" id="Zone de texte 253" o:spid="_x0000_s1085" type="#_x0000_t202" style="position:absolute;left:0;text-align:left;margin-left:388.95pt;margin-top:13.9pt;width:147.95pt;height:30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" filled="f" stroked="f">
                <v:textbox>
                  <w:txbxContent>
                    <w:p w:rsidR="007B1397" w:rsidRPr="00B95022" w:rsidRDefault="007B1397" w:rsidP="00526043">
                      <w:pPr>
                        <w:widowControl w:val="0"/>
                        <w:autoSpaceDE w:val="0"/>
                        <w:autoSpaceDN w:val="0"/>
                        <w:adjustRightInd w:val="0"/>
                        <w:jc w:val="center"/>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w10:wrap anchorx="margin"/>
              </v:shape>
            </w:pict>
          </mc:Fallback>
        </mc:AlternateContent>
      </w:r>
      <w:r w:rsidRPr="00526043">
        <w:rPr>
          <w:rFonts w:ascii="Arial" w:eastAsia="Times New Roman" w:hAnsi="Arial" w:cs="Arial"/>
          <w:color w:val="000000"/>
          <w:sz w:val="22"/>
          <w:szCs w:val="22"/>
          <w:lang w:eastAsia="fr-FR"/>
        </w:rPr>
        <w:t>Les dépenses des services déconcentrés enregistrent une légère hausse de 2 %.</w:t>
      </w:r>
    </w:p>
    <w:p w:rsidR="00526043" w:rsidRPr="00526043" w:rsidRDefault="00526043" w:rsidP="00526043">
      <w:pPr>
        <w:spacing w:before="100" w:beforeAutospacing="1"/>
        <w:rPr>
          <w:rFonts w:ascii="Arial" w:eastAsia="Times New Roman" w:hAnsi="Arial" w:cs="Arial"/>
          <w:sz w:val="22"/>
          <w:szCs w:val="22"/>
          <w:lang w:eastAsia="fr-FR"/>
        </w:rPr>
      </w:pPr>
      <w:r w:rsidRPr="00526043">
        <w:rPr>
          <w:rFonts w:ascii="Arial" w:eastAsia="Times New Roman" w:hAnsi="Arial" w:cs="Arial"/>
          <w:sz w:val="22"/>
          <w:szCs w:val="22"/>
          <w:lang w:eastAsia="fr-FR"/>
        </w:rPr>
        <w:t>L'identification des bénéfi</w:t>
      </w:r>
      <w:r w:rsidR="009A1A03">
        <w:rPr>
          <w:rFonts w:ascii="Arial" w:eastAsia="Times New Roman" w:hAnsi="Arial" w:cs="Arial"/>
          <w:sz w:val="22"/>
          <w:szCs w:val="22"/>
          <w:lang w:eastAsia="fr-FR"/>
        </w:rPr>
        <w:t>ciaires de prestations par genre</w:t>
      </w:r>
      <w:r w:rsidRPr="00526043">
        <w:rPr>
          <w:rFonts w:ascii="Arial" w:eastAsia="Times New Roman" w:hAnsi="Arial" w:cs="Arial"/>
          <w:sz w:val="22"/>
          <w:szCs w:val="22"/>
          <w:lang w:eastAsia="fr-FR"/>
        </w:rPr>
        <w:t>, catégorie et tranche d’âge est précisée ci-dessous :</w:t>
      </w:r>
    </w:p>
    <w:p w:rsidR="00526043" w:rsidRPr="00526043" w:rsidRDefault="00526043" w:rsidP="00526043">
      <w:pPr>
        <w:widowControl w:val="0"/>
        <w:autoSpaceDE w:val="0"/>
        <w:autoSpaceDN w:val="0"/>
        <w:adjustRightInd w:val="0"/>
        <w:jc w:val="both"/>
        <w:rPr>
          <w:rFonts w:ascii="Arial" w:eastAsia="Cambria" w:hAnsi="Arial" w:cs="Arial"/>
          <w:sz w:val="22"/>
          <w:szCs w:val="22"/>
        </w:rPr>
      </w:pPr>
    </w:p>
    <w:tbl>
      <w:tblPr>
        <w:tblW w:w="7780" w:type="dxa"/>
        <w:jc w:val="center"/>
        <w:tblCellMar>
          <w:left w:w="70" w:type="dxa"/>
          <w:right w:w="70" w:type="dxa"/>
        </w:tblCellMar>
        <w:tblLook w:val="04A0" w:firstRow="1" w:lastRow="0" w:firstColumn="1" w:lastColumn="0" w:noHBand="0" w:noVBand="1"/>
      </w:tblPr>
      <w:tblGrid>
        <w:gridCol w:w="1760"/>
        <w:gridCol w:w="860"/>
        <w:gridCol w:w="860"/>
        <w:gridCol w:w="860"/>
        <w:gridCol w:w="860"/>
        <w:gridCol w:w="860"/>
        <w:gridCol w:w="860"/>
        <w:gridCol w:w="860"/>
      </w:tblGrid>
      <w:tr w:rsidR="00526043" w:rsidRPr="00F20FEE" w:rsidTr="0079770C">
        <w:trPr>
          <w:trHeight w:val="480"/>
          <w:jc w:val="center"/>
        </w:trPr>
        <w:tc>
          <w:tcPr>
            <w:tcW w:w="1760" w:type="dxa"/>
            <w:vMerge w:val="restart"/>
            <w:tcBorders>
              <w:top w:val="single" w:sz="4" w:space="0" w:color="A6A6A6"/>
              <w:left w:val="single" w:sz="4" w:space="0" w:color="A6A6A6"/>
              <w:bottom w:val="single" w:sz="4" w:space="0" w:color="A6A6A6"/>
              <w:right w:val="single" w:sz="4" w:space="0" w:color="A6A6A6"/>
            </w:tcBorders>
            <w:shd w:val="clear" w:color="000000" w:fill="CC3300"/>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Type de prestation</w:t>
            </w:r>
          </w:p>
        </w:tc>
        <w:tc>
          <w:tcPr>
            <w:tcW w:w="1720" w:type="dxa"/>
            <w:gridSpan w:val="2"/>
            <w:tcBorders>
              <w:top w:val="single" w:sz="4" w:space="0" w:color="A6A6A6"/>
              <w:left w:val="nil"/>
              <w:bottom w:val="single" w:sz="4" w:space="0" w:color="A6A6A6"/>
              <w:right w:val="single" w:sz="4" w:space="0" w:color="A6A6A6"/>
            </w:tcBorders>
            <w:shd w:val="clear" w:color="000000" w:fill="CC3300"/>
            <w:vAlign w:val="center"/>
            <w:hideMark/>
          </w:tcPr>
          <w:p w:rsidR="00526043" w:rsidRPr="00F20FEE" w:rsidRDefault="009A1A03" w:rsidP="0079770C">
            <w:pPr>
              <w:jc w:val="center"/>
              <w:rPr>
                <w:rFonts w:ascii="Arial" w:eastAsia="Times New Roman" w:hAnsi="Arial" w:cs="Arial"/>
                <w:b/>
                <w:bCs/>
                <w:color w:val="FFFFFF"/>
                <w:sz w:val="18"/>
                <w:szCs w:val="18"/>
                <w:lang w:eastAsia="fr-FR"/>
              </w:rPr>
            </w:pPr>
            <w:r>
              <w:rPr>
                <w:rFonts w:ascii="Arial" w:eastAsia="Times New Roman" w:hAnsi="Arial" w:cs="Arial"/>
                <w:b/>
                <w:bCs/>
                <w:color w:val="FFFFFF"/>
                <w:sz w:val="18"/>
                <w:szCs w:val="18"/>
                <w:lang w:eastAsia="fr-FR"/>
              </w:rPr>
              <w:t>Genre</w:t>
            </w:r>
          </w:p>
        </w:tc>
        <w:tc>
          <w:tcPr>
            <w:tcW w:w="2580" w:type="dxa"/>
            <w:gridSpan w:val="3"/>
            <w:tcBorders>
              <w:top w:val="single" w:sz="4" w:space="0" w:color="A6A6A6"/>
              <w:left w:val="nil"/>
              <w:bottom w:val="single" w:sz="4" w:space="0" w:color="A6A6A6"/>
              <w:right w:val="single" w:sz="4" w:space="0" w:color="A6A6A6"/>
            </w:tcBorders>
            <w:shd w:val="clear" w:color="000000" w:fill="CC3300"/>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Catégories</w:t>
            </w:r>
          </w:p>
        </w:tc>
        <w:tc>
          <w:tcPr>
            <w:tcW w:w="1720" w:type="dxa"/>
            <w:gridSpan w:val="2"/>
            <w:tcBorders>
              <w:top w:val="single" w:sz="4" w:space="0" w:color="A6A6A6"/>
              <w:left w:val="nil"/>
              <w:bottom w:val="single" w:sz="4" w:space="0" w:color="A6A6A6"/>
              <w:right w:val="single" w:sz="4" w:space="0" w:color="A6A6A6"/>
            </w:tcBorders>
            <w:shd w:val="clear" w:color="000000" w:fill="CC3300"/>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Statut</w:t>
            </w:r>
          </w:p>
        </w:tc>
      </w:tr>
      <w:tr w:rsidR="00526043" w:rsidRPr="00F20FEE" w:rsidTr="0079770C">
        <w:trPr>
          <w:trHeight w:val="480"/>
          <w:jc w:val="center"/>
        </w:trPr>
        <w:tc>
          <w:tcPr>
            <w:tcW w:w="1760" w:type="dxa"/>
            <w:vMerge/>
            <w:tcBorders>
              <w:top w:val="single" w:sz="4" w:space="0" w:color="A6A6A6"/>
              <w:left w:val="single" w:sz="4" w:space="0" w:color="A6A6A6"/>
              <w:bottom w:val="single" w:sz="4" w:space="0" w:color="A6A6A6"/>
              <w:right w:val="single" w:sz="4" w:space="0" w:color="A6A6A6"/>
            </w:tcBorders>
            <w:vAlign w:val="center"/>
            <w:hideMark/>
          </w:tcPr>
          <w:p w:rsidR="00526043" w:rsidRPr="00F20FEE" w:rsidRDefault="00526043" w:rsidP="0079770C">
            <w:pPr>
              <w:rPr>
                <w:rFonts w:ascii="Arial" w:eastAsia="Times New Roman" w:hAnsi="Arial" w:cs="Arial"/>
                <w:b/>
                <w:bCs/>
                <w:color w:val="FFFFFF"/>
                <w:sz w:val="18"/>
                <w:szCs w:val="18"/>
                <w:lang w:eastAsia="fr-FR"/>
              </w:rPr>
            </w:pP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H</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F</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A</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B</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C</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Actif</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Retraité</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Aides aux séjours</w:t>
            </w:r>
          </w:p>
        </w:tc>
        <w:tc>
          <w:tcPr>
            <w:tcW w:w="860" w:type="dxa"/>
            <w:tcBorders>
              <w:top w:val="nil"/>
              <w:left w:val="nil"/>
              <w:bottom w:val="single" w:sz="4" w:space="0" w:color="A6A6A6"/>
              <w:right w:val="single" w:sz="4" w:space="0" w:color="A6A6A6"/>
            </w:tcBorders>
            <w:shd w:val="clear" w:color="000000" w:fill="FFFFFF"/>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25%</w:t>
            </w:r>
          </w:p>
        </w:tc>
        <w:tc>
          <w:tcPr>
            <w:tcW w:w="860" w:type="dxa"/>
            <w:tcBorders>
              <w:top w:val="nil"/>
              <w:left w:val="nil"/>
              <w:bottom w:val="single" w:sz="4" w:space="0" w:color="A6A6A6"/>
              <w:right w:val="single" w:sz="4" w:space="0" w:color="A6A6A6"/>
            </w:tcBorders>
            <w:shd w:val="clear" w:color="000000" w:fill="FFFFFF"/>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75%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80%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Vacances en famille</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65%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27%</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71%</w:t>
            </w:r>
          </w:p>
        </w:tc>
        <w:tc>
          <w:tcPr>
            <w:tcW w:w="860" w:type="dxa"/>
            <w:tcBorders>
              <w:top w:val="nil"/>
              <w:left w:val="nil"/>
              <w:bottom w:val="single" w:sz="4" w:space="0" w:color="A6A6A6"/>
              <w:right w:val="single" w:sz="4" w:space="0" w:color="A6A6A6"/>
            </w:tcBorders>
            <w:shd w:val="clear" w:color="000000" w:fill="FFFFFF"/>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99%</w:t>
            </w:r>
          </w:p>
        </w:tc>
        <w:tc>
          <w:tcPr>
            <w:tcW w:w="860" w:type="dxa"/>
            <w:tcBorders>
              <w:top w:val="nil"/>
              <w:left w:val="nil"/>
              <w:bottom w:val="single" w:sz="4" w:space="0" w:color="A6A6A6"/>
              <w:right w:val="single" w:sz="4" w:space="0" w:color="A6A6A6"/>
            </w:tcBorders>
            <w:shd w:val="clear" w:color="000000" w:fill="FFFFFF"/>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Allocation parents enfants handicapés</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70%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BAFA</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90%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Départ retraite</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38%</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62%</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13%</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87%</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100%</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Aides aux déménagements</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65%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80%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Aide à la scolarité</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38%</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62%</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20%</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80%</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98%</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Frais de garde enfants 6-12 ans</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90%</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18%</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80%</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100%</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bl>
    <w:p w:rsidR="00526043" w:rsidRDefault="00526043" w:rsidP="00526043">
      <w:pPr>
        <w:widowControl w:val="0"/>
        <w:autoSpaceDE w:val="0"/>
        <w:autoSpaceDN w:val="0"/>
        <w:adjustRightInd w:val="0"/>
        <w:jc w:val="both"/>
        <w:rPr>
          <w:rFonts w:ascii="Arial" w:eastAsia="Cambria" w:hAnsi="Arial" w:cs="Arial"/>
        </w:rPr>
      </w:pPr>
    </w:p>
    <w:tbl>
      <w:tblPr>
        <w:tblW w:w="10480" w:type="dxa"/>
        <w:jc w:val="center"/>
        <w:tblCellMar>
          <w:left w:w="70" w:type="dxa"/>
          <w:right w:w="70" w:type="dxa"/>
        </w:tblCellMar>
        <w:tblLook w:val="04A0" w:firstRow="1" w:lastRow="0" w:firstColumn="1" w:lastColumn="0" w:noHBand="0" w:noVBand="1"/>
      </w:tblPr>
      <w:tblGrid>
        <w:gridCol w:w="1760"/>
        <w:gridCol w:w="860"/>
        <w:gridCol w:w="860"/>
        <w:gridCol w:w="860"/>
        <w:gridCol w:w="860"/>
        <w:gridCol w:w="860"/>
        <w:gridCol w:w="860"/>
        <w:gridCol w:w="860"/>
        <w:gridCol w:w="900"/>
        <w:gridCol w:w="900"/>
        <w:gridCol w:w="900"/>
      </w:tblGrid>
      <w:tr w:rsidR="00526043" w:rsidRPr="00F20FEE" w:rsidTr="0079770C">
        <w:trPr>
          <w:trHeight w:val="480"/>
          <w:jc w:val="center"/>
        </w:trPr>
        <w:tc>
          <w:tcPr>
            <w:tcW w:w="1760" w:type="dxa"/>
            <w:vMerge w:val="restart"/>
            <w:tcBorders>
              <w:top w:val="single" w:sz="4" w:space="0" w:color="A6A6A6"/>
              <w:left w:val="single" w:sz="4" w:space="0" w:color="A6A6A6"/>
              <w:bottom w:val="single" w:sz="4" w:space="0" w:color="A6A6A6"/>
              <w:right w:val="single" w:sz="4" w:space="0" w:color="A6A6A6"/>
            </w:tcBorders>
            <w:shd w:val="clear" w:color="000000" w:fill="CC3300"/>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Type de prestation</w:t>
            </w:r>
          </w:p>
        </w:tc>
        <w:tc>
          <w:tcPr>
            <w:tcW w:w="8720" w:type="dxa"/>
            <w:gridSpan w:val="10"/>
            <w:tcBorders>
              <w:top w:val="single" w:sz="4" w:space="0" w:color="A6A6A6"/>
              <w:left w:val="nil"/>
              <w:bottom w:val="single" w:sz="4" w:space="0" w:color="A6A6A6"/>
              <w:right w:val="single" w:sz="4" w:space="0" w:color="A6A6A6"/>
            </w:tcBorders>
            <w:shd w:val="clear" w:color="000000" w:fill="CC3300"/>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Tranches d'âge</w:t>
            </w:r>
          </w:p>
        </w:tc>
      </w:tr>
      <w:tr w:rsidR="00526043" w:rsidRPr="00F20FEE" w:rsidTr="0079770C">
        <w:trPr>
          <w:trHeight w:val="480"/>
          <w:jc w:val="center"/>
        </w:trPr>
        <w:tc>
          <w:tcPr>
            <w:tcW w:w="1760" w:type="dxa"/>
            <w:vMerge/>
            <w:tcBorders>
              <w:top w:val="single" w:sz="4" w:space="0" w:color="A6A6A6"/>
              <w:left w:val="single" w:sz="4" w:space="0" w:color="A6A6A6"/>
              <w:bottom w:val="single" w:sz="4" w:space="0" w:color="A6A6A6"/>
              <w:right w:val="single" w:sz="4" w:space="0" w:color="A6A6A6"/>
            </w:tcBorders>
            <w:vAlign w:val="center"/>
            <w:hideMark/>
          </w:tcPr>
          <w:p w:rsidR="00526043" w:rsidRPr="00F20FEE" w:rsidRDefault="00526043" w:rsidP="0079770C">
            <w:pPr>
              <w:rPr>
                <w:rFonts w:ascii="Arial" w:eastAsia="Times New Roman" w:hAnsi="Arial" w:cs="Arial"/>
                <w:b/>
                <w:bCs/>
                <w:color w:val="FFFFFF"/>
                <w:sz w:val="18"/>
                <w:szCs w:val="18"/>
                <w:lang w:eastAsia="fr-FR"/>
              </w:rPr>
            </w:pP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&lt; 25 ans</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25 à</w:t>
            </w:r>
            <w:r w:rsidRPr="00F20FEE">
              <w:rPr>
                <w:rFonts w:ascii="Arial" w:eastAsia="Times New Roman" w:hAnsi="Arial" w:cs="Arial"/>
                <w:b/>
                <w:bCs/>
                <w:color w:val="FFFFFF"/>
                <w:sz w:val="18"/>
                <w:szCs w:val="18"/>
                <w:lang w:eastAsia="fr-FR"/>
              </w:rPr>
              <w:br/>
              <w:t>29 ans</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30 à</w:t>
            </w:r>
            <w:r w:rsidRPr="00F20FEE">
              <w:rPr>
                <w:rFonts w:ascii="Arial" w:eastAsia="Times New Roman" w:hAnsi="Arial" w:cs="Arial"/>
                <w:b/>
                <w:bCs/>
                <w:color w:val="FFFFFF"/>
                <w:sz w:val="18"/>
                <w:szCs w:val="18"/>
                <w:lang w:eastAsia="fr-FR"/>
              </w:rPr>
              <w:br/>
              <w:t>34 ans</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35 à</w:t>
            </w:r>
            <w:r w:rsidRPr="00F20FEE">
              <w:rPr>
                <w:rFonts w:ascii="Arial" w:eastAsia="Times New Roman" w:hAnsi="Arial" w:cs="Arial"/>
                <w:b/>
                <w:bCs/>
                <w:color w:val="FFFFFF"/>
                <w:sz w:val="18"/>
                <w:szCs w:val="18"/>
                <w:lang w:eastAsia="fr-FR"/>
              </w:rPr>
              <w:br/>
              <w:t>39 ans</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40 à</w:t>
            </w:r>
            <w:r w:rsidRPr="00F20FEE">
              <w:rPr>
                <w:rFonts w:ascii="Arial" w:eastAsia="Times New Roman" w:hAnsi="Arial" w:cs="Arial"/>
                <w:b/>
                <w:bCs/>
                <w:color w:val="FFFFFF"/>
                <w:sz w:val="18"/>
                <w:szCs w:val="18"/>
                <w:lang w:eastAsia="fr-FR"/>
              </w:rPr>
              <w:br/>
              <w:t>44 ans</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45 à</w:t>
            </w:r>
            <w:r w:rsidRPr="00F20FEE">
              <w:rPr>
                <w:rFonts w:ascii="Arial" w:eastAsia="Times New Roman" w:hAnsi="Arial" w:cs="Arial"/>
                <w:b/>
                <w:bCs/>
                <w:color w:val="FFFFFF"/>
                <w:sz w:val="18"/>
                <w:szCs w:val="18"/>
                <w:lang w:eastAsia="fr-FR"/>
              </w:rPr>
              <w:br/>
              <w:t>49 ans</w:t>
            </w:r>
          </w:p>
        </w:tc>
        <w:tc>
          <w:tcPr>
            <w:tcW w:w="86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50 à</w:t>
            </w:r>
            <w:r w:rsidRPr="00F20FEE">
              <w:rPr>
                <w:rFonts w:ascii="Arial" w:eastAsia="Times New Roman" w:hAnsi="Arial" w:cs="Arial"/>
                <w:b/>
                <w:bCs/>
                <w:color w:val="FFFFFF"/>
                <w:sz w:val="18"/>
                <w:szCs w:val="18"/>
                <w:lang w:eastAsia="fr-FR"/>
              </w:rPr>
              <w:br/>
              <w:t>54 ans</w:t>
            </w:r>
          </w:p>
        </w:tc>
        <w:tc>
          <w:tcPr>
            <w:tcW w:w="90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55 à</w:t>
            </w:r>
            <w:r w:rsidRPr="00F20FEE">
              <w:rPr>
                <w:rFonts w:ascii="Arial" w:eastAsia="Times New Roman" w:hAnsi="Arial" w:cs="Arial"/>
                <w:b/>
                <w:bCs/>
                <w:color w:val="FFFFFF"/>
                <w:sz w:val="18"/>
                <w:szCs w:val="18"/>
                <w:lang w:eastAsia="fr-FR"/>
              </w:rPr>
              <w:br/>
              <w:t>59 ans</w:t>
            </w:r>
          </w:p>
        </w:tc>
        <w:tc>
          <w:tcPr>
            <w:tcW w:w="90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60 à</w:t>
            </w:r>
            <w:r w:rsidRPr="00F20FEE">
              <w:rPr>
                <w:rFonts w:ascii="Arial" w:eastAsia="Times New Roman" w:hAnsi="Arial" w:cs="Arial"/>
                <w:b/>
                <w:bCs/>
                <w:color w:val="FFFFFF"/>
                <w:sz w:val="18"/>
                <w:szCs w:val="18"/>
                <w:lang w:eastAsia="fr-FR"/>
              </w:rPr>
              <w:br/>
              <w:t>64 ans</w:t>
            </w:r>
          </w:p>
        </w:tc>
        <w:tc>
          <w:tcPr>
            <w:tcW w:w="900" w:type="dxa"/>
            <w:tcBorders>
              <w:top w:val="nil"/>
              <w:left w:val="nil"/>
              <w:bottom w:val="single" w:sz="4" w:space="0" w:color="A6A6A6"/>
              <w:right w:val="single" w:sz="4" w:space="0" w:color="A6A6A6"/>
            </w:tcBorders>
            <w:shd w:val="clear" w:color="000000" w:fill="FF9933"/>
            <w:vAlign w:val="center"/>
            <w:hideMark/>
          </w:tcPr>
          <w:p w:rsidR="00526043" w:rsidRPr="00F20FEE" w:rsidRDefault="00526043" w:rsidP="0079770C">
            <w:pPr>
              <w:jc w:val="center"/>
              <w:rPr>
                <w:rFonts w:ascii="Arial" w:eastAsia="Times New Roman" w:hAnsi="Arial" w:cs="Arial"/>
                <w:b/>
                <w:bCs/>
                <w:color w:val="FFFFFF"/>
                <w:sz w:val="18"/>
                <w:szCs w:val="18"/>
                <w:lang w:eastAsia="fr-FR"/>
              </w:rPr>
            </w:pPr>
            <w:r w:rsidRPr="00F20FEE">
              <w:rPr>
                <w:rFonts w:ascii="Arial" w:eastAsia="Times New Roman" w:hAnsi="Arial" w:cs="Arial"/>
                <w:b/>
                <w:bCs/>
                <w:color w:val="FFFFFF"/>
                <w:sz w:val="18"/>
                <w:szCs w:val="18"/>
                <w:lang w:eastAsia="fr-FR"/>
              </w:rPr>
              <w:t>65 ans</w:t>
            </w:r>
            <w:r w:rsidRPr="00F20FEE">
              <w:rPr>
                <w:rFonts w:ascii="Arial" w:eastAsia="Times New Roman" w:hAnsi="Arial" w:cs="Arial"/>
                <w:b/>
                <w:bCs/>
                <w:color w:val="FFFFFF"/>
                <w:sz w:val="18"/>
                <w:szCs w:val="18"/>
                <w:lang w:eastAsia="fr-FR"/>
              </w:rPr>
              <w:br/>
              <w:t>et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Aides aux séjours</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4%</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14%</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15%</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Vacances en famille</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28%</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25%</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Allocation parents enfants handicapés</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45%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BAFA</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40%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Départ retraite</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40%</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55%</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Aides aux déménagements</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40%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10%</w:t>
            </w:r>
          </w:p>
        </w:tc>
        <w:tc>
          <w:tcPr>
            <w:tcW w:w="86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15%</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Aide à la scolarité</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4%</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16%</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36%</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24%</w:t>
            </w:r>
          </w:p>
        </w:tc>
        <w:tc>
          <w:tcPr>
            <w:tcW w:w="90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19%</w:t>
            </w:r>
          </w:p>
        </w:tc>
        <w:tc>
          <w:tcPr>
            <w:tcW w:w="90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w:t>
            </w:r>
          </w:p>
        </w:tc>
        <w:tc>
          <w:tcPr>
            <w:tcW w:w="90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r w:rsidR="00526043" w:rsidRPr="00F20FEE" w:rsidTr="0079770C">
        <w:trPr>
          <w:trHeight w:val="480"/>
          <w:jc w:val="center"/>
        </w:trPr>
        <w:tc>
          <w:tcPr>
            <w:tcW w:w="1760" w:type="dxa"/>
            <w:tcBorders>
              <w:top w:val="nil"/>
              <w:left w:val="single" w:sz="4" w:space="0" w:color="A6A6A6"/>
              <w:bottom w:val="single" w:sz="4" w:space="0" w:color="A6A6A6"/>
              <w:right w:val="single" w:sz="4" w:space="0" w:color="A6A6A6"/>
            </w:tcBorders>
            <w:shd w:val="clear" w:color="000000" w:fill="D9D9D9"/>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Frais de garde enfants 6-12 ans</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20%</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15%</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40%</w:t>
            </w:r>
          </w:p>
        </w:tc>
        <w:tc>
          <w:tcPr>
            <w:tcW w:w="86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20%</w:t>
            </w:r>
          </w:p>
        </w:tc>
        <w:tc>
          <w:tcPr>
            <w:tcW w:w="90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5%</w:t>
            </w:r>
          </w:p>
        </w:tc>
        <w:tc>
          <w:tcPr>
            <w:tcW w:w="90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c>
          <w:tcPr>
            <w:tcW w:w="900" w:type="dxa"/>
            <w:tcBorders>
              <w:top w:val="nil"/>
              <w:left w:val="nil"/>
              <w:bottom w:val="single" w:sz="4" w:space="0" w:color="A6A6A6"/>
              <w:right w:val="single" w:sz="4" w:space="0" w:color="A6A6A6"/>
            </w:tcBorders>
            <w:shd w:val="clear" w:color="auto" w:fill="auto"/>
            <w:noWrap/>
            <w:vAlign w:val="center"/>
            <w:hideMark/>
          </w:tcPr>
          <w:p w:rsidR="00526043" w:rsidRPr="00F20FEE" w:rsidRDefault="00526043" w:rsidP="0079770C">
            <w:pPr>
              <w:jc w:val="center"/>
              <w:rPr>
                <w:rFonts w:ascii="Arial" w:eastAsia="Times New Roman" w:hAnsi="Arial" w:cs="Arial"/>
                <w:sz w:val="18"/>
                <w:szCs w:val="18"/>
                <w:lang w:eastAsia="fr-FR"/>
              </w:rPr>
            </w:pPr>
            <w:r w:rsidRPr="00F20FEE">
              <w:rPr>
                <w:rFonts w:ascii="Arial" w:eastAsia="Times New Roman" w:hAnsi="Arial" w:cs="Arial"/>
                <w:sz w:val="18"/>
                <w:szCs w:val="18"/>
                <w:lang w:eastAsia="fr-FR"/>
              </w:rPr>
              <w:t> </w:t>
            </w:r>
          </w:p>
        </w:tc>
      </w:tr>
    </w:tbl>
    <w:p w:rsidR="00526043" w:rsidRDefault="00526043" w:rsidP="00526043">
      <w:pPr>
        <w:rPr>
          <w:rFonts w:ascii="Arial" w:eastAsia="Cambria" w:hAnsi="Arial" w:cs="Times New Roman"/>
        </w:rPr>
      </w:pPr>
      <w:r>
        <w:rPr>
          <w:rFonts w:ascii="Arial" w:eastAsia="Cambria" w:hAnsi="Arial" w:cs="Times New Roman"/>
        </w:rPr>
        <w:br w:type="page"/>
      </w:r>
    </w:p>
    <w:p w:rsidR="00526043" w:rsidRPr="00C30383" w:rsidRDefault="00526043" w:rsidP="00526043">
      <w:pPr>
        <w:rPr>
          <w:rFonts w:ascii="Arial" w:eastAsia="Cambria" w:hAnsi="Arial" w:cs="Times New Roman"/>
        </w:rPr>
      </w:pPr>
    </w:p>
    <w:p w:rsidR="00526043" w:rsidRPr="009779BE" w:rsidRDefault="00526043" w:rsidP="00526043">
      <w:pPr>
        <w:tabs>
          <w:tab w:val="left" w:pos="1220"/>
        </w:tabs>
        <w:ind w:left="851" w:hanging="851"/>
        <w:rPr>
          <w:rFonts w:ascii="Florencesans Exp" w:eastAsia="Cambria" w:hAnsi="Florencesans Exp" w:cs="Times New Roman"/>
          <w:b/>
          <w:color w:val="FF8000"/>
          <w:sz w:val="28"/>
        </w:rPr>
      </w:pPr>
      <w:r w:rsidRPr="009779BE">
        <w:rPr>
          <w:rFonts w:ascii="Florencesans Exp" w:eastAsia="Cambria" w:hAnsi="Florencesans Exp" w:cs="Times New Roman"/>
          <w:b/>
          <w:color w:val="FF8000"/>
          <w:sz w:val="28"/>
        </w:rPr>
        <w:t xml:space="preserve">5. B. ZOOM SUR L’ACTION SOCIALE DES SERVICES CENTRAUX - HORS DRAC ILE–DE–FRANCE </w:t>
      </w:r>
      <w:r>
        <w:rPr>
          <w:rFonts w:ascii="Florencesans Exp" w:eastAsia="Cambria" w:hAnsi="Florencesans Exp" w:cs="Times New Roman"/>
          <w:b/>
          <w:color w:val="FF8000"/>
          <w:sz w:val="28"/>
        </w:rPr>
        <w:br/>
      </w:r>
      <w:r w:rsidRPr="009779BE">
        <w:rPr>
          <w:rFonts w:ascii="Florencesans Exp" w:eastAsia="Cambria" w:hAnsi="Florencesans Exp" w:cs="Times New Roman"/>
          <w:b/>
          <w:color w:val="FF8000"/>
          <w:sz w:val="28"/>
        </w:rPr>
        <w:t>(DONNEES T2 ET T3)</w:t>
      </w:r>
    </w:p>
    <w:p w:rsidR="00526043" w:rsidRPr="00C30383" w:rsidRDefault="00526043" w:rsidP="00526043">
      <w:pPr>
        <w:jc w:val="both"/>
        <w:rPr>
          <w:rFonts w:ascii="Arial" w:eastAsia="Cambria" w:hAnsi="Arial" w:cs="Times New Roman"/>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iCs/>
          <w:color w:val="000000"/>
          <w:sz w:val="22"/>
          <w:szCs w:val="22"/>
          <w:lang w:eastAsia="fr-FR"/>
        </w:rPr>
        <w:t>Pour mémoire, sont concernés par ces dépenses, les services d’administration centrale, services rattachés et certains services déconcentrés (services situés à Paris et en Île-de-France) payés en centrale et, pour les prestations et subventions, secours et subventions aux associations, les agents de la France entière, rémunérés par le ministère.</w:t>
      </w:r>
    </w:p>
    <w:p w:rsidR="00526043" w:rsidRPr="00526043" w:rsidRDefault="00526043" w:rsidP="00526043">
      <w:pPr>
        <w:ind w:firstLine="1"/>
        <w:jc w:val="both"/>
        <w:rPr>
          <w:rFonts w:ascii="Arial" w:eastAsia="Times New Roman" w:hAnsi="Arial" w:cs="Arial"/>
          <w:sz w:val="22"/>
          <w:szCs w:val="22"/>
          <w:lang w:eastAsia="fr-FR"/>
        </w:rPr>
      </w:pPr>
      <w:r w:rsidRPr="00526043">
        <w:rPr>
          <w:rFonts w:ascii="Arial" w:eastAsia="Times New Roman" w:hAnsi="Arial" w:cs="Arial"/>
          <w:iCs/>
          <w:color w:val="000000"/>
          <w:sz w:val="22"/>
          <w:szCs w:val="22"/>
          <w:lang w:eastAsia="fr-FR"/>
        </w:rPr>
        <w:t>Depuis 2011, toutes les écoles d'architecture et les DRAC sont rattachées pour l'ensemble de leurs dépenses du titre 2 au budget du BASP.</w:t>
      </w:r>
    </w:p>
    <w:p w:rsidR="00526043" w:rsidRPr="00526043" w:rsidRDefault="00526043" w:rsidP="00526043">
      <w:pPr>
        <w:ind w:left="-1418" w:firstLine="284"/>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color w:val="000000"/>
          <w:sz w:val="22"/>
          <w:szCs w:val="22"/>
          <w:lang w:eastAsia="fr-FR"/>
        </w:rPr>
      </w:pPr>
      <w:r w:rsidRPr="00526043">
        <w:rPr>
          <w:rFonts w:ascii="Arial" w:eastAsia="Times New Roman" w:hAnsi="Arial" w:cs="Arial"/>
          <w:color w:val="000000"/>
          <w:sz w:val="22"/>
          <w:szCs w:val="22"/>
          <w:lang w:eastAsia="fr-FR"/>
        </w:rPr>
        <w:t xml:space="preserve">En 2013, 5 265 279 € ont été consacrés aux dépenses de l’administration centrale, tous titres confondus. </w:t>
      </w:r>
    </w:p>
    <w:p w:rsidR="00526043" w:rsidRPr="00526043" w:rsidRDefault="00526043" w:rsidP="00526043">
      <w:pPr>
        <w:ind w:firstLine="284"/>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color w:val="000000"/>
          <w:sz w:val="22"/>
          <w:szCs w:val="22"/>
          <w:u w:val="single"/>
          <w:lang w:eastAsia="fr-FR"/>
        </w:rPr>
        <w:t>Consommation du titre 3 (224-02)</w:t>
      </w:r>
      <w:r w:rsidRPr="00526043">
        <w:rPr>
          <w:rFonts w:ascii="Arial" w:eastAsia="Times New Roman" w:hAnsi="Arial" w:cs="Arial"/>
          <w:color w:val="000000"/>
          <w:sz w:val="22"/>
          <w:szCs w:val="22"/>
          <w:lang w:eastAsia="fr-FR"/>
        </w:rPr>
        <w:t xml:space="preserve"> : </w:t>
      </w: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Les dépenses de logement représentaient 27,2 % du budget global de l'administration centrale en 2012. En 2013, la proportion passe à 24,5 %.</w:t>
      </w:r>
    </w:p>
    <w:p w:rsidR="00526043" w:rsidRPr="00526043" w:rsidRDefault="00526043" w:rsidP="00526043">
      <w:pPr>
        <w:ind w:firstLine="284"/>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L'évolution des crédits de paiement consacrés au logement depuis 2011 apparaît dans le tableau suivant :</w:t>
      </w:r>
    </w:p>
    <w:p w:rsidR="00526043" w:rsidRPr="00C30383" w:rsidRDefault="00526043" w:rsidP="00526043">
      <w:pPr>
        <w:jc w:val="both"/>
        <w:rPr>
          <w:rFonts w:ascii="Arial" w:eastAsia="Cambria" w:hAnsi="Arial" w:cs="Times New Roman"/>
        </w:rPr>
      </w:pPr>
    </w:p>
    <w:tbl>
      <w:tblPr>
        <w:tblW w:w="2538" w:type="dxa"/>
        <w:jc w:val="center"/>
        <w:tblCellMar>
          <w:left w:w="70" w:type="dxa"/>
          <w:right w:w="70" w:type="dxa"/>
        </w:tblCellMar>
        <w:tblLook w:val="0000" w:firstRow="0" w:lastRow="0" w:firstColumn="0" w:lastColumn="0" w:noHBand="0" w:noVBand="0"/>
      </w:tblPr>
      <w:tblGrid>
        <w:gridCol w:w="1269"/>
        <w:gridCol w:w="1269"/>
      </w:tblGrid>
      <w:tr w:rsidR="00526043" w:rsidRPr="00C30383" w:rsidTr="0079770C">
        <w:trPr>
          <w:trHeight w:val="450"/>
          <w:jc w:val="center"/>
        </w:trPr>
        <w:tc>
          <w:tcPr>
            <w:tcW w:w="1191" w:type="dxa"/>
            <w:tcBorders>
              <w:top w:val="single" w:sz="4" w:space="0" w:color="808080"/>
              <w:left w:val="single" w:sz="4" w:space="0" w:color="808080"/>
              <w:bottom w:val="single" w:sz="4" w:space="0" w:color="808080"/>
              <w:right w:val="single" w:sz="4" w:space="0" w:color="808080"/>
            </w:tcBorders>
            <w:shd w:val="clear" w:color="auto" w:fill="FF9933"/>
            <w:vAlign w:val="center"/>
          </w:tcPr>
          <w:p w:rsidR="00526043" w:rsidRPr="0092534E" w:rsidRDefault="00526043" w:rsidP="0079770C">
            <w:pPr>
              <w:jc w:val="center"/>
              <w:rPr>
                <w:rFonts w:ascii="Arial" w:eastAsia="Cambria" w:hAnsi="Arial" w:cs="Times New Roman"/>
                <w:b/>
                <w:bCs/>
                <w:color w:val="FFFFFF"/>
                <w:sz w:val="20"/>
                <w:szCs w:val="20"/>
                <w:lang w:eastAsia="fr-FR"/>
              </w:rPr>
            </w:pPr>
            <w:r w:rsidRPr="0092534E">
              <w:rPr>
                <w:rFonts w:ascii="Arial" w:eastAsia="Cambria" w:hAnsi="Arial" w:cs="Times New Roman"/>
                <w:b/>
                <w:bCs/>
                <w:color w:val="FFFFFF"/>
                <w:sz w:val="20"/>
                <w:szCs w:val="20"/>
                <w:lang w:eastAsia="fr-FR"/>
              </w:rPr>
              <w:t>Année</w:t>
            </w:r>
          </w:p>
        </w:tc>
        <w:tc>
          <w:tcPr>
            <w:tcW w:w="1269" w:type="dxa"/>
            <w:tcBorders>
              <w:top w:val="single" w:sz="4" w:space="0" w:color="808080"/>
              <w:left w:val="single" w:sz="4" w:space="0" w:color="808080"/>
              <w:bottom w:val="single" w:sz="4" w:space="0" w:color="808080"/>
              <w:right w:val="single" w:sz="4" w:space="0" w:color="808080"/>
            </w:tcBorders>
            <w:shd w:val="clear" w:color="auto" w:fill="FF9933"/>
            <w:vAlign w:val="center"/>
          </w:tcPr>
          <w:p w:rsidR="00526043" w:rsidRPr="0092534E" w:rsidRDefault="00526043" w:rsidP="0079770C">
            <w:pPr>
              <w:jc w:val="center"/>
              <w:rPr>
                <w:rFonts w:ascii="Arial" w:eastAsia="Cambria" w:hAnsi="Arial" w:cs="Times New Roman"/>
                <w:b/>
                <w:bCs/>
                <w:color w:val="FFFFFF"/>
                <w:sz w:val="20"/>
                <w:szCs w:val="20"/>
                <w:lang w:eastAsia="fr-FR"/>
              </w:rPr>
            </w:pPr>
            <w:r w:rsidRPr="0092534E">
              <w:rPr>
                <w:rFonts w:ascii="Arial" w:eastAsia="Cambria" w:hAnsi="Arial" w:cs="Times New Roman"/>
                <w:b/>
                <w:bCs/>
                <w:color w:val="FFFFFF"/>
                <w:sz w:val="20"/>
                <w:szCs w:val="20"/>
                <w:lang w:eastAsia="fr-FR"/>
              </w:rPr>
              <w:t>Montant</w:t>
            </w:r>
          </w:p>
        </w:tc>
      </w:tr>
      <w:tr w:rsidR="00526043" w:rsidRPr="0092534E" w:rsidTr="0079770C">
        <w:trPr>
          <w:trHeight w:val="340"/>
          <w:jc w:val="center"/>
        </w:trPr>
        <w:tc>
          <w:tcPr>
            <w:tcW w:w="1269" w:type="dxa"/>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tcPr>
          <w:p w:rsidR="00526043" w:rsidRPr="007E1E7B" w:rsidRDefault="00526043" w:rsidP="0079770C">
            <w:pPr>
              <w:jc w:val="center"/>
              <w:rPr>
                <w:rFonts w:ascii="Arial" w:eastAsia="Cambria" w:hAnsi="Arial" w:cs="Arial"/>
                <w:sz w:val="20"/>
                <w:szCs w:val="20"/>
                <w:lang w:eastAsia="fr-FR"/>
              </w:rPr>
            </w:pPr>
            <w:r w:rsidRPr="007E1E7B">
              <w:rPr>
                <w:rFonts w:ascii="Arial" w:eastAsia="Cambria" w:hAnsi="Arial" w:cs="Arial"/>
                <w:sz w:val="20"/>
                <w:szCs w:val="20"/>
                <w:lang w:eastAsia="fr-FR"/>
              </w:rPr>
              <w:t>2011</w:t>
            </w:r>
          </w:p>
        </w:tc>
        <w:tc>
          <w:tcPr>
            <w:tcW w:w="1269"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2 020 200 €</w:t>
            </w:r>
          </w:p>
        </w:tc>
      </w:tr>
      <w:tr w:rsidR="00526043" w:rsidRPr="0092534E" w:rsidTr="0079770C">
        <w:trPr>
          <w:trHeight w:val="340"/>
          <w:jc w:val="center"/>
        </w:trPr>
        <w:tc>
          <w:tcPr>
            <w:tcW w:w="1269" w:type="dxa"/>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tcPr>
          <w:p w:rsidR="00526043" w:rsidRPr="007E1E7B" w:rsidRDefault="00526043" w:rsidP="0079770C">
            <w:pPr>
              <w:jc w:val="center"/>
              <w:rPr>
                <w:rFonts w:ascii="Arial" w:eastAsia="Cambria" w:hAnsi="Arial" w:cs="Arial"/>
                <w:sz w:val="20"/>
                <w:szCs w:val="20"/>
                <w:lang w:eastAsia="fr-FR"/>
              </w:rPr>
            </w:pPr>
            <w:r w:rsidRPr="007E1E7B">
              <w:rPr>
                <w:rFonts w:ascii="Arial" w:eastAsia="Cambria" w:hAnsi="Arial" w:cs="Arial"/>
                <w:sz w:val="20"/>
                <w:szCs w:val="20"/>
                <w:lang w:eastAsia="fr-FR"/>
              </w:rPr>
              <w:t>2012</w:t>
            </w:r>
          </w:p>
        </w:tc>
        <w:tc>
          <w:tcPr>
            <w:tcW w:w="1269"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1 411 000 €</w:t>
            </w:r>
          </w:p>
        </w:tc>
      </w:tr>
      <w:tr w:rsidR="00526043" w:rsidRPr="00C30383" w:rsidTr="0079770C">
        <w:trPr>
          <w:trHeight w:val="340"/>
          <w:jc w:val="center"/>
        </w:trPr>
        <w:tc>
          <w:tcPr>
            <w:tcW w:w="1269" w:type="dxa"/>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tcPr>
          <w:p w:rsidR="00526043" w:rsidRPr="007E1E7B" w:rsidRDefault="00526043" w:rsidP="0079770C">
            <w:pPr>
              <w:jc w:val="center"/>
              <w:rPr>
                <w:rFonts w:ascii="Arial" w:eastAsia="Cambria" w:hAnsi="Arial" w:cs="Arial"/>
                <w:sz w:val="20"/>
                <w:szCs w:val="20"/>
                <w:lang w:eastAsia="fr-FR"/>
              </w:rPr>
            </w:pPr>
            <w:r w:rsidRPr="007E1E7B">
              <w:rPr>
                <w:rFonts w:ascii="Arial" w:eastAsia="Cambria" w:hAnsi="Arial" w:cs="Arial"/>
                <w:sz w:val="20"/>
                <w:szCs w:val="20"/>
                <w:lang w:eastAsia="fr-FR"/>
              </w:rPr>
              <w:t>2013</w:t>
            </w:r>
          </w:p>
        </w:tc>
        <w:tc>
          <w:tcPr>
            <w:tcW w:w="1269"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1 289 500 €</w:t>
            </w:r>
          </w:p>
        </w:tc>
      </w:tr>
    </w:tbl>
    <w:p w:rsidR="00526043" w:rsidRPr="00526043" w:rsidRDefault="00526043" w:rsidP="00526043">
      <w:pPr>
        <w:spacing w:before="100" w:beforeAutospacing="1"/>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Le rythme de consommation annuelle reste soumis aux aléas des délais de livraison pour des projets sur lesquels le ministère a pu s’engager 3, voire 4 ans en amont.</w:t>
      </w:r>
    </w:p>
    <w:p w:rsidR="00526043" w:rsidRPr="00526043" w:rsidRDefault="00526043" w:rsidP="00526043">
      <w:pPr>
        <w:spacing w:before="100" w:beforeAutospacing="1"/>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Les logements attribués sur les différents parcs se répartissent comme suit :</w:t>
      </w:r>
    </w:p>
    <w:p w:rsidR="00526043" w:rsidRPr="00C30383" w:rsidRDefault="00526043" w:rsidP="00526043">
      <w:pPr>
        <w:jc w:val="both"/>
        <w:rPr>
          <w:rFonts w:ascii="Arial" w:eastAsia="Cambria" w:hAnsi="Arial" w:cs="Times New Roman"/>
        </w:rPr>
      </w:pPr>
    </w:p>
    <w:tbl>
      <w:tblPr>
        <w:tblW w:w="7075" w:type="dxa"/>
        <w:jc w:val="center"/>
        <w:tblCellMar>
          <w:left w:w="70" w:type="dxa"/>
          <w:right w:w="70" w:type="dxa"/>
        </w:tblCellMar>
        <w:tblLook w:val="0000" w:firstRow="0" w:lastRow="0" w:firstColumn="0" w:lastColumn="0" w:noHBand="0" w:noVBand="0"/>
      </w:tblPr>
      <w:tblGrid>
        <w:gridCol w:w="3175"/>
        <w:gridCol w:w="1300"/>
        <w:gridCol w:w="1300"/>
        <w:gridCol w:w="1300"/>
      </w:tblGrid>
      <w:tr w:rsidR="00526043" w:rsidRPr="00C30383" w:rsidTr="0079770C">
        <w:trPr>
          <w:trHeight w:val="720"/>
          <w:jc w:val="center"/>
        </w:trPr>
        <w:tc>
          <w:tcPr>
            <w:tcW w:w="3175" w:type="dxa"/>
            <w:tcBorders>
              <w:top w:val="nil"/>
              <w:left w:val="nil"/>
              <w:bottom w:val="nil"/>
              <w:right w:val="nil"/>
            </w:tcBorders>
            <w:shd w:val="clear" w:color="auto" w:fill="auto"/>
          </w:tcPr>
          <w:p w:rsidR="00526043" w:rsidRPr="00C30383" w:rsidRDefault="00526043" w:rsidP="0079770C">
            <w:pPr>
              <w:rPr>
                <w:rFonts w:ascii="Arial" w:eastAsia="Cambria" w:hAnsi="Arial" w:cs="Times New Roman"/>
                <w:sz w:val="20"/>
                <w:szCs w:val="20"/>
                <w:lang w:eastAsia="fr-FR"/>
              </w:rPr>
            </w:pPr>
          </w:p>
        </w:tc>
        <w:tc>
          <w:tcPr>
            <w:tcW w:w="1300" w:type="dxa"/>
            <w:tcBorders>
              <w:top w:val="single" w:sz="4" w:space="0" w:color="808080"/>
              <w:left w:val="single" w:sz="4" w:space="0" w:color="808080"/>
              <w:bottom w:val="single" w:sz="4" w:space="0" w:color="808080"/>
              <w:right w:val="single" w:sz="4" w:space="0" w:color="808080"/>
            </w:tcBorders>
            <w:shd w:val="clear" w:color="auto" w:fill="FF9933"/>
            <w:vAlign w:val="center"/>
          </w:tcPr>
          <w:p w:rsidR="00526043" w:rsidRPr="00C30383" w:rsidRDefault="00526043" w:rsidP="0079770C">
            <w:pPr>
              <w:jc w:val="center"/>
              <w:rPr>
                <w:rFonts w:ascii="Arial" w:eastAsia="Cambria" w:hAnsi="Arial" w:cs="Times New Roman"/>
                <w:b/>
                <w:bCs/>
                <w:color w:val="FFFFFF"/>
                <w:sz w:val="20"/>
                <w:szCs w:val="20"/>
                <w:lang w:eastAsia="fr-FR"/>
              </w:rPr>
            </w:pPr>
            <w:r w:rsidRPr="00C30383">
              <w:rPr>
                <w:rFonts w:ascii="Arial" w:eastAsia="Cambria" w:hAnsi="Arial" w:cs="Times New Roman"/>
                <w:b/>
                <w:bCs/>
                <w:color w:val="FFFFFF"/>
                <w:sz w:val="20"/>
                <w:szCs w:val="20"/>
                <w:lang w:eastAsia="fr-FR"/>
              </w:rPr>
              <w:t>Nbre agents logés 201</w:t>
            </w:r>
            <w:r>
              <w:rPr>
                <w:rFonts w:ascii="Arial" w:eastAsia="Cambria" w:hAnsi="Arial" w:cs="Times New Roman"/>
                <w:b/>
                <w:bCs/>
                <w:color w:val="FFFFFF"/>
                <w:sz w:val="20"/>
                <w:szCs w:val="20"/>
                <w:lang w:eastAsia="fr-FR"/>
              </w:rPr>
              <w:t>1</w:t>
            </w:r>
          </w:p>
        </w:tc>
        <w:tc>
          <w:tcPr>
            <w:tcW w:w="1300" w:type="dxa"/>
            <w:tcBorders>
              <w:top w:val="single" w:sz="4" w:space="0" w:color="808080"/>
              <w:left w:val="single" w:sz="4" w:space="0" w:color="808080"/>
              <w:bottom w:val="single" w:sz="4" w:space="0" w:color="808080"/>
              <w:right w:val="single" w:sz="4" w:space="0" w:color="808080"/>
            </w:tcBorders>
            <w:shd w:val="clear" w:color="auto" w:fill="FF9933"/>
            <w:vAlign w:val="center"/>
          </w:tcPr>
          <w:p w:rsidR="00526043" w:rsidRPr="00C30383" w:rsidRDefault="00526043" w:rsidP="0079770C">
            <w:pPr>
              <w:jc w:val="center"/>
              <w:rPr>
                <w:rFonts w:ascii="Arial" w:eastAsia="Cambria" w:hAnsi="Arial" w:cs="Times New Roman"/>
                <w:b/>
                <w:bCs/>
                <w:color w:val="FFFFFF"/>
                <w:sz w:val="20"/>
                <w:szCs w:val="20"/>
                <w:lang w:eastAsia="fr-FR"/>
              </w:rPr>
            </w:pPr>
            <w:r w:rsidRPr="00C30383">
              <w:rPr>
                <w:rFonts w:ascii="Arial" w:eastAsia="Cambria" w:hAnsi="Arial" w:cs="Times New Roman"/>
                <w:b/>
                <w:bCs/>
                <w:color w:val="FFFFFF"/>
                <w:sz w:val="20"/>
                <w:szCs w:val="20"/>
                <w:lang w:eastAsia="fr-FR"/>
              </w:rPr>
              <w:t>Nbre agents logés 201</w:t>
            </w:r>
            <w:r>
              <w:rPr>
                <w:rFonts w:ascii="Arial" w:eastAsia="Cambria" w:hAnsi="Arial" w:cs="Times New Roman"/>
                <w:b/>
                <w:bCs/>
                <w:color w:val="FFFFFF"/>
                <w:sz w:val="20"/>
                <w:szCs w:val="20"/>
                <w:lang w:eastAsia="fr-FR"/>
              </w:rPr>
              <w:t>2</w:t>
            </w:r>
          </w:p>
        </w:tc>
        <w:tc>
          <w:tcPr>
            <w:tcW w:w="1300" w:type="dxa"/>
            <w:tcBorders>
              <w:top w:val="single" w:sz="4" w:space="0" w:color="808080"/>
              <w:left w:val="single" w:sz="4" w:space="0" w:color="808080"/>
              <w:bottom w:val="single" w:sz="4" w:space="0" w:color="808080"/>
              <w:right w:val="single" w:sz="4" w:space="0" w:color="808080"/>
            </w:tcBorders>
            <w:shd w:val="clear" w:color="auto" w:fill="FF9933"/>
            <w:vAlign w:val="center"/>
          </w:tcPr>
          <w:p w:rsidR="00526043" w:rsidRPr="00C30383" w:rsidRDefault="00526043" w:rsidP="0079770C">
            <w:pPr>
              <w:jc w:val="center"/>
              <w:rPr>
                <w:rFonts w:ascii="Arial" w:eastAsia="Cambria" w:hAnsi="Arial" w:cs="Times New Roman"/>
                <w:b/>
                <w:bCs/>
                <w:color w:val="FFFFFF"/>
                <w:sz w:val="20"/>
                <w:szCs w:val="20"/>
                <w:lang w:eastAsia="fr-FR"/>
              </w:rPr>
            </w:pPr>
            <w:r w:rsidRPr="00C30383">
              <w:rPr>
                <w:rFonts w:ascii="Arial" w:eastAsia="Cambria" w:hAnsi="Arial" w:cs="Times New Roman"/>
                <w:b/>
                <w:bCs/>
                <w:color w:val="FFFFFF"/>
                <w:sz w:val="20"/>
                <w:szCs w:val="20"/>
                <w:lang w:eastAsia="fr-FR"/>
              </w:rPr>
              <w:t>Nbre agents logés 201</w:t>
            </w:r>
            <w:r>
              <w:rPr>
                <w:rFonts w:ascii="Arial" w:eastAsia="Cambria" w:hAnsi="Arial" w:cs="Times New Roman"/>
                <w:b/>
                <w:bCs/>
                <w:color w:val="FFFFFF"/>
                <w:sz w:val="20"/>
                <w:szCs w:val="20"/>
                <w:lang w:eastAsia="fr-FR"/>
              </w:rPr>
              <w:t>3</w:t>
            </w:r>
          </w:p>
        </w:tc>
      </w:tr>
      <w:tr w:rsidR="00526043" w:rsidRPr="0092534E" w:rsidTr="0079770C">
        <w:trPr>
          <w:trHeight w:hRule="exact" w:val="454"/>
          <w:jc w:val="center"/>
        </w:trPr>
        <w:tc>
          <w:tcPr>
            <w:tcW w:w="3175" w:type="dxa"/>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tcPr>
          <w:p w:rsidR="00526043" w:rsidRPr="007E1E7B" w:rsidRDefault="00526043" w:rsidP="0079770C">
            <w:pPr>
              <w:rPr>
                <w:rFonts w:ascii="Arial" w:eastAsia="Cambria" w:hAnsi="Arial" w:cs="Arial"/>
                <w:sz w:val="20"/>
                <w:szCs w:val="20"/>
                <w:lang w:eastAsia="fr-FR"/>
              </w:rPr>
            </w:pPr>
            <w:r w:rsidRPr="007E1E7B">
              <w:rPr>
                <w:rFonts w:ascii="Arial" w:eastAsia="Cambria" w:hAnsi="Arial" w:cs="Arial"/>
                <w:sz w:val="20"/>
                <w:szCs w:val="20"/>
                <w:lang w:eastAsia="fr-FR"/>
              </w:rPr>
              <w:t>Parc préfectoral</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56</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85</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48</w:t>
            </w:r>
          </w:p>
        </w:tc>
      </w:tr>
      <w:tr w:rsidR="00526043" w:rsidRPr="0092534E" w:rsidTr="0079770C">
        <w:trPr>
          <w:trHeight w:hRule="exact" w:val="454"/>
          <w:jc w:val="center"/>
        </w:trPr>
        <w:tc>
          <w:tcPr>
            <w:tcW w:w="3175" w:type="dxa"/>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tcPr>
          <w:p w:rsidR="00526043" w:rsidRPr="007E1E7B" w:rsidRDefault="00526043" w:rsidP="0079770C">
            <w:pPr>
              <w:rPr>
                <w:rFonts w:ascii="Arial" w:eastAsia="Cambria" w:hAnsi="Arial" w:cs="Arial"/>
                <w:sz w:val="20"/>
                <w:szCs w:val="20"/>
                <w:lang w:eastAsia="fr-FR"/>
              </w:rPr>
            </w:pPr>
            <w:r w:rsidRPr="007E1E7B">
              <w:rPr>
                <w:rFonts w:ascii="Arial" w:eastAsia="Cambria" w:hAnsi="Arial" w:cs="Arial"/>
                <w:sz w:val="20"/>
                <w:szCs w:val="20"/>
                <w:lang w:eastAsia="fr-FR"/>
              </w:rPr>
              <w:t>Logements St-Cloud/Gobelins</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0</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0</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0</w:t>
            </w:r>
          </w:p>
        </w:tc>
      </w:tr>
      <w:tr w:rsidR="00526043" w:rsidRPr="0092534E" w:rsidTr="0079770C">
        <w:trPr>
          <w:trHeight w:hRule="exact" w:val="454"/>
          <w:jc w:val="center"/>
        </w:trPr>
        <w:tc>
          <w:tcPr>
            <w:tcW w:w="3175" w:type="dxa"/>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tcPr>
          <w:p w:rsidR="00526043" w:rsidRPr="007E1E7B" w:rsidRDefault="00526043" w:rsidP="0079770C">
            <w:pPr>
              <w:rPr>
                <w:rFonts w:ascii="Arial" w:eastAsia="Cambria" w:hAnsi="Arial" w:cs="Arial"/>
                <w:sz w:val="20"/>
                <w:szCs w:val="20"/>
                <w:lang w:eastAsia="fr-FR"/>
              </w:rPr>
            </w:pPr>
            <w:r w:rsidRPr="007E1E7B">
              <w:rPr>
                <w:rFonts w:ascii="Arial" w:eastAsia="Cambria" w:hAnsi="Arial" w:cs="Arial"/>
                <w:sz w:val="20"/>
                <w:szCs w:val="20"/>
                <w:lang w:eastAsia="fr-FR"/>
              </w:rPr>
              <w:t>Réservations ministère de la culture et de la communication</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58</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35</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color w:val="000000"/>
                <w:sz w:val="20"/>
                <w:szCs w:val="20"/>
                <w:lang w:eastAsia="fr-FR"/>
              </w:rPr>
            </w:pPr>
            <w:r w:rsidRPr="008C1993">
              <w:rPr>
                <w:rFonts w:ascii="Arial" w:eastAsia="Cambria" w:hAnsi="Arial" w:cs="Arial"/>
                <w:color w:val="000000"/>
                <w:sz w:val="20"/>
                <w:szCs w:val="20"/>
                <w:lang w:eastAsia="fr-FR"/>
              </w:rPr>
              <w:t>39</w:t>
            </w:r>
          </w:p>
        </w:tc>
      </w:tr>
      <w:tr w:rsidR="00526043" w:rsidRPr="00C30383" w:rsidTr="0079770C">
        <w:trPr>
          <w:trHeight w:hRule="exact" w:val="454"/>
          <w:jc w:val="center"/>
        </w:trPr>
        <w:tc>
          <w:tcPr>
            <w:tcW w:w="3175" w:type="dxa"/>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tcPr>
          <w:p w:rsidR="00526043" w:rsidRPr="007E1E7B" w:rsidRDefault="00526043" w:rsidP="0079770C">
            <w:pPr>
              <w:jc w:val="center"/>
              <w:rPr>
                <w:rFonts w:ascii="Arial" w:eastAsia="Cambria" w:hAnsi="Arial" w:cs="Arial"/>
                <w:sz w:val="20"/>
                <w:szCs w:val="20"/>
                <w:lang w:eastAsia="fr-FR"/>
              </w:rPr>
            </w:pPr>
            <w:r w:rsidRPr="007E1E7B">
              <w:rPr>
                <w:rFonts w:ascii="Arial" w:eastAsia="Cambria" w:hAnsi="Arial" w:cs="Arial"/>
                <w:sz w:val="20"/>
                <w:szCs w:val="20"/>
                <w:lang w:eastAsia="fr-FR"/>
              </w:rPr>
              <w:t>Total</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b/>
                <w:color w:val="000000"/>
                <w:sz w:val="20"/>
                <w:szCs w:val="20"/>
                <w:lang w:eastAsia="fr-FR"/>
              </w:rPr>
            </w:pPr>
            <w:r w:rsidRPr="008C1993">
              <w:rPr>
                <w:rFonts w:ascii="Arial" w:eastAsia="Cambria" w:hAnsi="Arial" w:cs="Arial"/>
                <w:b/>
                <w:color w:val="000000"/>
                <w:sz w:val="20"/>
                <w:szCs w:val="20"/>
                <w:lang w:eastAsia="fr-FR"/>
              </w:rPr>
              <w:t>114</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b/>
                <w:color w:val="000000"/>
                <w:sz w:val="20"/>
                <w:szCs w:val="20"/>
                <w:lang w:eastAsia="fr-FR"/>
              </w:rPr>
            </w:pPr>
            <w:r w:rsidRPr="008C1993">
              <w:rPr>
                <w:rFonts w:ascii="Arial" w:eastAsia="Cambria" w:hAnsi="Arial" w:cs="Arial"/>
                <w:b/>
                <w:color w:val="000000"/>
                <w:sz w:val="20"/>
                <w:szCs w:val="20"/>
                <w:lang w:eastAsia="fr-FR"/>
              </w:rPr>
              <w:t>120</w:t>
            </w:r>
          </w:p>
        </w:tc>
        <w:tc>
          <w:tcPr>
            <w:tcW w:w="1300" w:type="dxa"/>
            <w:tcBorders>
              <w:top w:val="single" w:sz="4" w:space="0" w:color="808080"/>
              <w:left w:val="single" w:sz="4" w:space="0" w:color="808080"/>
              <w:bottom w:val="single" w:sz="4" w:space="0" w:color="808080"/>
              <w:right w:val="single" w:sz="4" w:space="0" w:color="808080"/>
            </w:tcBorders>
            <w:shd w:val="clear" w:color="auto" w:fill="auto"/>
            <w:vAlign w:val="center"/>
          </w:tcPr>
          <w:p w:rsidR="00526043" w:rsidRPr="008C1993" w:rsidRDefault="00526043" w:rsidP="0079770C">
            <w:pPr>
              <w:jc w:val="center"/>
              <w:rPr>
                <w:rFonts w:ascii="Arial" w:eastAsia="Cambria" w:hAnsi="Arial" w:cs="Arial"/>
                <w:b/>
                <w:color w:val="000000"/>
                <w:sz w:val="20"/>
                <w:szCs w:val="20"/>
                <w:lang w:eastAsia="fr-FR"/>
              </w:rPr>
            </w:pPr>
            <w:r w:rsidRPr="008C1993">
              <w:rPr>
                <w:rFonts w:ascii="Arial" w:eastAsia="Cambria" w:hAnsi="Arial" w:cs="Arial"/>
                <w:b/>
                <w:color w:val="000000"/>
                <w:sz w:val="20"/>
                <w:szCs w:val="20"/>
                <w:lang w:eastAsia="fr-FR"/>
              </w:rPr>
              <w:t>87</w:t>
            </w:r>
          </w:p>
        </w:tc>
      </w:tr>
    </w:tbl>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t>Le fléchissement du nombre d’agents logés sur le parc préfectoral ne correspond pas à une baisse des demandes (cf tableau statistiques logement page 4) adressées en préfecture, qui restent stables entre 2012 et 2013. Il s’explique essentiellement par la réduction de l’offre qui amène les agents à candidater de nombreuses fois sur plusieurs logements. Le tropisme pour des candidatures exclusives sur des logements situés à Paris, à l’exclusion de la banlieue même proche, reste un obstacle au relogement rapide de certains agents.</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lastRenderedPageBreak/>
        <w:t xml:space="preserve">Les </w:t>
      </w:r>
      <w:r w:rsidRPr="00874010">
        <w:rPr>
          <w:rFonts w:ascii="Arial" w:hAnsi="Arial" w:cs="Arial"/>
          <w:b/>
          <w:bCs/>
          <w:sz w:val="22"/>
          <w:szCs w:val="22"/>
        </w:rPr>
        <w:t>associations de personnel</w:t>
      </w:r>
      <w:r w:rsidRPr="00874010">
        <w:rPr>
          <w:rFonts w:ascii="Arial" w:hAnsi="Arial" w:cs="Arial"/>
          <w:sz w:val="22"/>
          <w:szCs w:val="22"/>
        </w:rPr>
        <w:t xml:space="preserve"> représentent 24,1 % des dépenses totales d'administration centrale et sont stables (- 10 346 €) par rapport à 2012. </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t xml:space="preserve">Même s’il n’a pas progressé en 2013, le poids de l'AAS sur ce poste budgétaire reste prédominant et correspond à des activités bénéficiant à l’ensemble des agents du périmètre ministériel au-delà des adhérents. </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t xml:space="preserve">Les dépenses de </w:t>
      </w:r>
      <w:r w:rsidRPr="00874010">
        <w:rPr>
          <w:rFonts w:ascii="Arial" w:hAnsi="Arial" w:cs="Arial"/>
          <w:b/>
          <w:bCs/>
          <w:sz w:val="22"/>
          <w:szCs w:val="22"/>
        </w:rPr>
        <w:t xml:space="preserve">restauration </w:t>
      </w:r>
      <w:r w:rsidRPr="00874010">
        <w:rPr>
          <w:rFonts w:ascii="Arial" w:hAnsi="Arial" w:cs="Arial"/>
          <w:sz w:val="22"/>
          <w:szCs w:val="22"/>
        </w:rPr>
        <w:t>sont en progression (+ 32 659 €). Elles se montent à 988 346 € (955 687 € en 2012) et représentent 18,8 % du budget global de l'administration centrale.</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t xml:space="preserve">Les préconisations du CNAS (juin 2011) sur la limitation du prix du repas restant à la charge des agents rémunérés sur les plus faibles indices et l’augmentation tendancielle du coût des repas contribuent à cette évolution. </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t xml:space="preserve">Les conventions médicales augmentent de 17,4 % (48 342 € contre 41 164 € en 2012). Elles correspondent aux nombreuses situations de vacance de poste de médecins de prévention du ministère des finances en région pour lesquels des partenariats de substitution sont conclus avec des services interentreprises, des collectivités territoriales, d'autres administrations que le ministère des finances ou la mutualité sociale agricole. </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t xml:space="preserve">La protection sociale complémentaire représente 4,5 % des dépenses totales avec 237 717 €. Ce montant est en baisse par rapport à 2012 et cette diminution correspond à la réduction des effectifs. </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u w:val="single"/>
        </w:rPr>
        <w:t>Consommation du titre 2 (224-01)</w:t>
      </w:r>
      <w:r w:rsidRPr="00874010">
        <w:rPr>
          <w:rFonts w:ascii="Arial" w:hAnsi="Arial" w:cs="Arial"/>
          <w:sz w:val="22"/>
          <w:szCs w:val="22"/>
        </w:rPr>
        <w:t xml:space="preserve"> :</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t xml:space="preserve">Le montant des dépenses du titre 2 est en hausse (+ 186 163 €). Cette hausse est répartie sur l'ensemble des postes : </w:t>
      </w:r>
    </w:p>
    <w:p w:rsidR="00526043" w:rsidRPr="00874010" w:rsidRDefault="00526043" w:rsidP="0034289D">
      <w:pPr>
        <w:pStyle w:val="NormalWeb"/>
        <w:numPr>
          <w:ilvl w:val="0"/>
          <w:numId w:val="16"/>
        </w:numPr>
        <w:spacing w:after="0"/>
        <w:jc w:val="both"/>
        <w:rPr>
          <w:rFonts w:ascii="Arial" w:hAnsi="Arial" w:cs="Arial"/>
        </w:rPr>
      </w:pPr>
      <w:r w:rsidRPr="00874010">
        <w:rPr>
          <w:rFonts w:ascii="Arial" w:hAnsi="Arial" w:cs="Arial"/>
          <w:sz w:val="22"/>
          <w:szCs w:val="22"/>
        </w:rPr>
        <w:t>accidents du travail : 298 732 € (+ 41 626 €, 5,7 %).</w:t>
      </w:r>
      <w:r w:rsidRPr="00874010">
        <w:rPr>
          <w:rFonts w:ascii="Arial" w:hAnsi="Arial" w:cs="Arial"/>
          <w:color w:val="FF0000"/>
          <w:sz w:val="22"/>
          <w:szCs w:val="22"/>
        </w:rPr>
        <w:t xml:space="preserve"> </w:t>
      </w:r>
      <w:r w:rsidRPr="00874010">
        <w:rPr>
          <w:rFonts w:ascii="Arial" w:hAnsi="Arial" w:cs="Arial"/>
          <w:sz w:val="22"/>
          <w:szCs w:val="22"/>
        </w:rPr>
        <w:t xml:space="preserve">Leur occurrence est imprévisible </w:t>
      </w:r>
    </w:p>
    <w:p w:rsidR="00526043" w:rsidRPr="00874010" w:rsidRDefault="00526043" w:rsidP="0034289D">
      <w:pPr>
        <w:pStyle w:val="NormalWeb"/>
        <w:numPr>
          <w:ilvl w:val="0"/>
          <w:numId w:val="16"/>
        </w:numPr>
        <w:spacing w:after="0"/>
        <w:jc w:val="both"/>
        <w:rPr>
          <w:rFonts w:ascii="Arial" w:hAnsi="Arial" w:cs="Arial"/>
        </w:rPr>
      </w:pPr>
      <w:r w:rsidRPr="00874010">
        <w:rPr>
          <w:rFonts w:ascii="Arial" w:hAnsi="Arial" w:cs="Arial"/>
          <w:sz w:val="22"/>
          <w:szCs w:val="22"/>
        </w:rPr>
        <w:t>prestations sociales : 582 432 € (+ 135 178 €, 30,2 %). L’augmentation concerne essentiellement l’aide aux frais de scolarité : la dépense supplémentaire de 115 260 € (+ 118 %) par rapport à 2012 s’explique par l’augmentation des plafonds de ressources décidée après avis du CNAS de juin 2013 et immédiatement mise en oeuvre. C’est surtout le plein effet de l’extension du bénéfice de cette prestation aux enfants scolarisés en collège qui sous-tend cette évolution.</w:t>
      </w:r>
    </w:p>
    <w:p w:rsidR="00526043" w:rsidRPr="00874010" w:rsidRDefault="00526043" w:rsidP="0034289D">
      <w:pPr>
        <w:pStyle w:val="NormalWeb"/>
        <w:numPr>
          <w:ilvl w:val="0"/>
          <w:numId w:val="16"/>
        </w:numPr>
        <w:spacing w:after="0"/>
        <w:jc w:val="both"/>
        <w:rPr>
          <w:rFonts w:ascii="Arial" w:hAnsi="Arial" w:cs="Arial"/>
        </w:rPr>
      </w:pPr>
      <w:r w:rsidRPr="00874010">
        <w:rPr>
          <w:rFonts w:ascii="Arial" w:hAnsi="Arial" w:cs="Arial"/>
          <w:sz w:val="22"/>
          <w:szCs w:val="22"/>
        </w:rPr>
        <w:t xml:space="preserve">secours : 233 460 € (+ 7 166 €, 4,4 %).Cette progression reste modérée au regard des situations accompagnées par l'équipe du pôle de service social du personnel (cf bilan de leur action). </w:t>
      </w:r>
    </w:p>
    <w:p w:rsidR="00526043" w:rsidRPr="00874010" w:rsidRDefault="00526043" w:rsidP="00526043">
      <w:pPr>
        <w:pStyle w:val="NormalWeb"/>
        <w:spacing w:after="0"/>
        <w:jc w:val="both"/>
        <w:rPr>
          <w:rFonts w:ascii="Arial" w:hAnsi="Arial" w:cs="Arial"/>
        </w:rPr>
      </w:pPr>
      <w:r w:rsidRPr="00874010">
        <w:rPr>
          <w:rFonts w:ascii="Arial" w:hAnsi="Arial" w:cs="Arial"/>
          <w:sz w:val="22"/>
          <w:szCs w:val="22"/>
        </w:rPr>
        <w:t>La convention médicale passée avec le ministère des finances pour le suivi de la médecine de prévention des agents en services déconcentrés, passée en 2012 sur le titre 2, n’affiche que 2 193 € de dépenses (48 420 € en 2012). Le titre de perception émis par le ministère des finances pour ce service est arrivé trop tardivement, malgré de nombreuses relances en fin d'année 2013, pour pouvoir être mis en paiement sur cette année. Sa liquidation a pu être effectuée début 2014.</w:t>
      </w:r>
    </w:p>
    <w:p w:rsidR="00526043" w:rsidRDefault="00526043" w:rsidP="00526043">
      <w:pPr>
        <w:widowControl w:val="0"/>
        <w:autoSpaceDE w:val="0"/>
        <w:autoSpaceDN w:val="0"/>
        <w:adjustRightInd w:val="0"/>
        <w:jc w:val="both"/>
        <w:rPr>
          <w:rFonts w:ascii="Arial" w:eastAsia="Cambria" w:hAnsi="Arial" w:cs="Times"/>
          <w:color w:val="000000"/>
        </w:rPr>
      </w:pPr>
    </w:p>
    <w:p w:rsidR="00526043" w:rsidRDefault="00526043" w:rsidP="00526043">
      <w:pPr>
        <w:rPr>
          <w:rFonts w:ascii="Arial" w:eastAsia="Cambria" w:hAnsi="Arial" w:cs="Times"/>
          <w:color w:val="000000"/>
        </w:rPr>
      </w:pPr>
      <w:r>
        <w:rPr>
          <w:rFonts w:ascii="Arial" w:eastAsia="Cambria" w:hAnsi="Arial" w:cs="Times"/>
          <w:color w:val="000000"/>
        </w:rPr>
        <w:br w:type="page"/>
      </w:r>
    </w:p>
    <w:p w:rsidR="00526043" w:rsidRPr="00C30383" w:rsidRDefault="00526043" w:rsidP="00526043">
      <w:pPr>
        <w:widowControl w:val="0"/>
        <w:autoSpaceDE w:val="0"/>
        <w:autoSpaceDN w:val="0"/>
        <w:adjustRightInd w:val="0"/>
        <w:jc w:val="both"/>
        <w:rPr>
          <w:rFonts w:ascii="Arial" w:eastAsia="Cambria" w:hAnsi="Arial" w:cs="Times"/>
          <w:color w:val="000000"/>
        </w:rPr>
      </w:pPr>
    </w:p>
    <w:p w:rsidR="00526043" w:rsidRPr="00FB62B1" w:rsidRDefault="00526043" w:rsidP="00526043">
      <w:pPr>
        <w:tabs>
          <w:tab w:val="left" w:pos="1220"/>
        </w:tabs>
        <w:ind w:left="993" w:hanging="993"/>
        <w:jc w:val="both"/>
        <w:rPr>
          <w:rFonts w:ascii="Florencesans Exp" w:eastAsia="Cambria" w:hAnsi="Florencesans Exp" w:cs="Times New Roman"/>
          <w:b/>
          <w:color w:val="FF8000"/>
          <w:sz w:val="28"/>
        </w:rPr>
      </w:pPr>
      <w:r w:rsidRPr="00FB62B1">
        <w:rPr>
          <w:rFonts w:ascii="Florencesans Exp" w:eastAsia="Cambria" w:hAnsi="Florencesans Exp" w:cs="Times New Roman"/>
          <w:b/>
          <w:color w:val="FF8000"/>
          <w:sz w:val="28"/>
        </w:rPr>
        <w:t>5. C. ZOOM SUR L’ACTION SOCIALE DES SERVICES DECONCENTRES - HORS DRAC ILE–DE–FRANCE (DONNEES T2 ET T3)</w:t>
      </w:r>
    </w:p>
    <w:p w:rsidR="00526043" w:rsidRPr="00C30383" w:rsidRDefault="00526043" w:rsidP="00526043">
      <w:pPr>
        <w:tabs>
          <w:tab w:val="left" w:pos="1220"/>
        </w:tabs>
        <w:rPr>
          <w:rFonts w:ascii="BlairMdITC TT-Medium" w:eastAsia="Cambria" w:hAnsi="BlairMdITC TT-Medium" w:cs="Times New Roman"/>
          <w:b/>
          <w:color w:val="FF8000"/>
          <w:sz w:val="28"/>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Les dépenses globales des DRAC se chiffrent à 420 650 €, en hausse d’un peu plus de 9 % (9,2%).</w:t>
      </w:r>
    </w:p>
    <w:p w:rsidR="00526043" w:rsidRPr="00526043" w:rsidRDefault="00526043" w:rsidP="00526043">
      <w:pPr>
        <w:ind w:firstLine="284"/>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color w:val="000000"/>
          <w:sz w:val="22"/>
          <w:szCs w:val="22"/>
          <w:u w:val="single"/>
          <w:lang w:eastAsia="fr-FR"/>
        </w:rPr>
        <w:t>Sur le titre 3 (224-02)</w:t>
      </w:r>
      <w:r w:rsidRPr="00526043">
        <w:rPr>
          <w:rFonts w:ascii="Arial" w:eastAsia="Times New Roman" w:hAnsi="Arial" w:cs="Arial"/>
          <w:color w:val="000000"/>
          <w:sz w:val="22"/>
          <w:szCs w:val="22"/>
          <w:lang w:eastAsia="fr-FR"/>
        </w:rPr>
        <w:t xml:space="preserve">, le poste restauration collective augmente sensiblement (+ 22 830 € entre 2012 et 2013, soit + 5,2 %). Il faut voir là le fruit des incitations à subventionner les repas des agents au plus près de ce qui se pratique au restaurant des Bons-Enfants. La subvention moyenne par repas est passée de 3,96 € en 2012 à 4,34 € en 2013, alors que le nombre de repas est resté sensiblement égal : 90 261 en 2012 et 89 698 en 2013. </w:t>
      </w:r>
    </w:p>
    <w:p w:rsidR="00526043" w:rsidRPr="00526043" w:rsidRDefault="00526043" w:rsidP="00526043">
      <w:pPr>
        <w:ind w:firstLine="284"/>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color w:val="000000"/>
          <w:sz w:val="22"/>
          <w:szCs w:val="22"/>
          <w:lang w:eastAsia="fr-FR"/>
        </w:rPr>
      </w:pPr>
      <w:r w:rsidRPr="00526043">
        <w:rPr>
          <w:rFonts w:ascii="Arial" w:eastAsia="Times New Roman" w:hAnsi="Arial" w:cs="Arial"/>
          <w:color w:val="000000"/>
          <w:sz w:val="22"/>
          <w:szCs w:val="22"/>
          <w:lang w:eastAsia="fr-FR"/>
        </w:rPr>
        <w:t xml:space="preserve">Les frais médicaux (visite de recrutement, visite préalable à un avis du comité médical ou de la commission de réforme départementale compétents), correspondant aux visites médicales d'expertise des agents augmentent pour les DRAC de 29 %. </w:t>
      </w:r>
    </w:p>
    <w:p w:rsidR="00526043" w:rsidRPr="00526043" w:rsidRDefault="00526043" w:rsidP="00526043">
      <w:pPr>
        <w:jc w:val="both"/>
        <w:rPr>
          <w:rFonts w:ascii="Arial" w:eastAsia="Times New Roman" w:hAnsi="Arial" w:cs="Arial"/>
          <w:color w:val="000000"/>
          <w:sz w:val="22"/>
          <w:szCs w:val="22"/>
          <w:lang w:eastAsia="fr-FR"/>
        </w:rPr>
      </w:pPr>
      <w:r w:rsidRPr="00526043">
        <w:rPr>
          <w:rFonts w:ascii="Arial" w:eastAsia="Times New Roman" w:hAnsi="Arial" w:cs="Arial"/>
          <w:color w:val="000000"/>
          <w:sz w:val="22"/>
          <w:szCs w:val="22"/>
          <w:lang w:eastAsia="fr-FR"/>
        </w:rPr>
        <w:t xml:space="preserve">Ces dépenses intègrent les montants mobilisés pour les conventionnements de médecine de prévention. </w:t>
      </w:r>
    </w:p>
    <w:p w:rsidR="00526043" w:rsidRPr="00526043" w:rsidRDefault="00526043" w:rsidP="00526043">
      <w:pPr>
        <w:jc w:val="both"/>
        <w:rPr>
          <w:rFonts w:ascii="Arial" w:eastAsia="Times New Roman" w:hAnsi="Arial" w:cs="Arial"/>
          <w:sz w:val="22"/>
          <w:szCs w:val="22"/>
          <w:lang w:eastAsia="fr-FR"/>
        </w:rPr>
      </w:pP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 xml:space="preserve">On note une diminution des dépenses globales des écoles d’architecture de 11 % : 213 584 € en 2012 ; 190 168 € en 2013 (-23 416 €). Cette diminution se reflète surtout dans les dépenses des conventions sus-mentionnées : -21497 € (124 790 € en 2012 – 103 293 € en 2013). </w:t>
      </w:r>
    </w:p>
    <w:p w:rsidR="00526043" w:rsidRPr="00526043" w:rsidRDefault="00526043" w:rsidP="00526043">
      <w:pPr>
        <w:jc w:val="both"/>
        <w:rPr>
          <w:rFonts w:ascii="Arial" w:eastAsia="Times New Roman" w:hAnsi="Arial" w:cs="Arial"/>
          <w:sz w:val="22"/>
          <w:szCs w:val="22"/>
          <w:lang w:eastAsia="fr-FR"/>
        </w:rPr>
      </w:pPr>
      <w:r w:rsidRPr="00526043">
        <w:rPr>
          <w:rFonts w:ascii="Arial" w:eastAsia="Times New Roman" w:hAnsi="Arial" w:cs="Arial"/>
          <w:color w:val="000000"/>
          <w:sz w:val="22"/>
          <w:szCs w:val="22"/>
          <w:lang w:eastAsia="fr-FR"/>
        </w:rPr>
        <w:t>Les frais médicaux passent de 4 806 € à 11 625 € en 2013.</w:t>
      </w:r>
    </w:p>
    <w:p w:rsidR="00526043" w:rsidRPr="00526043" w:rsidRDefault="00526043" w:rsidP="00526043">
      <w:pPr>
        <w:ind w:firstLine="284"/>
        <w:jc w:val="both"/>
        <w:rPr>
          <w:rFonts w:ascii="Arial" w:eastAsia="Times New Roman" w:hAnsi="Arial" w:cs="Arial"/>
          <w:sz w:val="22"/>
          <w:szCs w:val="22"/>
          <w:lang w:eastAsia="fr-FR"/>
        </w:rPr>
      </w:pPr>
    </w:p>
    <w:p w:rsidR="00526043" w:rsidRDefault="00526043" w:rsidP="00526043">
      <w:pPr>
        <w:rPr>
          <w:rFonts w:ascii="Arial" w:eastAsia="Times New Roman" w:hAnsi="Arial" w:cs="Arial"/>
          <w:lang w:eastAsia="fr-FR"/>
        </w:rPr>
      </w:pPr>
    </w:p>
    <w:p w:rsidR="00526043" w:rsidRPr="00FB62B1" w:rsidRDefault="001550AF" w:rsidP="00526043">
      <w:pPr>
        <w:tabs>
          <w:tab w:val="left" w:pos="1220"/>
        </w:tabs>
        <w:ind w:left="851" w:hanging="851"/>
        <w:rPr>
          <w:rFonts w:ascii="Florencesans Exp" w:eastAsia="Cambria" w:hAnsi="Florencesans Exp" w:cs="Times New Roman"/>
          <w:b/>
          <w:color w:val="FF8000"/>
          <w:sz w:val="27"/>
          <w:szCs w:val="27"/>
        </w:rPr>
      </w:pPr>
      <w:r>
        <w:rPr>
          <w:rFonts w:ascii="Florencesans Exp" w:eastAsia="Cambria" w:hAnsi="Florencesans Exp" w:cs="Times New Roman"/>
          <w:b/>
          <w:color w:val="FF8000"/>
          <w:sz w:val="27"/>
          <w:szCs w:val="27"/>
        </w:rPr>
        <w:t>5. D</w:t>
      </w:r>
      <w:r w:rsidR="00526043" w:rsidRPr="00FB62B1">
        <w:rPr>
          <w:rFonts w:ascii="Florencesans Exp" w:eastAsia="Cambria" w:hAnsi="Florencesans Exp" w:cs="Times New Roman"/>
          <w:b/>
          <w:color w:val="FF8000"/>
          <w:sz w:val="27"/>
          <w:szCs w:val="27"/>
        </w:rPr>
        <w:t xml:space="preserve">. ZOOM SUR L’ACTION SOCIALE </w:t>
      </w:r>
      <w:r w:rsidR="00526043">
        <w:rPr>
          <w:rFonts w:ascii="Florencesans Exp" w:eastAsia="Cambria" w:hAnsi="Florencesans Exp" w:cs="Times New Roman"/>
          <w:b/>
          <w:color w:val="FF8000"/>
          <w:sz w:val="27"/>
          <w:szCs w:val="27"/>
        </w:rPr>
        <w:t>I</w:t>
      </w:r>
      <w:r w:rsidR="00526043" w:rsidRPr="00FB62B1">
        <w:rPr>
          <w:rFonts w:ascii="Florencesans Exp" w:eastAsia="Cambria" w:hAnsi="Florencesans Exp" w:cs="Times New Roman"/>
          <w:b/>
          <w:color w:val="FF8000"/>
          <w:sz w:val="27"/>
          <w:szCs w:val="27"/>
        </w:rPr>
        <w:t>NTERMINISTERIELLE BENEFICIANT AUX AGENTS DU MINISTERE DE LA CULTURE ET DE LA COMMUNICATION (DONNEES T2 ET T3)</w:t>
      </w:r>
    </w:p>
    <w:p w:rsidR="00526043" w:rsidRPr="00C30383" w:rsidRDefault="00526043" w:rsidP="00526043">
      <w:pPr>
        <w:tabs>
          <w:tab w:val="left" w:pos="1220"/>
        </w:tabs>
        <w:rPr>
          <w:rFonts w:ascii="BlairMdITC TT-Medium" w:eastAsia="Cambria" w:hAnsi="BlairMdITC TT-Medium" w:cs="Times New Roman"/>
          <w:b/>
          <w:color w:val="FF8000"/>
          <w:sz w:val="28"/>
        </w:rPr>
      </w:pPr>
      <w:r>
        <w:rPr>
          <w:noProof/>
          <w:lang w:eastAsia="fr-FR"/>
        </w:rPr>
        <mc:AlternateContent>
          <mc:Choice Requires="wps">
            <w:drawing>
              <wp:anchor distT="0" distB="0" distL="114300" distR="114300" simplePos="0" relativeHeight="251836416" behindDoc="0" locked="0" layoutInCell="1" allowOverlap="1" wp14:anchorId="58693C46" wp14:editId="583A4091">
                <wp:simplePos x="0" y="0"/>
                <wp:positionH relativeFrom="margin">
                  <wp:posOffset>1930400</wp:posOffset>
                </wp:positionH>
                <wp:positionV relativeFrom="paragraph">
                  <wp:posOffset>6350</wp:posOffset>
                </wp:positionV>
                <wp:extent cx="1878965" cy="381000"/>
                <wp:effectExtent l="0" t="0" r="0" b="0"/>
                <wp:wrapNone/>
                <wp:docPr id="254" name="Zone de texte 254"/>
                <wp:cNvGraphicFramePr/>
                <a:graphic xmlns:a="http://schemas.openxmlformats.org/drawingml/2006/main">
                  <a:graphicData uri="http://schemas.microsoft.com/office/word/2010/wordprocessingShape">
                    <wps:wsp>
                      <wps:cNvSpPr txBox="1"/>
                      <wps:spPr>
                        <a:xfrm>
                          <a:off x="0" y="0"/>
                          <a:ext cx="1878965" cy="381000"/>
                        </a:xfrm>
                        <a:prstGeom prst="rect">
                          <a:avLst/>
                        </a:prstGeom>
                        <a:noFill/>
                        <a:ln>
                          <a:noFill/>
                        </a:ln>
                        <a:effectLst/>
                      </wps:spPr>
                      <wps:txbx>
                        <w:txbxContent>
                          <w:p w:rsidR="007B1397" w:rsidRPr="00B95022" w:rsidRDefault="007B1397" w:rsidP="00526043">
                            <w:pPr>
                              <w:widowControl w:val="0"/>
                              <w:autoSpaceDE w:val="0"/>
                              <w:autoSpaceDN w:val="0"/>
                              <w:adjustRightInd w:val="0"/>
                              <w:jc w:val="center"/>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8693C46" id="Zone de texte 254" o:spid="_x0000_s1086" type="#_x0000_t202" style="position:absolute;margin-left:152pt;margin-top:.5pt;width:147.95pt;height:30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" filled="f" stroked="f">
                <v:textbox>
                  <w:txbxContent>
                    <w:p w:rsidR="007B1397" w:rsidRPr="00B95022" w:rsidRDefault="007B1397" w:rsidP="00526043">
                      <w:pPr>
                        <w:widowControl w:val="0"/>
                        <w:autoSpaceDE w:val="0"/>
                        <w:autoSpaceDN w:val="0"/>
                        <w:adjustRightInd w:val="0"/>
                        <w:jc w:val="center"/>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95022">
                        <w:rPr>
                          <w:rFonts w:ascii="Arial" w:eastAsia="Cambria" w:hAnsi="Arial" w:cs="Times New Roman"/>
                          <w:b/>
                          <w:color w:val="FF0000"/>
                          <w:sz w:val="28"/>
                          <w:szCs w:val="28"/>
                          <w:u w:val="doub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NOUVEAU</w:t>
                      </w:r>
                    </w:p>
                  </w:txbxContent>
                </v:textbox>
                <w10:wrap anchorx="margin"/>
              </v:shape>
            </w:pict>
          </mc:Fallback>
        </mc:AlternateContent>
      </w:r>
    </w:p>
    <w:p w:rsidR="00526043" w:rsidRPr="000C26C1" w:rsidRDefault="00526043" w:rsidP="00526043">
      <w:pPr>
        <w:pStyle w:val="NormalWeb"/>
        <w:spacing w:after="0"/>
        <w:jc w:val="both"/>
        <w:rPr>
          <w:rFonts w:ascii="Arial" w:hAnsi="Arial" w:cs="Arial"/>
        </w:rPr>
      </w:pPr>
      <w:r w:rsidRPr="000C26C1">
        <w:rPr>
          <w:rFonts w:ascii="Arial" w:hAnsi="Arial" w:cs="Arial"/>
          <w:sz w:val="22"/>
          <w:szCs w:val="22"/>
        </w:rPr>
        <w:t xml:space="preserve">Les dispositifs relevant des politiques sociales interministérielles bénéficient également aux agents du ministère. Ainsi en 2013 : </w:t>
      </w:r>
    </w:p>
    <w:p w:rsidR="00526043" w:rsidRPr="000C26C1" w:rsidRDefault="00526043" w:rsidP="0034289D">
      <w:pPr>
        <w:pStyle w:val="NormalWeb"/>
        <w:numPr>
          <w:ilvl w:val="0"/>
          <w:numId w:val="17"/>
        </w:numPr>
        <w:spacing w:after="0"/>
        <w:rPr>
          <w:rFonts w:ascii="Arial" w:hAnsi="Arial" w:cs="Arial"/>
        </w:rPr>
      </w:pPr>
      <w:r w:rsidRPr="000C26C1">
        <w:rPr>
          <w:rFonts w:ascii="Arial" w:hAnsi="Arial" w:cs="Arial"/>
          <w:sz w:val="22"/>
          <w:szCs w:val="22"/>
        </w:rPr>
        <w:t xml:space="preserve">237 foyers ont bénéficié du </w:t>
      </w:r>
      <w:r w:rsidRPr="000C26C1">
        <w:rPr>
          <w:rFonts w:ascii="Arial" w:hAnsi="Arial" w:cs="Arial"/>
          <w:b/>
          <w:bCs/>
          <w:sz w:val="22"/>
          <w:szCs w:val="22"/>
        </w:rPr>
        <w:t>CESU 0-3 ans</w:t>
      </w:r>
      <w:r w:rsidRPr="000C26C1">
        <w:rPr>
          <w:rFonts w:ascii="Arial" w:hAnsi="Arial" w:cs="Arial"/>
          <w:sz w:val="22"/>
          <w:szCs w:val="22"/>
        </w:rPr>
        <w:t xml:space="preserve"> pour un montant total de 70 616 </w:t>
      </w:r>
      <w:r>
        <w:rPr>
          <w:rFonts w:ascii="Arial" w:hAnsi="Arial" w:cs="Arial"/>
          <w:sz w:val="22"/>
          <w:szCs w:val="22"/>
        </w:rPr>
        <w:t>€</w:t>
      </w:r>
      <w:r w:rsidRPr="000C26C1">
        <w:rPr>
          <w:rFonts w:ascii="Arial" w:hAnsi="Arial" w:cs="Arial"/>
          <w:sz w:val="22"/>
          <w:szCs w:val="22"/>
        </w:rPr>
        <w:t>,</w:t>
      </w:r>
    </w:p>
    <w:p w:rsidR="00526043" w:rsidRPr="000C26C1" w:rsidRDefault="00526043" w:rsidP="0034289D">
      <w:pPr>
        <w:pStyle w:val="NormalWeb"/>
        <w:numPr>
          <w:ilvl w:val="0"/>
          <w:numId w:val="17"/>
        </w:numPr>
        <w:spacing w:after="0"/>
        <w:rPr>
          <w:rFonts w:ascii="Arial" w:hAnsi="Arial" w:cs="Arial"/>
        </w:rPr>
      </w:pPr>
      <w:r w:rsidRPr="000C26C1">
        <w:rPr>
          <w:rFonts w:ascii="Arial" w:hAnsi="Arial" w:cs="Arial"/>
          <w:sz w:val="22"/>
          <w:szCs w:val="22"/>
        </w:rPr>
        <w:t xml:space="preserve">214 foyers ont bénéficié du </w:t>
      </w:r>
      <w:r w:rsidRPr="000C26C1">
        <w:rPr>
          <w:rFonts w:ascii="Arial" w:hAnsi="Arial" w:cs="Arial"/>
          <w:b/>
          <w:bCs/>
          <w:sz w:val="22"/>
          <w:szCs w:val="22"/>
        </w:rPr>
        <w:t xml:space="preserve">CESU 3-6 ans </w:t>
      </w:r>
      <w:r w:rsidRPr="000C26C1">
        <w:rPr>
          <w:rFonts w:ascii="Arial" w:hAnsi="Arial" w:cs="Arial"/>
          <w:sz w:val="22"/>
          <w:szCs w:val="22"/>
        </w:rPr>
        <w:t xml:space="preserve">pour un montant total de 62 505 </w:t>
      </w:r>
      <w:r>
        <w:rPr>
          <w:rFonts w:ascii="Arial" w:hAnsi="Arial" w:cs="Arial"/>
          <w:sz w:val="22"/>
          <w:szCs w:val="22"/>
        </w:rPr>
        <w:t>€</w:t>
      </w:r>
      <w:r w:rsidRPr="000C26C1">
        <w:rPr>
          <w:rFonts w:ascii="Arial" w:hAnsi="Arial" w:cs="Arial"/>
          <w:sz w:val="22"/>
          <w:szCs w:val="22"/>
        </w:rPr>
        <w:t>,</w:t>
      </w:r>
    </w:p>
    <w:p w:rsidR="00526043" w:rsidRPr="000C26C1" w:rsidRDefault="00526043" w:rsidP="0034289D">
      <w:pPr>
        <w:pStyle w:val="NormalWeb"/>
        <w:numPr>
          <w:ilvl w:val="0"/>
          <w:numId w:val="17"/>
        </w:numPr>
        <w:spacing w:after="0"/>
        <w:rPr>
          <w:rFonts w:ascii="Arial" w:hAnsi="Arial" w:cs="Arial"/>
        </w:rPr>
      </w:pPr>
      <w:r w:rsidRPr="000C26C1">
        <w:rPr>
          <w:rFonts w:ascii="Arial" w:hAnsi="Arial" w:cs="Arial"/>
          <w:sz w:val="22"/>
          <w:szCs w:val="22"/>
        </w:rPr>
        <w:t xml:space="preserve">319 foyers ont bénéficié de </w:t>
      </w:r>
      <w:r w:rsidRPr="000C26C1">
        <w:rPr>
          <w:rFonts w:ascii="Arial" w:hAnsi="Arial" w:cs="Arial"/>
          <w:b/>
          <w:bCs/>
          <w:sz w:val="22"/>
          <w:szCs w:val="22"/>
        </w:rPr>
        <w:t>chèques vacances.</w:t>
      </w:r>
    </w:p>
    <w:p w:rsidR="00526043" w:rsidRDefault="00526043" w:rsidP="00526043">
      <w:pPr>
        <w:rPr>
          <w:rFonts w:ascii="Arial" w:eastAsia="Times New Roman" w:hAnsi="Arial" w:cs="Arial"/>
          <w:lang w:eastAsia="fr-FR"/>
        </w:rPr>
      </w:pPr>
    </w:p>
    <w:p w:rsidR="00F248D1" w:rsidRDefault="00F248D1" w:rsidP="003A6B6B">
      <w:pPr>
        <w:spacing w:line="259" w:lineRule="auto"/>
        <w:rPr>
          <w:rFonts w:ascii="Arial" w:hAnsi="Arial" w:cs="Arial"/>
          <w:sz w:val="22"/>
          <w:szCs w:val="22"/>
        </w:rPr>
        <w:sectPr w:rsidR="00F248D1" w:rsidSect="0079770C">
          <w:headerReference w:type="even" r:id="rId214"/>
          <w:headerReference w:type="default" r:id="rId215"/>
          <w:headerReference w:type="first" r:id="rId216"/>
          <w:footerReference w:type="first" r:id="rId217"/>
          <w:pgSz w:w="11906" w:h="16838"/>
          <w:pgMar w:top="1417" w:right="1417" w:bottom="1417" w:left="1417" w:header="708" w:footer="708" w:gutter="0"/>
          <w:cols w:space="708"/>
          <w:titlePg/>
          <w:docGrid w:linePitch="360"/>
        </w:sectPr>
      </w:pPr>
    </w:p>
    <w:p w:rsidR="003A6B6B" w:rsidRDefault="003A6B6B" w:rsidP="003A6B6B">
      <w:pPr>
        <w:spacing w:line="259" w:lineRule="auto"/>
        <w:rPr>
          <w:rFonts w:ascii="Arial" w:hAnsi="Arial" w:cs="Arial"/>
          <w:sz w:val="22"/>
          <w:szCs w:val="22"/>
        </w:rPr>
      </w:pPr>
    </w:p>
    <w:p w:rsidR="0079770C" w:rsidRPr="001D30C7" w:rsidRDefault="0079770C" w:rsidP="0079770C">
      <w:pPr>
        <w:tabs>
          <w:tab w:val="left" w:pos="1220"/>
        </w:tabs>
        <w:rPr>
          <w:rFonts w:ascii="BlairMdITC TT-Medium" w:eastAsia="Cambria" w:hAnsi="BlairMdITC TT-Medium" w:cs="Times New Roman"/>
          <w:b/>
          <w:color w:val="800000"/>
          <w:sz w:val="48"/>
        </w:rPr>
      </w:pPr>
      <w:r w:rsidRPr="001D30C7">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39488" behindDoc="0" locked="0" layoutInCell="1" allowOverlap="1" wp14:anchorId="02EE2A72" wp14:editId="05DEFEAE">
                <wp:simplePos x="0" y="0"/>
                <wp:positionH relativeFrom="column">
                  <wp:posOffset>228600</wp:posOffset>
                </wp:positionH>
                <wp:positionV relativeFrom="paragraph">
                  <wp:posOffset>228600</wp:posOffset>
                </wp:positionV>
                <wp:extent cx="457200" cy="457200"/>
                <wp:effectExtent l="0" t="0" r="3810" b="1905"/>
                <wp:wrapTight wrapText="bothSides">
                  <wp:wrapPolygon edited="0">
                    <wp:start x="0" y="0"/>
                    <wp:lineTo x="21600" y="0"/>
                    <wp:lineTo x="21600" y="21600"/>
                    <wp:lineTo x="0" y="21600"/>
                    <wp:lineTo x="0" y="0"/>
                  </wp:wrapPolygon>
                </wp:wrapTight>
                <wp:docPr id="258" name="Zone de texte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1D30C7" w:rsidRDefault="007B1397" w:rsidP="0079770C">
                            <w:pPr>
                              <w:jc w:val="center"/>
                              <w:rPr>
                                <w:rFonts w:ascii="Apple Casual" w:eastAsia="GB18030 Bitmap" w:hAnsi="Apple Casual"/>
                                <w:b/>
                                <w:color w:val="FFFFFF"/>
                                <w:sz w:val="48"/>
                              </w:rPr>
                            </w:pPr>
                            <w:r w:rsidRPr="001D30C7">
                              <w:rPr>
                                <w:rFonts w:ascii="Apple Casual" w:eastAsia="GB18030 Bitmap" w:hAnsi="Apple Casual"/>
                                <w:b/>
                                <w:color w:val="FFFFFF"/>
                                <w:sz w:val="48"/>
                              </w:rPr>
                              <w:t>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E2A72" id="Zone de texte 258" o:spid="_x0000_s1087" type="#_x0000_t202" style="position:absolute;margin-left:18pt;margin-top:18pt;width:36pt;height:3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" filled="f" stroked="f">
                <v:textbox inset=",7.2pt,,7.2pt">
                  <w:txbxContent>
                    <w:p w:rsidR="007B1397" w:rsidRPr="001D30C7" w:rsidRDefault="007B1397" w:rsidP="0079770C">
                      <w:pPr>
                        <w:jc w:val="center"/>
                        <w:rPr>
                          <w:rFonts w:ascii="Apple Casual" w:eastAsia="GB18030 Bitmap" w:hAnsi="Apple Casual"/>
                          <w:b/>
                          <w:color w:val="FFFFFF"/>
                          <w:sz w:val="48"/>
                        </w:rPr>
                      </w:pPr>
                      <w:r w:rsidRPr="001D30C7">
                        <w:rPr>
                          <w:rFonts w:ascii="Apple Casual" w:eastAsia="GB18030 Bitmap" w:hAnsi="Apple Casual"/>
                          <w:b/>
                          <w:color w:val="FFFFFF"/>
                          <w:sz w:val="48"/>
                        </w:rPr>
                        <w:t>6</w:t>
                      </w:r>
                    </w:p>
                  </w:txbxContent>
                </v:textbox>
                <w10:wrap type="tight"/>
              </v:shape>
            </w:pict>
          </mc:Fallback>
        </mc:AlternateContent>
      </w:r>
      <w:r w:rsidRPr="001D30C7">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38464" behindDoc="0" locked="0" layoutInCell="1" allowOverlap="1" wp14:anchorId="56DD1395" wp14:editId="7A4518B4">
                <wp:simplePos x="0" y="0"/>
                <wp:positionH relativeFrom="column">
                  <wp:posOffset>0</wp:posOffset>
                </wp:positionH>
                <wp:positionV relativeFrom="paragraph">
                  <wp:posOffset>0</wp:posOffset>
                </wp:positionV>
                <wp:extent cx="914400" cy="914400"/>
                <wp:effectExtent l="5715" t="7620" r="3810" b="1905"/>
                <wp:wrapNone/>
                <wp:docPr id="259" name="Ellips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CC66FF"/>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56A48F" id="Ellipse 259" o:spid="_x0000_s1026" style="position:absolute;margin-left:0;margin-top:0;width:1in;height:1in;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" fillcolor="#c6f" stroked="f" strokecolor="#4a7ebb" strokeweight="1.5pt">
                <v:shadow opacity="22938f" offset="0"/>
                <v:textbox inset=",7.2pt,,7.2pt"/>
              </v:oval>
            </w:pict>
          </mc:Fallback>
        </mc:AlternateContent>
      </w: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28"/>
        </w:rPr>
      </w:pPr>
    </w:p>
    <w:p w:rsidR="0079770C" w:rsidRPr="001D30C7" w:rsidRDefault="0079770C" w:rsidP="0079770C">
      <w:pPr>
        <w:tabs>
          <w:tab w:val="left" w:pos="1220"/>
        </w:tabs>
        <w:rPr>
          <w:rFonts w:ascii="BlairMdITC TT-Medium" w:eastAsia="Cambria" w:hAnsi="BlairMdITC TT-Medium" w:cs="Times New Roman"/>
          <w:b/>
          <w:color w:val="800000"/>
          <w:sz w:val="28"/>
        </w:rPr>
      </w:pPr>
    </w:p>
    <w:p w:rsidR="0079770C" w:rsidRPr="009F6D4E" w:rsidRDefault="0079770C" w:rsidP="0079770C">
      <w:pPr>
        <w:tabs>
          <w:tab w:val="left" w:pos="1220"/>
        </w:tabs>
        <w:rPr>
          <w:rFonts w:ascii="Florencesans Exp" w:eastAsia="Cambria" w:hAnsi="Florencesans Exp" w:cs="Times New Roman"/>
          <w:b/>
          <w:color w:val="CC66FF"/>
          <w:sz w:val="48"/>
        </w:rPr>
      </w:pPr>
      <w:r w:rsidRPr="009F6D4E">
        <w:rPr>
          <w:rFonts w:ascii="Florencesans Exp" w:eastAsia="Cambria" w:hAnsi="Florencesans Exp" w:cs="Times New Roman"/>
          <w:b/>
          <w:color w:val="CC66FF"/>
          <w:sz w:val="48"/>
        </w:rPr>
        <w:t>FORMATION</w:t>
      </w: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r w:rsidRPr="001D30C7">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40512" behindDoc="0" locked="0" layoutInCell="1" allowOverlap="1" wp14:anchorId="47D19D4A" wp14:editId="4F8BE8F0">
                <wp:simplePos x="0" y="0"/>
                <wp:positionH relativeFrom="margin">
                  <wp:posOffset>3182620</wp:posOffset>
                </wp:positionH>
                <wp:positionV relativeFrom="paragraph">
                  <wp:posOffset>242570</wp:posOffset>
                </wp:positionV>
                <wp:extent cx="2943225" cy="5590540"/>
                <wp:effectExtent l="0" t="0" r="28575" b="10160"/>
                <wp:wrapNone/>
                <wp:docPr id="260"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5590540"/>
                        </a:xfrm>
                        <a:prstGeom prst="rect">
                          <a:avLst/>
                        </a:prstGeom>
                        <a:noFill/>
                        <a:ln w="19050">
                          <a:solidFill>
                            <a:srgbClr val="808080"/>
                          </a:solidFill>
                          <a:miter lim="800000"/>
                          <a:headEnd/>
                          <a:tailEnd/>
                        </a:ln>
                        <a:effectLst/>
                        <a:extLst>
                          <a:ext uri="{909E8E84-426E-40DD-AFC4-6F175D3DCCD1}">
                            <a14:hiddenFill xmlns:a14="http://schemas.microsoft.com/office/drawing/2010/main">
                              <a:solidFill>
                                <a:srgbClr val="008080">
                                  <a:alpha val="39999"/>
                                </a:srgbClr>
                              </a:soli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7B1397" w:rsidRDefault="007B1397" w:rsidP="0079770C">
                            <w:pPr>
                              <w:jc w:val="center"/>
                              <w:rPr>
                                <w:b/>
                              </w:rPr>
                            </w:pPr>
                          </w:p>
                          <w:p w:rsidR="007B1397" w:rsidRPr="00F557AE" w:rsidRDefault="007B1397" w:rsidP="0079770C">
                            <w:pPr>
                              <w:jc w:val="center"/>
                              <w:rPr>
                                <w:rFonts w:ascii="Arial" w:hAnsi="Arial"/>
                                <w:b/>
                                <w:color w:val="CC66FF"/>
                                <w:sz w:val="32"/>
                              </w:rPr>
                            </w:pPr>
                            <w:r w:rsidRPr="00F557AE">
                              <w:rPr>
                                <w:rFonts w:ascii="Arial" w:hAnsi="Arial"/>
                                <w:b/>
                                <w:color w:val="CC66FF"/>
                                <w:sz w:val="32"/>
                              </w:rPr>
                              <w:t>Chiffres clés</w:t>
                            </w:r>
                          </w:p>
                          <w:p w:rsidR="007B1397" w:rsidRDefault="007B1397" w:rsidP="0079770C">
                            <w:pPr>
                              <w:rPr>
                                <w:rFonts w:ascii="Arial" w:hAnsi="Arial"/>
                                <w:b/>
                              </w:rPr>
                            </w:pPr>
                          </w:p>
                          <w:p w:rsidR="007B1397" w:rsidRDefault="007B1397" w:rsidP="00A157BD">
                            <w:pPr>
                              <w:jc w:val="center"/>
                              <w:rPr>
                                <w:rFonts w:ascii="Arial" w:hAnsi="Arial"/>
                                <w:b/>
                              </w:rPr>
                            </w:pPr>
                            <w:r>
                              <w:rPr>
                                <w:rFonts w:ascii="Arial" w:hAnsi="Arial"/>
                                <w:b/>
                                <w:color w:val="CC66FF"/>
                                <w:sz w:val="32"/>
                              </w:rPr>
                              <w:t xml:space="preserve">12 386 </w:t>
                            </w:r>
                            <w:r>
                              <w:rPr>
                                <w:rFonts w:ascii="Arial" w:hAnsi="Arial"/>
                                <w:b/>
                              </w:rPr>
                              <w:t xml:space="preserve">agents ministériels ont reçu une formation en 2013 soit </w:t>
                            </w:r>
                          </w:p>
                          <w:p w:rsidR="007B1397" w:rsidRDefault="007B1397" w:rsidP="0079770C">
                            <w:pPr>
                              <w:jc w:val="center"/>
                              <w:rPr>
                                <w:rFonts w:ascii="Arial" w:hAnsi="Arial"/>
                                <w:b/>
                              </w:rPr>
                            </w:pPr>
                            <w:r>
                              <w:rPr>
                                <w:rFonts w:ascii="Arial" w:hAnsi="Arial"/>
                                <w:b/>
                                <w:color w:val="CC66FF"/>
                                <w:sz w:val="32"/>
                              </w:rPr>
                              <w:t>53</w:t>
                            </w:r>
                            <w:r w:rsidRPr="00F557AE">
                              <w:rPr>
                                <w:rFonts w:ascii="Arial" w:hAnsi="Arial"/>
                                <w:b/>
                                <w:color w:val="CC66FF"/>
                                <w:sz w:val="32"/>
                              </w:rPr>
                              <w:t>%</w:t>
                            </w:r>
                            <w:r>
                              <w:rPr>
                                <w:rFonts w:ascii="Arial" w:hAnsi="Arial"/>
                                <w:b/>
                              </w:rPr>
                              <w:t xml:space="preserve"> des agents</w:t>
                            </w:r>
                          </w:p>
                          <w:p w:rsidR="007B1397" w:rsidRDefault="007B1397" w:rsidP="0079770C">
                            <w:pPr>
                              <w:jc w:val="center"/>
                              <w:rPr>
                                <w:rFonts w:ascii="Arial" w:hAnsi="Arial"/>
                                <w:b/>
                              </w:rPr>
                            </w:pPr>
                          </w:p>
                          <w:p w:rsidR="007B1397" w:rsidRDefault="007B1397" w:rsidP="0079770C">
                            <w:pPr>
                              <w:jc w:val="center"/>
                              <w:rPr>
                                <w:rFonts w:ascii="Arial" w:hAnsi="Arial"/>
                                <w:b/>
                              </w:rPr>
                            </w:pPr>
                            <w:r>
                              <w:rPr>
                                <w:rFonts w:ascii="Arial" w:hAnsi="Arial"/>
                                <w:b/>
                                <w:color w:val="CC66FF"/>
                                <w:sz w:val="32"/>
                              </w:rPr>
                              <w:t>42</w:t>
                            </w:r>
                            <w:r w:rsidRPr="00F557AE">
                              <w:rPr>
                                <w:rFonts w:ascii="Arial" w:hAnsi="Arial"/>
                                <w:b/>
                                <w:color w:val="CC66FF"/>
                                <w:sz w:val="32"/>
                              </w:rPr>
                              <w:t>%</w:t>
                            </w:r>
                            <w:r>
                              <w:rPr>
                                <w:rFonts w:ascii="Arial" w:hAnsi="Arial"/>
                                <w:b/>
                              </w:rPr>
                              <w:t xml:space="preserve"> des agents de catégorie A</w:t>
                            </w:r>
                          </w:p>
                          <w:p w:rsidR="007B1397" w:rsidRDefault="007B1397" w:rsidP="0079770C">
                            <w:pPr>
                              <w:jc w:val="center"/>
                              <w:rPr>
                                <w:rFonts w:ascii="Arial" w:hAnsi="Arial"/>
                                <w:b/>
                              </w:rPr>
                            </w:pPr>
                          </w:p>
                          <w:p w:rsidR="007B1397" w:rsidRDefault="007B1397" w:rsidP="0079770C">
                            <w:pPr>
                              <w:jc w:val="center"/>
                              <w:rPr>
                                <w:rFonts w:ascii="Arial" w:hAnsi="Arial"/>
                                <w:b/>
                              </w:rPr>
                            </w:pPr>
                            <w:r>
                              <w:rPr>
                                <w:rFonts w:ascii="Arial" w:hAnsi="Arial"/>
                                <w:b/>
                                <w:color w:val="CC66FF"/>
                                <w:sz w:val="32"/>
                              </w:rPr>
                              <w:t>64</w:t>
                            </w:r>
                            <w:r w:rsidRPr="00F557AE">
                              <w:rPr>
                                <w:rFonts w:ascii="Arial" w:hAnsi="Arial"/>
                                <w:b/>
                                <w:color w:val="CC66FF"/>
                                <w:sz w:val="32"/>
                              </w:rPr>
                              <w:t>%</w:t>
                            </w:r>
                            <w:r>
                              <w:rPr>
                                <w:rFonts w:ascii="Arial" w:hAnsi="Arial"/>
                                <w:b/>
                              </w:rPr>
                              <w:t xml:space="preserve"> des agents de catégorie B</w:t>
                            </w:r>
                          </w:p>
                          <w:p w:rsidR="007B1397" w:rsidRDefault="007B1397" w:rsidP="0079770C">
                            <w:pPr>
                              <w:jc w:val="center"/>
                              <w:rPr>
                                <w:rFonts w:ascii="Arial" w:hAnsi="Arial"/>
                                <w:b/>
                              </w:rPr>
                            </w:pPr>
                          </w:p>
                          <w:p w:rsidR="007B1397" w:rsidRDefault="007B1397" w:rsidP="0079770C">
                            <w:pPr>
                              <w:jc w:val="center"/>
                              <w:rPr>
                                <w:rFonts w:ascii="Arial" w:hAnsi="Arial"/>
                                <w:b/>
                              </w:rPr>
                            </w:pPr>
                            <w:r>
                              <w:rPr>
                                <w:rFonts w:ascii="Arial" w:hAnsi="Arial"/>
                                <w:b/>
                                <w:color w:val="CC66FF"/>
                                <w:sz w:val="32"/>
                              </w:rPr>
                              <w:t>62</w:t>
                            </w:r>
                            <w:r w:rsidRPr="00F557AE">
                              <w:rPr>
                                <w:rFonts w:ascii="Arial" w:hAnsi="Arial"/>
                                <w:b/>
                                <w:color w:val="CC66FF"/>
                                <w:sz w:val="32"/>
                              </w:rPr>
                              <w:t>%</w:t>
                            </w:r>
                            <w:r>
                              <w:rPr>
                                <w:rFonts w:ascii="Arial" w:hAnsi="Arial"/>
                                <w:b/>
                              </w:rPr>
                              <w:t xml:space="preserve"> des agents de catégorie C</w:t>
                            </w:r>
                          </w:p>
                          <w:p w:rsidR="007B1397" w:rsidRDefault="007B1397" w:rsidP="0079770C">
                            <w:pPr>
                              <w:jc w:val="center"/>
                              <w:rPr>
                                <w:rFonts w:ascii="Arial" w:hAnsi="Arial"/>
                                <w:b/>
                              </w:rPr>
                            </w:pPr>
                          </w:p>
                          <w:p w:rsidR="007B1397" w:rsidRDefault="007B1397" w:rsidP="0079770C">
                            <w:pPr>
                              <w:jc w:val="center"/>
                              <w:rPr>
                                <w:rFonts w:ascii="Arial" w:hAnsi="Arial"/>
                                <w:b/>
                              </w:rPr>
                            </w:pPr>
                            <w:r>
                              <w:rPr>
                                <w:rFonts w:ascii="Arial" w:hAnsi="Arial"/>
                                <w:b/>
                                <w:color w:val="CC66FF"/>
                                <w:sz w:val="32"/>
                              </w:rPr>
                              <w:t>60</w:t>
                            </w:r>
                            <w:r w:rsidRPr="00F557AE">
                              <w:rPr>
                                <w:rFonts w:ascii="Arial" w:hAnsi="Arial"/>
                                <w:b/>
                                <w:color w:val="CC66FF"/>
                                <w:sz w:val="32"/>
                              </w:rPr>
                              <w:t>%</w:t>
                            </w:r>
                            <w:r>
                              <w:rPr>
                                <w:rFonts w:ascii="Arial" w:hAnsi="Arial"/>
                                <w:b/>
                              </w:rPr>
                              <w:t xml:space="preserve"> des femmes ont reçu </w:t>
                            </w:r>
                            <w:r>
                              <w:rPr>
                                <w:rFonts w:ascii="Arial" w:hAnsi="Arial"/>
                                <w:b/>
                              </w:rPr>
                              <w:br/>
                              <w:t xml:space="preserve">une formation contre </w:t>
                            </w:r>
                          </w:p>
                          <w:p w:rsidR="007B1397" w:rsidRDefault="007B1397" w:rsidP="0079770C">
                            <w:pPr>
                              <w:jc w:val="center"/>
                              <w:rPr>
                                <w:rFonts w:ascii="Arial" w:hAnsi="Arial"/>
                                <w:b/>
                              </w:rPr>
                            </w:pPr>
                            <w:r>
                              <w:rPr>
                                <w:rFonts w:ascii="Arial" w:hAnsi="Arial"/>
                                <w:b/>
                                <w:color w:val="CC66FF"/>
                                <w:sz w:val="32"/>
                              </w:rPr>
                              <w:t>45</w:t>
                            </w:r>
                            <w:r w:rsidRPr="00F557AE">
                              <w:rPr>
                                <w:rFonts w:ascii="Arial" w:hAnsi="Arial"/>
                                <w:b/>
                                <w:color w:val="CC66FF"/>
                                <w:sz w:val="32"/>
                              </w:rPr>
                              <w:t>%</w:t>
                            </w:r>
                            <w:r>
                              <w:rPr>
                                <w:rFonts w:ascii="Arial" w:hAnsi="Arial"/>
                                <w:b/>
                              </w:rPr>
                              <w:t xml:space="preserve"> des hommes</w:t>
                            </w:r>
                          </w:p>
                          <w:p w:rsidR="007B1397" w:rsidRDefault="007B1397" w:rsidP="0079770C">
                            <w:pPr>
                              <w:jc w:val="center"/>
                              <w:rPr>
                                <w:rFonts w:ascii="Arial" w:hAnsi="Arial"/>
                                <w:b/>
                              </w:rPr>
                            </w:pPr>
                          </w:p>
                          <w:p w:rsidR="007B1397" w:rsidRDefault="007B1397" w:rsidP="0079770C">
                            <w:pPr>
                              <w:jc w:val="center"/>
                              <w:rPr>
                                <w:rFonts w:ascii="Arial" w:hAnsi="Arial"/>
                                <w:b/>
                              </w:rPr>
                            </w:pPr>
                          </w:p>
                          <w:p w:rsidR="007B1397" w:rsidRPr="00F557AE" w:rsidRDefault="007B1397" w:rsidP="0079770C">
                            <w:pPr>
                              <w:jc w:val="center"/>
                              <w:rPr>
                                <w:rFonts w:ascii="Arial" w:hAnsi="Arial"/>
                                <w:b/>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19D4A" id="Rectangle 260" o:spid="_x0000_s1088" style="position:absolute;margin-left:250.6pt;margin-top:19.1pt;width:231.75pt;height:440.2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" filled="f" fillcolor="teal" strokecolor="gray" strokeweight="1.5pt">
                <v:fill opacity="26214f"/>
                <v:shadow opacity="22938f" offset="0"/>
                <v:textbox inset=",7.2pt,,7.2pt">
                  <w:txbxContent>
                    <w:p w:rsidR="007B1397" w:rsidRDefault="007B1397" w:rsidP="0079770C">
                      <w:pPr>
                        <w:jc w:val="center"/>
                        <w:rPr>
                          <w:b/>
                        </w:rPr>
                      </w:pPr>
                    </w:p>
                    <w:p w:rsidR="007B1397" w:rsidRPr="00F557AE" w:rsidRDefault="007B1397" w:rsidP="0079770C">
                      <w:pPr>
                        <w:jc w:val="center"/>
                        <w:rPr>
                          <w:rFonts w:ascii="Arial" w:hAnsi="Arial"/>
                          <w:b/>
                          <w:color w:val="CC66FF"/>
                          <w:sz w:val="32"/>
                        </w:rPr>
                      </w:pPr>
                      <w:r w:rsidRPr="00F557AE">
                        <w:rPr>
                          <w:rFonts w:ascii="Arial" w:hAnsi="Arial"/>
                          <w:b/>
                          <w:color w:val="CC66FF"/>
                          <w:sz w:val="32"/>
                        </w:rPr>
                        <w:t>Chiffres clés</w:t>
                      </w:r>
                    </w:p>
                    <w:p w:rsidR="007B1397" w:rsidRDefault="007B1397" w:rsidP="0079770C">
                      <w:pPr>
                        <w:rPr>
                          <w:rFonts w:ascii="Arial" w:hAnsi="Arial"/>
                          <w:b/>
                        </w:rPr>
                      </w:pPr>
                    </w:p>
                    <w:p w:rsidR="007B1397" w:rsidRDefault="007B1397" w:rsidP="00A157BD">
                      <w:pPr>
                        <w:jc w:val="center"/>
                        <w:rPr>
                          <w:rFonts w:ascii="Arial" w:hAnsi="Arial"/>
                          <w:b/>
                        </w:rPr>
                      </w:pPr>
                      <w:r>
                        <w:rPr>
                          <w:rFonts w:ascii="Arial" w:hAnsi="Arial"/>
                          <w:b/>
                          <w:color w:val="CC66FF"/>
                          <w:sz w:val="32"/>
                        </w:rPr>
                        <w:t xml:space="preserve">12 386 </w:t>
                      </w:r>
                      <w:r>
                        <w:rPr>
                          <w:rFonts w:ascii="Arial" w:hAnsi="Arial"/>
                          <w:b/>
                        </w:rPr>
                        <w:t xml:space="preserve">agents ministériels ont reçu une formation en 2013 soit </w:t>
                      </w:r>
                    </w:p>
                    <w:p w:rsidR="007B1397" w:rsidRDefault="007B1397" w:rsidP="0079770C">
                      <w:pPr>
                        <w:jc w:val="center"/>
                        <w:rPr>
                          <w:rFonts w:ascii="Arial" w:hAnsi="Arial"/>
                          <w:b/>
                        </w:rPr>
                      </w:pPr>
                      <w:r>
                        <w:rPr>
                          <w:rFonts w:ascii="Arial" w:hAnsi="Arial"/>
                          <w:b/>
                          <w:color w:val="CC66FF"/>
                          <w:sz w:val="32"/>
                        </w:rPr>
                        <w:t>53</w:t>
                      </w:r>
                      <w:r w:rsidRPr="00F557AE">
                        <w:rPr>
                          <w:rFonts w:ascii="Arial" w:hAnsi="Arial"/>
                          <w:b/>
                          <w:color w:val="CC66FF"/>
                          <w:sz w:val="32"/>
                        </w:rPr>
                        <w:t>%</w:t>
                      </w:r>
                      <w:r>
                        <w:rPr>
                          <w:rFonts w:ascii="Arial" w:hAnsi="Arial"/>
                          <w:b/>
                        </w:rPr>
                        <w:t xml:space="preserve"> des agents</w:t>
                      </w:r>
                    </w:p>
                    <w:p w:rsidR="007B1397" w:rsidRDefault="007B1397" w:rsidP="0079770C">
                      <w:pPr>
                        <w:jc w:val="center"/>
                        <w:rPr>
                          <w:rFonts w:ascii="Arial" w:hAnsi="Arial"/>
                          <w:b/>
                        </w:rPr>
                      </w:pPr>
                    </w:p>
                    <w:p w:rsidR="007B1397" w:rsidRDefault="007B1397" w:rsidP="0079770C">
                      <w:pPr>
                        <w:jc w:val="center"/>
                        <w:rPr>
                          <w:rFonts w:ascii="Arial" w:hAnsi="Arial"/>
                          <w:b/>
                        </w:rPr>
                      </w:pPr>
                      <w:r>
                        <w:rPr>
                          <w:rFonts w:ascii="Arial" w:hAnsi="Arial"/>
                          <w:b/>
                          <w:color w:val="CC66FF"/>
                          <w:sz w:val="32"/>
                        </w:rPr>
                        <w:t>42</w:t>
                      </w:r>
                      <w:r w:rsidRPr="00F557AE">
                        <w:rPr>
                          <w:rFonts w:ascii="Arial" w:hAnsi="Arial"/>
                          <w:b/>
                          <w:color w:val="CC66FF"/>
                          <w:sz w:val="32"/>
                        </w:rPr>
                        <w:t>%</w:t>
                      </w:r>
                      <w:r>
                        <w:rPr>
                          <w:rFonts w:ascii="Arial" w:hAnsi="Arial"/>
                          <w:b/>
                        </w:rPr>
                        <w:t xml:space="preserve"> des agents de catégorie A</w:t>
                      </w:r>
                    </w:p>
                    <w:p w:rsidR="007B1397" w:rsidRDefault="007B1397" w:rsidP="0079770C">
                      <w:pPr>
                        <w:jc w:val="center"/>
                        <w:rPr>
                          <w:rFonts w:ascii="Arial" w:hAnsi="Arial"/>
                          <w:b/>
                        </w:rPr>
                      </w:pPr>
                    </w:p>
                    <w:p w:rsidR="007B1397" w:rsidRDefault="007B1397" w:rsidP="0079770C">
                      <w:pPr>
                        <w:jc w:val="center"/>
                        <w:rPr>
                          <w:rFonts w:ascii="Arial" w:hAnsi="Arial"/>
                          <w:b/>
                        </w:rPr>
                      </w:pPr>
                      <w:r>
                        <w:rPr>
                          <w:rFonts w:ascii="Arial" w:hAnsi="Arial"/>
                          <w:b/>
                          <w:color w:val="CC66FF"/>
                          <w:sz w:val="32"/>
                        </w:rPr>
                        <w:t>64</w:t>
                      </w:r>
                      <w:r w:rsidRPr="00F557AE">
                        <w:rPr>
                          <w:rFonts w:ascii="Arial" w:hAnsi="Arial"/>
                          <w:b/>
                          <w:color w:val="CC66FF"/>
                          <w:sz w:val="32"/>
                        </w:rPr>
                        <w:t>%</w:t>
                      </w:r>
                      <w:r>
                        <w:rPr>
                          <w:rFonts w:ascii="Arial" w:hAnsi="Arial"/>
                          <w:b/>
                        </w:rPr>
                        <w:t xml:space="preserve"> des agents de catégorie B</w:t>
                      </w:r>
                    </w:p>
                    <w:p w:rsidR="007B1397" w:rsidRDefault="007B1397" w:rsidP="0079770C">
                      <w:pPr>
                        <w:jc w:val="center"/>
                        <w:rPr>
                          <w:rFonts w:ascii="Arial" w:hAnsi="Arial"/>
                          <w:b/>
                        </w:rPr>
                      </w:pPr>
                    </w:p>
                    <w:p w:rsidR="007B1397" w:rsidRDefault="007B1397" w:rsidP="0079770C">
                      <w:pPr>
                        <w:jc w:val="center"/>
                        <w:rPr>
                          <w:rFonts w:ascii="Arial" w:hAnsi="Arial"/>
                          <w:b/>
                        </w:rPr>
                      </w:pPr>
                      <w:r>
                        <w:rPr>
                          <w:rFonts w:ascii="Arial" w:hAnsi="Arial"/>
                          <w:b/>
                          <w:color w:val="CC66FF"/>
                          <w:sz w:val="32"/>
                        </w:rPr>
                        <w:t>62</w:t>
                      </w:r>
                      <w:r w:rsidRPr="00F557AE">
                        <w:rPr>
                          <w:rFonts w:ascii="Arial" w:hAnsi="Arial"/>
                          <w:b/>
                          <w:color w:val="CC66FF"/>
                          <w:sz w:val="32"/>
                        </w:rPr>
                        <w:t>%</w:t>
                      </w:r>
                      <w:r>
                        <w:rPr>
                          <w:rFonts w:ascii="Arial" w:hAnsi="Arial"/>
                          <w:b/>
                        </w:rPr>
                        <w:t xml:space="preserve"> des agents de catégorie C</w:t>
                      </w:r>
                    </w:p>
                    <w:p w:rsidR="007B1397" w:rsidRDefault="007B1397" w:rsidP="0079770C">
                      <w:pPr>
                        <w:jc w:val="center"/>
                        <w:rPr>
                          <w:rFonts w:ascii="Arial" w:hAnsi="Arial"/>
                          <w:b/>
                        </w:rPr>
                      </w:pPr>
                    </w:p>
                    <w:p w:rsidR="007B1397" w:rsidRDefault="007B1397" w:rsidP="0079770C">
                      <w:pPr>
                        <w:jc w:val="center"/>
                        <w:rPr>
                          <w:rFonts w:ascii="Arial" w:hAnsi="Arial"/>
                          <w:b/>
                        </w:rPr>
                      </w:pPr>
                      <w:r>
                        <w:rPr>
                          <w:rFonts w:ascii="Arial" w:hAnsi="Arial"/>
                          <w:b/>
                          <w:color w:val="CC66FF"/>
                          <w:sz w:val="32"/>
                        </w:rPr>
                        <w:t>60</w:t>
                      </w:r>
                      <w:r w:rsidRPr="00F557AE">
                        <w:rPr>
                          <w:rFonts w:ascii="Arial" w:hAnsi="Arial"/>
                          <w:b/>
                          <w:color w:val="CC66FF"/>
                          <w:sz w:val="32"/>
                        </w:rPr>
                        <w:t>%</w:t>
                      </w:r>
                      <w:r>
                        <w:rPr>
                          <w:rFonts w:ascii="Arial" w:hAnsi="Arial"/>
                          <w:b/>
                        </w:rPr>
                        <w:t xml:space="preserve"> des femmes ont reçu </w:t>
                      </w:r>
                      <w:r>
                        <w:rPr>
                          <w:rFonts w:ascii="Arial" w:hAnsi="Arial"/>
                          <w:b/>
                        </w:rPr>
                        <w:br/>
                        <w:t xml:space="preserve">une formation contre </w:t>
                      </w:r>
                    </w:p>
                    <w:p w:rsidR="007B1397" w:rsidRDefault="007B1397" w:rsidP="0079770C">
                      <w:pPr>
                        <w:jc w:val="center"/>
                        <w:rPr>
                          <w:rFonts w:ascii="Arial" w:hAnsi="Arial"/>
                          <w:b/>
                        </w:rPr>
                      </w:pPr>
                      <w:r>
                        <w:rPr>
                          <w:rFonts w:ascii="Arial" w:hAnsi="Arial"/>
                          <w:b/>
                          <w:color w:val="CC66FF"/>
                          <w:sz w:val="32"/>
                        </w:rPr>
                        <w:t>45</w:t>
                      </w:r>
                      <w:r w:rsidRPr="00F557AE">
                        <w:rPr>
                          <w:rFonts w:ascii="Arial" w:hAnsi="Arial"/>
                          <w:b/>
                          <w:color w:val="CC66FF"/>
                          <w:sz w:val="32"/>
                        </w:rPr>
                        <w:t>%</w:t>
                      </w:r>
                      <w:r>
                        <w:rPr>
                          <w:rFonts w:ascii="Arial" w:hAnsi="Arial"/>
                          <w:b/>
                        </w:rPr>
                        <w:t xml:space="preserve"> des hommes</w:t>
                      </w:r>
                    </w:p>
                    <w:p w:rsidR="007B1397" w:rsidRDefault="007B1397" w:rsidP="0079770C">
                      <w:pPr>
                        <w:jc w:val="center"/>
                        <w:rPr>
                          <w:rFonts w:ascii="Arial" w:hAnsi="Arial"/>
                          <w:b/>
                        </w:rPr>
                      </w:pPr>
                    </w:p>
                    <w:p w:rsidR="007B1397" w:rsidRDefault="007B1397" w:rsidP="0079770C">
                      <w:pPr>
                        <w:jc w:val="center"/>
                        <w:rPr>
                          <w:rFonts w:ascii="Arial" w:hAnsi="Arial"/>
                          <w:b/>
                        </w:rPr>
                      </w:pPr>
                    </w:p>
                    <w:p w:rsidR="007B1397" w:rsidRPr="00F557AE" w:rsidRDefault="007B1397" w:rsidP="0079770C">
                      <w:pPr>
                        <w:jc w:val="center"/>
                        <w:rPr>
                          <w:rFonts w:ascii="Arial" w:hAnsi="Arial"/>
                          <w:b/>
                        </w:rPr>
                      </w:pPr>
                    </w:p>
                  </w:txbxContent>
                </v:textbox>
                <w10:wrap anchorx="margin"/>
              </v:rect>
            </w:pict>
          </mc:Fallback>
        </mc:AlternateContent>
      </w:r>
      <w:r w:rsidRPr="001D30C7">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41536" behindDoc="0" locked="0" layoutInCell="1" allowOverlap="1" wp14:anchorId="45741CD9" wp14:editId="12838C9F">
                <wp:simplePos x="0" y="0"/>
                <wp:positionH relativeFrom="margin">
                  <wp:align>left</wp:align>
                </wp:positionH>
                <wp:positionV relativeFrom="paragraph">
                  <wp:posOffset>210820</wp:posOffset>
                </wp:positionV>
                <wp:extent cx="2971800" cy="6172200"/>
                <wp:effectExtent l="0" t="0" r="0" b="0"/>
                <wp:wrapTight wrapText="bothSides">
                  <wp:wrapPolygon edited="0">
                    <wp:start x="277" y="200"/>
                    <wp:lineTo x="277" y="21400"/>
                    <wp:lineTo x="21185" y="21400"/>
                    <wp:lineTo x="21185" y="200"/>
                    <wp:lineTo x="277" y="200"/>
                  </wp:wrapPolygon>
                </wp:wrapTight>
                <wp:docPr id="261" name="Zone de texte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617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79770C" w:rsidRDefault="007B1397" w:rsidP="0079770C">
                            <w:pPr>
                              <w:widowControl w:val="0"/>
                              <w:autoSpaceDE w:val="0"/>
                              <w:autoSpaceDN w:val="0"/>
                              <w:adjustRightInd w:val="0"/>
                              <w:spacing w:before="113" w:after="113"/>
                              <w:jc w:val="both"/>
                              <w:rPr>
                                <w:rFonts w:ascii="Arial" w:hAnsi="Arial" w:cs="Times New Roman"/>
                                <w:b/>
                                <w:bCs/>
                                <w:sz w:val="22"/>
                                <w:szCs w:val="22"/>
                              </w:rPr>
                            </w:pPr>
                            <w:r w:rsidRPr="0079770C">
                              <w:rPr>
                                <w:rFonts w:ascii="Arial" w:hAnsi="Arial" w:cs="Times New Roman"/>
                                <w:b/>
                                <w:bCs/>
                                <w:sz w:val="22"/>
                                <w:szCs w:val="22"/>
                              </w:rPr>
                              <w:t>L’organisation de la formation au ministère de la culture et dans les établissements publics administratifs sous tutelle :</w:t>
                            </w:r>
                          </w:p>
                          <w:p w:rsidR="007B1397" w:rsidRPr="0079770C" w:rsidRDefault="007B1397" w:rsidP="0079770C">
                            <w:pPr>
                              <w:widowControl w:val="0"/>
                              <w:autoSpaceDE w:val="0"/>
                              <w:autoSpaceDN w:val="0"/>
                              <w:adjustRightInd w:val="0"/>
                              <w:spacing w:before="113" w:after="113"/>
                              <w:jc w:val="both"/>
                              <w:rPr>
                                <w:rFonts w:ascii="Arial" w:hAnsi="Arial" w:cs="Times New Roman"/>
                                <w:sz w:val="22"/>
                                <w:szCs w:val="22"/>
                              </w:rPr>
                            </w:pPr>
                            <w:r w:rsidRPr="0079770C">
                              <w:rPr>
                                <w:rFonts w:ascii="Arial" w:hAnsi="Arial" w:cs="Times New Roman"/>
                                <w:sz w:val="22"/>
                                <w:szCs w:val="22"/>
                              </w:rPr>
                              <w:t>Au sein du secrétariat général (SG), le département du recrutement, de la mobilité et de la formation (DRMF) assure le pilotage et la coordination de la politique de formation de l'ensemble du ministère.</w:t>
                            </w:r>
                          </w:p>
                          <w:p w:rsidR="007B1397" w:rsidRPr="0079770C" w:rsidRDefault="007B1397" w:rsidP="0079770C">
                            <w:pPr>
                              <w:widowControl w:val="0"/>
                              <w:autoSpaceDE w:val="0"/>
                              <w:autoSpaceDN w:val="0"/>
                              <w:adjustRightInd w:val="0"/>
                              <w:spacing w:before="113" w:after="113"/>
                              <w:jc w:val="both"/>
                              <w:rPr>
                                <w:rFonts w:ascii="Arial" w:hAnsi="Arial" w:cs="Times New Roman"/>
                                <w:sz w:val="22"/>
                                <w:szCs w:val="22"/>
                              </w:rPr>
                            </w:pPr>
                            <w:r w:rsidRPr="0079770C">
                              <w:rPr>
                                <w:rFonts w:ascii="Arial" w:hAnsi="Arial" w:cs="Times New Roman"/>
                                <w:sz w:val="22"/>
                                <w:szCs w:val="22"/>
                              </w:rPr>
                              <w:t>Les formations organisées directement par le département s'adressent en priorité aux agents de l'administration centrale mais peuvent, dans le cadre des priorités nationales de formation, être ouvertes à l'ensemble des agents du ministère (à l'exception du musée du Louvre, de la bibliothèque nationale de France, de l'établissement public du château, du musée et du domaine national de Versailles).</w:t>
                            </w:r>
                          </w:p>
                          <w:p w:rsidR="007B1397" w:rsidRPr="0079770C" w:rsidRDefault="007B1397" w:rsidP="0079770C">
                            <w:pPr>
                              <w:widowControl w:val="0"/>
                              <w:autoSpaceDE w:val="0"/>
                              <w:autoSpaceDN w:val="0"/>
                              <w:adjustRightInd w:val="0"/>
                              <w:spacing w:before="113" w:after="113"/>
                              <w:jc w:val="both"/>
                              <w:rPr>
                                <w:rFonts w:ascii="Arial" w:hAnsi="Arial" w:cs="Times New Roman"/>
                                <w:sz w:val="22"/>
                                <w:szCs w:val="22"/>
                              </w:rPr>
                            </w:pPr>
                            <w:r w:rsidRPr="0079770C">
                              <w:rPr>
                                <w:rFonts w:ascii="Arial" w:hAnsi="Arial" w:cs="Times New Roman"/>
                                <w:sz w:val="22"/>
                                <w:szCs w:val="22"/>
                              </w:rPr>
                              <w:t>Par ailleurs, les directions générales (DG) organisent des formations « métiers » relevant de leurs champs de compétence.</w:t>
                            </w:r>
                          </w:p>
                          <w:p w:rsidR="007B1397" w:rsidRPr="00CB5F30" w:rsidRDefault="007B1397" w:rsidP="0079770C">
                            <w:pPr>
                              <w:widowControl w:val="0"/>
                              <w:autoSpaceDE w:val="0"/>
                              <w:autoSpaceDN w:val="0"/>
                              <w:adjustRightInd w:val="0"/>
                              <w:spacing w:before="113" w:after="113"/>
                              <w:jc w:val="both"/>
                              <w:rPr>
                                <w:rFonts w:ascii="Arial" w:hAnsi="Arial" w:cs="Times New Roman"/>
                              </w:rPr>
                            </w:pPr>
                            <w:r w:rsidRPr="0079770C">
                              <w:rPr>
                                <w:rFonts w:ascii="Arial" w:hAnsi="Arial" w:cs="Times New Roman"/>
                                <w:sz w:val="22"/>
                                <w:szCs w:val="22"/>
                              </w:rPr>
                              <w:t>En complément de ces offres nationales, les directions régionales des affaires culturelles (DRAC) et les établissements publics du ministère élaborent et mettent en œuvre des programmes de formations adaptés à leurs besoins spécifiques et à ceux de leurs agents.</w:t>
                            </w:r>
                          </w:p>
                          <w:p w:rsidR="007B1397" w:rsidRDefault="007B1397" w:rsidP="0079770C"/>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41CD9" id="Zone de texte 261" o:spid="_x0000_s1089" type="#_x0000_t202" style="position:absolute;margin-left:0;margin-top:16.6pt;width:234pt;height:486pt;z-index:251841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" filled="f" stroked="f">
                <v:textbox inset=",7.2pt,,7.2pt">
                  <w:txbxContent>
                    <w:p w:rsidR="007B1397" w:rsidRPr="0079770C" w:rsidRDefault="007B1397" w:rsidP="0079770C">
                      <w:pPr>
                        <w:widowControl w:val="0"/>
                        <w:autoSpaceDE w:val="0"/>
                        <w:autoSpaceDN w:val="0"/>
                        <w:adjustRightInd w:val="0"/>
                        <w:spacing w:before="113" w:after="113"/>
                        <w:jc w:val="both"/>
                        <w:rPr>
                          <w:rFonts w:ascii="Arial" w:hAnsi="Arial" w:cs="Times New Roman"/>
                          <w:b/>
                          <w:bCs/>
                          <w:sz w:val="22"/>
                          <w:szCs w:val="22"/>
                        </w:rPr>
                      </w:pPr>
                      <w:r w:rsidRPr="0079770C">
                        <w:rPr>
                          <w:rFonts w:ascii="Arial" w:hAnsi="Arial" w:cs="Times New Roman"/>
                          <w:b/>
                          <w:bCs/>
                          <w:sz w:val="22"/>
                          <w:szCs w:val="22"/>
                        </w:rPr>
                        <w:t>L’organisation de la formation au ministère de la culture et dans les établissements publics administratifs sous tutelle :</w:t>
                      </w:r>
                    </w:p>
                    <w:p w:rsidR="007B1397" w:rsidRPr="0079770C" w:rsidRDefault="007B1397" w:rsidP="0079770C">
                      <w:pPr>
                        <w:widowControl w:val="0"/>
                        <w:autoSpaceDE w:val="0"/>
                        <w:autoSpaceDN w:val="0"/>
                        <w:adjustRightInd w:val="0"/>
                        <w:spacing w:before="113" w:after="113"/>
                        <w:jc w:val="both"/>
                        <w:rPr>
                          <w:rFonts w:ascii="Arial" w:hAnsi="Arial" w:cs="Times New Roman"/>
                          <w:sz w:val="22"/>
                          <w:szCs w:val="22"/>
                        </w:rPr>
                      </w:pPr>
                      <w:r w:rsidRPr="0079770C">
                        <w:rPr>
                          <w:rFonts w:ascii="Arial" w:hAnsi="Arial" w:cs="Times New Roman"/>
                          <w:sz w:val="22"/>
                          <w:szCs w:val="22"/>
                        </w:rPr>
                        <w:t>Au sein du secrétariat général (SG), le département du recrutement, de la mobilité et de la formation (DRMF) assure le pilotage et la coordination de la politique de formation de l'ensemble du ministère.</w:t>
                      </w:r>
                    </w:p>
                    <w:p w:rsidR="007B1397" w:rsidRPr="0079770C" w:rsidRDefault="007B1397" w:rsidP="0079770C">
                      <w:pPr>
                        <w:widowControl w:val="0"/>
                        <w:autoSpaceDE w:val="0"/>
                        <w:autoSpaceDN w:val="0"/>
                        <w:adjustRightInd w:val="0"/>
                        <w:spacing w:before="113" w:after="113"/>
                        <w:jc w:val="both"/>
                        <w:rPr>
                          <w:rFonts w:ascii="Arial" w:hAnsi="Arial" w:cs="Times New Roman"/>
                          <w:sz w:val="22"/>
                          <w:szCs w:val="22"/>
                        </w:rPr>
                      </w:pPr>
                      <w:r w:rsidRPr="0079770C">
                        <w:rPr>
                          <w:rFonts w:ascii="Arial" w:hAnsi="Arial" w:cs="Times New Roman"/>
                          <w:sz w:val="22"/>
                          <w:szCs w:val="22"/>
                        </w:rPr>
                        <w:t>Les formations organisées directement par le département s'adressent en priorité aux agents de l'administration centrale mais peuvent, dans le cadre des priorités nationales de formation, être ouvertes à l'ensemble des agents du ministère (à l'exception du musée du Louvre, de la bibliothèque nationale de France, de l'établissement public du château, du musée et du domaine national de Versailles).</w:t>
                      </w:r>
                    </w:p>
                    <w:p w:rsidR="007B1397" w:rsidRPr="0079770C" w:rsidRDefault="007B1397" w:rsidP="0079770C">
                      <w:pPr>
                        <w:widowControl w:val="0"/>
                        <w:autoSpaceDE w:val="0"/>
                        <w:autoSpaceDN w:val="0"/>
                        <w:adjustRightInd w:val="0"/>
                        <w:spacing w:before="113" w:after="113"/>
                        <w:jc w:val="both"/>
                        <w:rPr>
                          <w:rFonts w:ascii="Arial" w:hAnsi="Arial" w:cs="Times New Roman"/>
                          <w:sz w:val="22"/>
                          <w:szCs w:val="22"/>
                        </w:rPr>
                      </w:pPr>
                      <w:r w:rsidRPr="0079770C">
                        <w:rPr>
                          <w:rFonts w:ascii="Arial" w:hAnsi="Arial" w:cs="Times New Roman"/>
                          <w:sz w:val="22"/>
                          <w:szCs w:val="22"/>
                        </w:rPr>
                        <w:t>Par ailleurs, les directions générales (DG) organisent des formations « métiers » relevant de leurs champs de compétence.</w:t>
                      </w:r>
                    </w:p>
                    <w:p w:rsidR="007B1397" w:rsidRPr="00CB5F30" w:rsidRDefault="007B1397" w:rsidP="0079770C">
                      <w:pPr>
                        <w:widowControl w:val="0"/>
                        <w:autoSpaceDE w:val="0"/>
                        <w:autoSpaceDN w:val="0"/>
                        <w:adjustRightInd w:val="0"/>
                        <w:spacing w:before="113" w:after="113"/>
                        <w:jc w:val="both"/>
                        <w:rPr>
                          <w:rFonts w:ascii="Arial" w:hAnsi="Arial" w:cs="Times New Roman"/>
                        </w:rPr>
                      </w:pPr>
                      <w:r w:rsidRPr="0079770C">
                        <w:rPr>
                          <w:rFonts w:ascii="Arial" w:hAnsi="Arial" w:cs="Times New Roman"/>
                          <w:sz w:val="22"/>
                          <w:szCs w:val="22"/>
                        </w:rPr>
                        <w:t>En complément de ces offres nationales, les directions régionales des affaires culturelles (DRAC) et les établissements publics du ministère élaborent et mettent en œuvre des programmes de formations adaptés à leurs besoins spécifiques et à ceux de leurs agents.</w:t>
                      </w:r>
                    </w:p>
                    <w:p w:rsidR="007B1397" w:rsidRDefault="007B1397" w:rsidP="0079770C"/>
                  </w:txbxContent>
                </v:textbox>
                <w10:wrap type="tight" anchorx="margin"/>
              </v:shape>
            </w:pict>
          </mc:Fallback>
        </mc:AlternateContent>
      </w: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Pr="001D30C7" w:rsidRDefault="0079770C" w:rsidP="0079770C">
      <w:pPr>
        <w:tabs>
          <w:tab w:val="left" w:pos="1220"/>
        </w:tabs>
        <w:rPr>
          <w:rFonts w:ascii="BlairMdITC TT-Medium" w:eastAsia="Cambria" w:hAnsi="BlairMdITC TT-Medium" w:cs="Times New Roman"/>
          <w:b/>
          <w:color w:val="800000"/>
          <w:sz w:val="48"/>
        </w:rPr>
      </w:pPr>
    </w:p>
    <w:p w:rsidR="0079770C" w:rsidRDefault="0079770C" w:rsidP="0079770C">
      <w:pPr>
        <w:rPr>
          <w:rFonts w:ascii="BlairMdITC TT-Medium" w:eastAsia="Cambria" w:hAnsi="BlairMdITC TT-Medium" w:cs="Times New Roman"/>
          <w:b/>
          <w:color w:val="800000"/>
          <w:sz w:val="48"/>
        </w:rPr>
      </w:pPr>
      <w:r>
        <w:rPr>
          <w:rFonts w:ascii="BlairMdITC TT-Medium" w:eastAsia="Cambria" w:hAnsi="BlairMdITC TT-Medium" w:cs="Times New Roman"/>
          <w:b/>
          <w:color w:val="800000"/>
          <w:sz w:val="48"/>
        </w:rPr>
        <w:br w:type="page"/>
      </w:r>
    </w:p>
    <w:p w:rsidR="0079770C" w:rsidRPr="00140410" w:rsidRDefault="0079770C" w:rsidP="0079770C">
      <w:pPr>
        <w:tabs>
          <w:tab w:val="left" w:pos="1220"/>
        </w:tabs>
        <w:rPr>
          <w:rFonts w:ascii="BlairMdITC TT-Medium" w:eastAsia="Cambria" w:hAnsi="BlairMdITC TT-Medium" w:cs="Times New Roman"/>
          <w:b/>
          <w:color w:val="800000"/>
        </w:rPr>
      </w:pPr>
    </w:p>
    <w:p w:rsidR="0079770C" w:rsidRPr="0079770C" w:rsidRDefault="0079770C" w:rsidP="0079770C">
      <w:pPr>
        <w:widowControl w:val="0"/>
        <w:autoSpaceDE w:val="0"/>
        <w:autoSpaceDN w:val="0"/>
        <w:adjustRightInd w:val="0"/>
        <w:spacing w:after="113"/>
        <w:jc w:val="both"/>
        <w:rPr>
          <w:rFonts w:ascii="Arial" w:eastAsia="Cambria" w:hAnsi="Arial" w:cs="Times New Roman"/>
          <w:b/>
          <w:bCs/>
          <w:sz w:val="22"/>
          <w:szCs w:val="22"/>
        </w:rPr>
      </w:pPr>
      <w:r w:rsidRPr="0079770C">
        <w:rPr>
          <w:rFonts w:ascii="Arial" w:eastAsia="Cambria" w:hAnsi="Arial" w:cs="Times New Roman"/>
          <w:b/>
          <w:bCs/>
          <w:sz w:val="22"/>
          <w:szCs w:val="22"/>
        </w:rPr>
        <w:t>Méthodologie :</w:t>
      </w:r>
    </w:p>
    <w:p w:rsidR="0079770C" w:rsidRPr="0079770C" w:rsidRDefault="0079770C" w:rsidP="0079770C">
      <w:pPr>
        <w:widowControl w:val="0"/>
        <w:autoSpaceDE w:val="0"/>
        <w:autoSpaceDN w:val="0"/>
        <w:adjustRightInd w:val="0"/>
        <w:spacing w:after="113"/>
        <w:jc w:val="both"/>
        <w:rPr>
          <w:rFonts w:ascii="Arial" w:eastAsia="Cambria" w:hAnsi="Arial" w:cs="Times New Roman"/>
          <w:b/>
          <w:bCs/>
          <w:sz w:val="22"/>
          <w:szCs w:val="22"/>
        </w:rPr>
      </w:pPr>
    </w:p>
    <w:p w:rsidR="0079770C" w:rsidRPr="0079770C" w:rsidRDefault="0079770C" w:rsidP="0079770C">
      <w:pPr>
        <w:widowControl w:val="0"/>
        <w:autoSpaceDE w:val="0"/>
        <w:autoSpaceDN w:val="0"/>
        <w:adjustRightInd w:val="0"/>
        <w:spacing w:after="113"/>
        <w:jc w:val="both"/>
        <w:rPr>
          <w:rFonts w:ascii="Arial" w:eastAsia="Cambria" w:hAnsi="Arial" w:cs="Times New Roman"/>
          <w:b/>
          <w:bCs/>
          <w:sz w:val="22"/>
          <w:szCs w:val="22"/>
        </w:rPr>
      </w:pPr>
      <w:r w:rsidRPr="0079770C">
        <w:rPr>
          <w:rFonts w:ascii="Arial" w:eastAsia="Cambria" w:hAnsi="Arial" w:cs="Times New Roman"/>
          <w:b/>
          <w:bCs/>
          <w:i/>
          <w:iCs/>
          <w:sz w:val="22"/>
          <w:szCs w:val="22"/>
        </w:rPr>
        <w:t>Modalités</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sz w:val="22"/>
          <w:szCs w:val="22"/>
        </w:rPr>
        <w:t>Pour la préparation du bilan de formation ministériel les modalités d’organisation des données sont étroitement dépendantes des procédures définies par le bureau des statistiques, des études et de l'évaluation à la direction générale de l'administration et de la fonction publique (DGAFP) dans le cadre de son enquête statistique annuelle relative à la formation professionnelle des agents de l'État.</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b/>
          <w:bCs/>
          <w:i/>
          <w:iCs/>
          <w:sz w:val="22"/>
          <w:szCs w:val="22"/>
        </w:rPr>
        <w:t>Enquête</w:t>
      </w:r>
    </w:p>
    <w:p w:rsidR="0079770C" w:rsidRPr="0079770C" w:rsidRDefault="0079770C" w:rsidP="0079770C">
      <w:pPr>
        <w:pStyle w:val="western"/>
        <w:rPr>
          <w:rFonts w:eastAsia="Cambria"/>
          <w:sz w:val="22"/>
          <w:szCs w:val="22"/>
        </w:rPr>
      </w:pPr>
      <w:r w:rsidRPr="0079770C">
        <w:rPr>
          <w:sz w:val="22"/>
          <w:szCs w:val="22"/>
        </w:rPr>
        <w:t>88 structures (administration centrale, DRAC, établissements publics) ont été interrogées pour la constitution du bilan ministériel de la formation 2013. 83 ont répondu à l'enquête, soit un taux de réponse de 94 %.</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b/>
          <w:bCs/>
          <w:i/>
          <w:iCs/>
          <w:sz w:val="22"/>
          <w:szCs w:val="22"/>
        </w:rPr>
        <w:t>Notion d'effectifs ministériels (en personne physique)</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sz w:val="22"/>
          <w:szCs w:val="22"/>
        </w:rPr>
        <w:t>L'effectif retenu est estimé au 31 décembre 2013 sur la base des déclarations des services consultés. Ce cumul des effectifs déclarés par les différents services ne peut être affecté d'une valeur absolue mais conserve sa pertinence en termes de périmètre d'intervention des services de formation.</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b/>
          <w:bCs/>
          <w:i/>
          <w:iCs/>
          <w:sz w:val="22"/>
          <w:szCs w:val="22"/>
        </w:rPr>
        <w:t>Notion d’agents formés</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sz w:val="22"/>
          <w:szCs w:val="22"/>
        </w:rPr>
        <w:t xml:space="preserve">Le </w:t>
      </w:r>
      <w:r w:rsidRPr="0079770C">
        <w:rPr>
          <w:rFonts w:ascii="Arial" w:eastAsia="Cambria" w:hAnsi="Arial" w:cs="Times New Roman"/>
          <w:i/>
          <w:iCs/>
          <w:sz w:val="22"/>
          <w:szCs w:val="22"/>
        </w:rPr>
        <w:t>stagiaire</w:t>
      </w:r>
      <w:r w:rsidRPr="0079770C">
        <w:rPr>
          <w:rFonts w:ascii="Arial" w:eastAsia="Cambria" w:hAnsi="Arial" w:cs="Times New Roman"/>
          <w:sz w:val="22"/>
          <w:szCs w:val="22"/>
        </w:rPr>
        <w:t xml:space="preserve"> est l’agent qui participe à une formation donnée et ne doit pas être confondu avec la personne formée, l'</w:t>
      </w:r>
      <w:r w:rsidRPr="0079770C">
        <w:rPr>
          <w:rFonts w:ascii="Arial" w:eastAsia="Cambria" w:hAnsi="Arial" w:cs="Times New Roman"/>
          <w:i/>
          <w:iCs/>
          <w:sz w:val="22"/>
          <w:szCs w:val="22"/>
        </w:rPr>
        <w:t>agent formé</w:t>
      </w:r>
      <w:r w:rsidRPr="0079770C">
        <w:rPr>
          <w:rFonts w:ascii="Arial" w:eastAsia="Cambria" w:hAnsi="Arial" w:cs="Times New Roman"/>
          <w:sz w:val="22"/>
          <w:szCs w:val="22"/>
        </w:rPr>
        <w:t xml:space="preserve"> ; ainsi un même agent qui suit deux formations au cours de l'année est compté comme deux stagiaires mais comme un seul agent formé.</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b/>
          <w:bCs/>
          <w:i/>
          <w:iCs/>
          <w:sz w:val="22"/>
          <w:szCs w:val="22"/>
        </w:rPr>
        <w:t>Nombre de jours de formation : mode de calcul</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sz w:val="22"/>
          <w:szCs w:val="22"/>
        </w:rPr>
        <w:t>La durée pour une action est égale au produit du nombre de stagiaires par le temps consacré à la formation. Par exemple, à une action regroupant dix stagiaires pendant trois jours est associée une durée de 30 jours-agents.</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b/>
          <w:bCs/>
          <w:i/>
          <w:iCs/>
          <w:sz w:val="22"/>
          <w:szCs w:val="22"/>
        </w:rPr>
        <w:t>INP</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sz w:val="22"/>
          <w:szCs w:val="22"/>
        </w:rPr>
        <w:t>L’institut national du patrimoine (INP) dispense un programme de formation initiale (formation d'application des conservateurs du patrimoine, formation statutaire) sur une année scolaire. Ces formations « métiers » sont étroitement liées aux missions de la direction générale des patrimoines. Néanmoins, au regard des programmes de formation continue habituellement mis en œuvre, ce programme apparaît comme particulièrement long. C'est pourquoi, dans un souci de juste appréciation des chiffres, les données relatives aux directions générales sont présentées à la fois avec et sans l'INP.</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b/>
          <w:bCs/>
          <w:i/>
          <w:iCs/>
          <w:sz w:val="22"/>
          <w:szCs w:val="22"/>
        </w:rPr>
        <w:t>Mobilier national</w:t>
      </w:r>
    </w:p>
    <w:p w:rsidR="0079770C" w:rsidRPr="0079770C" w:rsidRDefault="0079770C" w:rsidP="0079770C">
      <w:pPr>
        <w:widowControl w:val="0"/>
        <w:autoSpaceDE w:val="0"/>
        <w:autoSpaceDN w:val="0"/>
        <w:adjustRightInd w:val="0"/>
        <w:spacing w:after="113"/>
        <w:jc w:val="both"/>
        <w:rPr>
          <w:rFonts w:ascii="Arial" w:eastAsia="Cambria" w:hAnsi="Arial" w:cs="Times New Roman"/>
          <w:sz w:val="22"/>
          <w:szCs w:val="22"/>
        </w:rPr>
      </w:pPr>
      <w:r w:rsidRPr="0079770C">
        <w:rPr>
          <w:rFonts w:ascii="Arial" w:eastAsia="Cambria" w:hAnsi="Arial" w:cs="Times New Roman"/>
          <w:sz w:val="22"/>
          <w:szCs w:val="22"/>
        </w:rPr>
        <w:t>Par convention, le service à compétence nationale du mobilier national disposant d'un budget et d'une politique de formation propre, a été intégré aux établissements publics.</w:t>
      </w:r>
    </w:p>
    <w:p w:rsidR="0079770C" w:rsidRPr="001D30C7" w:rsidRDefault="0079770C" w:rsidP="0079770C">
      <w:pPr>
        <w:tabs>
          <w:tab w:val="left" w:pos="1220"/>
        </w:tabs>
        <w:jc w:val="both"/>
        <w:rPr>
          <w:rFonts w:ascii="BlairMdITC TT-Medium" w:eastAsia="Cambria" w:hAnsi="BlairMdITC TT-Medium" w:cs="Times New Roman"/>
          <w:b/>
          <w:color w:val="800000"/>
        </w:rPr>
      </w:pPr>
    </w:p>
    <w:p w:rsidR="0079770C" w:rsidRDefault="0079770C" w:rsidP="0079770C">
      <w:pPr>
        <w:tabs>
          <w:tab w:val="left" w:pos="1220"/>
        </w:tabs>
        <w:ind w:left="851" w:hanging="851"/>
        <w:rPr>
          <w:rFonts w:ascii="Florencesans Exp" w:eastAsia="Cambria" w:hAnsi="Florencesans Exp" w:cs="Times New Roman"/>
          <w:b/>
          <w:color w:val="CC66FF"/>
          <w:sz w:val="28"/>
        </w:rPr>
      </w:pPr>
    </w:p>
    <w:p w:rsidR="0079770C" w:rsidRPr="009F6D4E" w:rsidRDefault="0079770C" w:rsidP="0079770C">
      <w:pPr>
        <w:tabs>
          <w:tab w:val="left" w:pos="1220"/>
        </w:tabs>
        <w:ind w:left="851" w:hanging="851"/>
        <w:rPr>
          <w:rFonts w:ascii="Florencesans Exp" w:eastAsia="Cambria" w:hAnsi="Florencesans Exp" w:cs="Times New Roman"/>
          <w:b/>
          <w:color w:val="CC66FF"/>
          <w:sz w:val="28"/>
        </w:rPr>
      </w:pPr>
      <w:r w:rsidRPr="009F6D4E">
        <w:rPr>
          <w:rFonts w:ascii="Florencesans Exp" w:eastAsia="Cambria" w:hAnsi="Florencesans Exp" w:cs="Times New Roman"/>
          <w:b/>
          <w:color w:val="CC66FF"/>
          <w:sz w:val="28"/>
        </w:rPr>
        <w:t>6. A. EVOLUTION DES PRINCIPAUX INDICATEURS (DONNEES T2 ET T3)</w:t>
      </w:r>
    </w:p>
    <w:p w:rsidR="0079770C" w:rsidRPr="001D30C7" w:rsidRDefault="0079770C" w:rsidP="0079770C">
      <w:pPr>
        <w:rPr>
          <w:rFonts w:ascii="BlairMdITC TT-Medium" w:eastAsia="Cambria" w:hAnsi="BlairMdITC TT-Medium" w:cs="Times New Roman"/>
          <w:sz w:val="32"/>
        </w:rPr>
      </w:pPr>
    </w:p>
    <w:p w:rsidR="0079770C" w:rsidRPr="009F6D4E" w:rsidRDefault="0079770C" w:rsidP="0079770C">
      <w:pPr>
        <w:rPr>
          <w:rFonts w:ascii="Florencesans Exp" w:eastAsia="Cambria" w:hAnsi="Florencesans Exp" w:cs="Times New Roman"/>
        </w:rPr>
      </w:pPr>
      <w:r w:rsidRPr="009F6D4E">
        <w:rPr>
          <w:rFonts w:ascii="Florencesans Exp" w:eastAsia="Cambria" w:hAnsi="Florencesans Exp" w:cs="Times New Roman"/>
        </w:rPr>
        <w:t>6. A. 1. AGENTS FORMES</w:t>
      </w:r>
    </w:p>
    <w:p w:rsidR="0079770C" w:rsidRPr="001D30C7" w:rsidRDefault="0079770C" w:rsidP="0079770C">
      <w:pPr>
        <w:rPr>
          <w:rFonts w:ascii="BlairMdITC TT-Medium" w:eastAsia="Cambria" w:hAnsi="BlairMdITC TT-Medium" w:cs="Times New Roman"/>
        </w:rPr>
      </w:pPr>
    </w:p>
    <w:p w:rsidR="0079770C" w:rsidRPr="001D30C7" w:rsidRDefault="0079770C" w:rsidP="0079770C">
      <w:pPr>
        <w:jc w:val="center"/>
        <w:rPr>
          <w:rFonts w:ascii="Arial" w:eastAsia="Cambria" w:hAnsi="Arial" w:cs="Times"/>
          <w:b/>
          <w:iCs/>
          <w:szCs w:val="20"/>
        </w:rPr>
      </w:pPr>
      <w:r w:rsidRPr="001D30C7">
        <w:rPr>
          <w:rFonts w:ascii="Arial" w:eastAsia="Cambria" w:hAnsi="Arial" w:cs="Times"/>
          <w:b/>
          <w:iCs/>
          <w:szCs w:val="20"/>
        </w:rPr>
        <w:t>Evolution des effectifs ministériels et des agents formés</w:t>
      </w:r>
    </w:p>
    <w:tbl>
      <w:tblPr>
        <w:tblW w:w="6560" w:type="dxa"/>
        <w:jc w:val="center"/>
        <w:tblCellMar>
          <w:left w:w="70" w:type="dxa"/>
          <w:right w:w="70" w:type="dxa"/>
        </w:tblCellMar>
        <w:tblLook w:val="04A0" w:firstRow="1" w:lastRow="0" w:firstColumn="1" w:lastColumn="0" w:noHBand="0" w:noVBand="1"/>
      </w:tblPr>
      <w:tblGrid>
        <w:gridCol w:w="3680"/>
        <w:gridCol w:w="960"/>
        <w:gridCol w:w="960"/>
        <w:gridCol w:w="960"/>
      </w:tblGrid>
      <w:tr w:rsidR="0079770C" w:rsidRPr="002D703F" w:rsidTr="0079770C">
        <w:trPr>
          <w:trHeight w:val="280"/>
          <w:jc w:val="center"/>
        </w:trPr>
        <w:tc>
          <w:tcPr>
            <w:tcW w:w="3680" w:type="dxa"/>
            <w:tcBorders>
              <w:top w:val="nil"/>
              <w:left w:val="nil"/>
              <w:bottom w:val="nil"/>
              <w:right w:val="nil"/>
            </w:tcBorders>
            <w:shd w:val="clear" w:color="auto" w:fill="auto"/>
            <w:noWrap/>
            <w:vAlign w:val="center"/>
            <w:hideMark/>
          </w:tcPr>
          <w:p w:rsidR="0079770C" w:rsidRPr="002D703F" w:rsidRDefault="0079770C" w:rsidP="0079770C">
            <w:pPr>
              <w:rPr>
                <w:rFonts w:ascii="Times New Roman" w:eastAsia="Times New Roman" w:hAnsi="Times New Roman" w:cs="Times New Roman"/>
                <w:lang w:eastAsia="fr-FR"/>
              </w:rPr>
            </w:pPr>
          </w:p>
        </w:tc>
        <w:tc>
          <w:tcPr>
            <w:tcW w:w="960" w:type="dxa"/>
            <w:tcBorders>
              <w:top w:val="single" w:sz="4" w:space="0" w:color="A6A6A6"/>
              <w:left w:val="single" w:sz="4" w:space="0" w:color="A6A6A6"/>
              <w:bottom w:val="single" w:sz="4" w:space="0" w:color="A6A6A6"/>
              <w:right w:val="single" w:sz="4" w:space="0" w:color="A6A6A6"/>
            </w:tcBorders>
            <w:shd w:val="clear" w:color="FFFFCC" w:fill="C066D8"/>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2011</w:t>
            </w:r>
          </w:p>
        </w:tc>
        <w:tc>
          <w:tcPr>
            <w:tcW w:w="96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2012</w:t>
            </w:r>
          </w:p>
        </w:tc>
        <w:tc>
          <w:tcPr>
            <w:tcW w:w="96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2013</w:t>
            </w:r>
          </w:p>
        </w:tc>
      </w:tr>
      <w:tr w:rsidR="0079770C" w:rsidRPr="002D703F" w:rsidTr="0079770C">
        <w:trPr>
          <w:trHeight w:val="280"/>
          <w:jc w:val="center"/>
        </w:trPr>
        <w:tc>
          <w:tcPr>
            <w:tcW w:w="3680" w:type="dxa"/>
            <w:tcBorders>
              <w:top w:val="single" w:sz="4" w:space="0" w:color="A6A6A6"/>
              <w:left w:val="single" w:sz="4" w:space="0" w:color="A6A6A6"/>
              <w:bottom w:val="single" w:sz="4" w:space="0" w:color="A6A6A6"/>
              <w:right w:val="single" w:sz="4" w:space="0" w:color="A6A6A6"/>
            </w:tcBorders>
            <w:shd w:val="clear" w:color="FFFFCC" w:fill="D9D9D9"/>
            <w:noWrap/>
            <w:vAlign w:val="center"/>
            <w:hideMark/>
          </w:tcPr>
          <w:p w:rsidR="0079770C" w:rsidRPr="002D703F" w:rsidRDefault="0079770C" w:rsidP="0079770C">
            <w:pPr>
              <w:rPr>
                <w:rFonts w:ascii="Arial" w:eastAsia="Times New Roman" w:hAnsi="Arial" w:cs="Arial"/>
                <w:lang w:eastAsia="fr-FR"/>
              </w:rPr>
            </w:pPr>
            <w:r w:rsidRPr="002D703F">
              <w:rPr>
                <w:rFonts w:ascii="Arial" w:eastAsia="Times New Roman" w:hAnsi="Arial" w:cs="Arial"/>
                <w:lang w:eastAsia="fr-FR"/>
              </w:rPr>
              <w:t>Effectif ministériel</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24 147</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23 726</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23 300</w:t>
            </w:r>
          </w:p>
        </w:tc>
      </w:tr>
      <w:tr w:rsidR="0079770C" w:rsidRPr="002D703F" w:rsidTr="0079770C">
        <w:trPr>
          <w:trHeight w:val="280"/>
          <w:jc w:val="center"/>
        </w:trPr>
        <w:tc>
          <w:tcPr>
            <w:tcW w:w="368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2D703F" w:rsidRDefault="0079770C" w:rsidP="0079770C">
            <w:pPr>
              <w:rPr>
                <w:rFonts w:ascii="Arial" w:eastAsia="Times New Roman" w:hAnsi="Arial" w:cs="Arial"/>
                <w:lang w:eastAsia="fr-FR"/>
              </w:rPr>
            </w:pPr>
            <w:r w:rsidRPr="002D703F">
              <w:rPr>
                <w:rFonts w:ascii="Arial" w:eastAsia="Times New Roman" w:hAnsi="Arial" w:cs="Arial"/>
                <w:lang w:eastAsia="fr-FR"/>
              </w:rPr>
              <w:t>Agents formés</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12 553</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12 563</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12 386</w:t>
            </w:r>
          </w:p>
        </w:tc>
      </w:tr>
      <w:tr w:rsidR="0079770C" w:rsidRPr="002D703F" w:rsidTr="0079770C">
        <w:trPr>
          <w:trHeight w:val="280"/>
          <w:jc w:val="center"/>
        </w:trPr>
        <w:tc>
          <w:tcPr>
            <w:tcW w:w="368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2D703F" w:rsidRDefault="0079770C" w:rsidP="0079770C">
            <w:pPr>
              <w:rPr>
                <w:rFonts w:ascii="Arial" w:eastAsia="Times New Roman" w:hAnsi="Arial" w:cs="Arial"/>
                <w:lang w:eastAsia="fr-FR"/>
              </w:rPr>
            </w:pPr>
            <w:r w:rsidRPr="002D703F">
              <w:rPr>
                <w:rFonts w:ascii="Arial" w:eastAsia="Times New Roman" w:hAnsi="Arial" w:cs="Arial"/>
                <w:lang w:eastAsia="fr-FR"/>
              </w:rPr>
              <w:t>% formé sur effectif ministériel</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52%</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53%</w:t>
            </w:r>
          </w:p>
        </w:tc>
        <w:tc>
          <w:tcPr>
            <w:tcW w:w="960"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53%</w:t>
            </w:r>
          </w:p>
        </w:tc>
      </w:tr>
    </w:tbl>
    <w:p w:rsidR="00A277D3" w:rsidRDefault="00A277D3" w:rsidP="00A277D3">
      <w:pPr>
        <w:pStyle w:val="western"/>
        <w:spacing w:before="240" w:beforeAutospacing="0" w:after="0" w:line="276" w:lineRule="auto"/>
        <w:jc w:val="both"/>
        <w:rPr>
          <w:sz w:val="22"/>
          <w:szCs w:val="22"/>
        </w:rPr>
      </w:pPr>
      <w:r>
        <w:rPr>
          <w:sz w:val="22"/>
          <w:szCs w:val="22"/>
        </w:rPr>
        <w:t xml:space="preserve">L’effectif ministériel </w:t>
      </w:r>
      <w:r w:rsidR="00797AC4">
        <w:rPr>
          <w:sz w:val="22"/>
          <w:szCs w:val="22"/>
        </w:rPr>
        <w:t xml:space="preserve">correspond au périmètre de l’enquête : </w:t>
      </w:r>
      <w:r w:rsidR="00797AC4" w:rsidRPr="0079770C">
        <w:rPr>
          <w:sz w:val="22"/>
          <w:szCs w:val="22"/>
        </w:rPr>
        <w:t>administration centrale, DRAC, établissements publics</w:t>
      </w:r>
      <w:r w:rsidR="00797AC4">
        <w:rPr>
          <w:sz w:val="22"/>
          <w:szCs w:val="22"/>
        </w:rPr>
        <w:t xml:space="preserve"> (hors 5 établissements n’ayant pas répondu à l’enquête et hors établissements publics à caractère </w:t>
      </w:r>
      <w:r w:rsidR="002F1661">
        <w:rPr>
          <w:sz w:val="22"/>
          <w:szCs w:val="22"/>
        </w:rPr>
        <w:t>industriel et commercial</w:t>
      </w:r>
      <w:r w:rsidR="00797AC4">
        <w:rPr>
          <w:sz w:val="22"/>
          <w:szCs w:val="22"/>
        </w:rPr>
        <w:t xml:space="preserve">). </w:t>
      </w:r>
    </w:p>
    <w:p w:rsidR="0079770C" w:rsidRPr="0079770C" w:rsidRDefault="0079770C" w:rsidP="00A277D3">
      <w:pPr>
        <w:pStyle w:val="western"/>
        <w:spacing w:before="240" w:beforeAutospacing="0" w:after="0" w:line="276" w:lineRule="auto"/>
        <w:jc w:val="both"/>
        <w:rPr>
          <w:sz w:val="22"/>
          <w:szCs w:val="22"/>
        </w:rPr>
      </w:pPr>
      <w:r w:rsidRPr="0079770C">
        <w:rPr>
          <w:sz w:val="22"/>
          <w:szCs w:val="22"/>
        </w:rPr>
        <w:t>La part des agents formés sur l'ensemble des effectifs pris en charge par les responsables de formations est stable depuis 2011 : plus de la moitié des agents du ministère ont assistés à au moins une formation durant l'année écoulée.</w:t>
      </w:r>
    </w:p>
    <w:p w:rsidR="0079770C" w:rsidRPr="001D30C7" w:rsidRDefault="0079770C" w:rsidP="0079770C">
      <w:pPr>
        <w:jc w:val="center"/>
        <w:rPr>
          <w:rFonts w:ascii="Arial" w:eastAsia="Cambria" w:hAnsi="Arial" w:cs="Times"/>
          <w:b/>
          <w:iCs/>
          <w:szCs w:val="20"/>
        </w:rPr>
      </w:pPr>
      <w:r w:rsidRPr="001D30C7">
        <w:rPr>
          <w:rFonts w:ascii="Arial" w:eastAsia="Cambria" w:hAnsi="Arial" w:cs="Times"/>
          <w:b/>
          <w:iCs/>
          <w:szCs w:val="20"/>
        </w:rPr>
        <w:t>Répartition et évolution des effectifs formés par catégorie</w:t>
      </w:r>
    </w:p>
    <w:p w:rsidR="0079770C" w:rsidRPr="001D30C7" w:rsidRDefault="0079770C" w:rsidP="0079770C">
      <w:pPr>
        <w:jc w:val="center"/>
        <w:rPr>
          <w:rFonts w:ascii="Cambria" w:eastAsia="Cambria" w:hAnsi="Cambria" w:cs="Times"/>
          <w:iCs/>
          <w:szCs w:val="20"/>
        </w:rPr>
      </w:pPr>
    </w:p>
    <w:tbl>
      <w:tblPr>
        <w:tblW w:w="9786" w:type="dxa"/>
        <w:jc w:val="center"/>
        <w:tblCellMar>
          <w:left w:w="70" w:type="dxa"/>
          <w:right w:w="70" w:type="dxa"/>
        </w:tblCellMar>
        <w:tblLook w:val="04A0" w:firstRow="1" w:lastRow="0" w:firstColumn="1" w:lastColumn="0" w:noHBand="0" w:noVBand="1"/>
      </w:tblPr>
      <w:tblGrid>
        <w:gridCol w:w="1264"/>
        <w:gridCol w:w="1343"/>
        <w:gridCol w:w="1343"/>
        <w:gridCol w:w="1594"/>
        <w:gridCol w:w="1343"/>
        <w:gridCol w:w="1343"/>
        <w:gridCol w:w="1594"/>
      </w:tblGrid>
      <w:tr w:rsidR="0079770C" w:rsidRPr="002D703F" w:rsidTr="00A277D3">
        <w:trPr>
          <w:trHeight w:val="240"/>
          <w:jc w:val="center"/>
        </w:trPr>
        <w:tc>
          <w:tcPr>
            <w:tcW w:w="1264" w:type="dxa"/>
            <w:tcBorders>
              <w:top w:val="nil"/>
              <w:left w:val="nil"/>
              <w:bottom w:val="nil"/>
              <w:right w:val="nil"/>
            </w:tcBorders>
            <w:shd w:val="clear" w:color="auto" w:fill="auto"/>
            <w:noWrap/>
            <w:vAlign w:val="center"/>
            <w:hideMark/>
          </w:tcPr>
          <w:p w:rsidR="0079770C" w:rsidRPr="002D703F" w:rsidRDefault="0079770C" w:rsidP="0079770C">
            <w:pPr>
              <w:rPr>
                <w:rFonts w:ascii="Times New Roman" w:eastAsia="Times New Roman" w:hAnsi="Times New Roman" w:cs="Times New Roman"/>
                <w:lang w:eastAsia="fr-FR"/>
              </w:rPr>
            </w:pPr>
          </w:p>
        </w:tc>
        <w:tc>
          <w:tcPr>
            <w:tcW w:w="4261" w:type="dxa"/>
            <w:gridSpan w:val="3"/>
            <w:tcBorders>
              <w:top w:val="single" w:sz="4" w:space="0" w:color="A6A6A6"/>
              <w:left w:val="single" w:sz="4" w:space="0" w:color="A6A6A6"/>
              <w:bottom w:val="single" w:sz="4" w:space="0" w:color="A6A6A6"/>
              <w:right w:val="single" w:sz="4" w:space="0" w:color="A6A6A6"/>
            </w:tcBorders>
            <w:shd w:val="clear" w:color="FFFFCC" w:fill="C066D8"/>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2012</w:t>
            </w:r>
          </w:p>
        </w:tc>
        <w:tc>
          <w:tcPr>
            <w:tcW w:w="4261" w:type="dxa"/>
            <w:gridSpan w:val="3"/>
            <w:tcBorders>
              <w:top w:val="single" w:sz="4" w:space="0" w:color="A6A6A6"/>
              <w:left w:val="nil"/>
              <w:bottom w:val="single" w:sz="4" w:space="0" w:color="A6A6A6"/>
              <w:right w:val="single" w:sz="4" w:space="0" w:color="A6A6A6"/>
            </w:tcBorders>
            <w:shd w:val="clear" w:color="FFFFCC" w:fill="C066D8"/>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2013</w:t>
            </w:r>
          </w:p>
        </w:tc>
      </w:tr>
      <w:tr w:rsidR="0079770C" w:rsidRPr="002D703F" w:rsidTr="00A277D3">
        <w:trPr>
          <w:trHeight w:val="480"/>
          <w:jc w:val="center"/>
        </w:trPr>
        <w:tc>
          <w:tcPr>
            <w:tcW w:w="1264" w:type="dxa"/>
            <w:tcBorders>
              <w:top w:val="single" w:sz="4" w:space="0" w:color="A6A6A6"/>
              <w:left w:val="single" w:sz="4" w:space="0" w:color="A6A6A6"/>
              <w:bottom w:val="single" w:sz="4" w:space="0" w:color="A6A6A6"/>
              <w:right w:val="single" w:sz="4" w:space="0" w:color="A6A6A6"/>
            </w:tcBorders>
            <w:shd w:val="clear" w:color="FFFFCC" w:fill="C066D8"/>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Catégorie</w:t>
            </w:r>
          </w:p>
        </w:tc>
        <w:tc>
          <w:tcPr>
            <w:tcW w:w="1343" w:type="dxa"/>
            <w:tcBorders>
              <w:top w:val="nil"/>
              <w:left w:val="nil"/>
              <w:bottom w:val="single" w:sz="4" w:space="0" w:color="A6A6A6"/>
              <w:right w:val="single" w:sz="4" w:space="0" w:color="A6A6A6"/>
            </w:tcBorders>
            <w:shd w:val="clear" w:color="FFFFCC" w:fill="EE9CF2"/>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Effectifs globaux</w:t>
            </w:r>
          </w:p>
        </w:tc>
        <w:tc>
          <w:tcPr>
            <w:tcW w:w="1343" w:type="dxa"/>
            <w:tcBorders>
              <w:top w:val="nil"/>
              <w:left w:val="nil"/>
              <w:bottom w:val="single" w:sz="4" w:space="0" w:color="A6A6A6"/>
              <w:right w:val="single" w:sz="4" w:space="0" w:color="A6A6A6"/>
            </w:tcBorders>
            <w:shd w:val="clear" w:color="FFFFCC" w:fill="EE9CF2"/>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Agents formés</w:t>
            </w:r>
          </w:p>
        </w:tc>
        <w:tc>
          <w:tcPr>
            <w:tcW w:w="1574" w:type="dxa"/>
            <w:tcBorders>
              <w:top w:val="nil"/>
              <w:left w:val="nil"/>
              <w:bottom w:val="single" w:sz="4" w:space="0" w:color="A6A6A6"/>
              <w:right w:val="single" w:sz="4" w:space="0" w:color="A6A6A6"/>
            </w:tcBorders>
            <w:shd w:val="clear" w:color="FFFFCC" w:fill="EE9CF2"/>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Pourcentage</w:t>
            </w:r>
          </w:p>
        </w:tc>
        <w:tc>
          <w:tcPr>
            <w:tcW w:w="1343" w:type="dxa"/>
            <w:tcBorders>
              <w:top w:val="nil"/>
              <w:left w:val="nil"/>
              <w:bottom w:val="single" w:sz="4" w:space="0" w:color="A6A6A6"/>
              <w:right w:val="single" w:sz="4" w:space="0" w:color="A6A6A6"/>
            </w:tcBorders>
            <w:shd w:val="clear" w:color="FFFFCC" w:fill="EE9CF2"/>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Effectifs globaux</w:t>
            </w:r>
          </w:p>
        </w:tc>
        <w:tc>
          <w:tcPr>
            <w:tcW w:w="1343" w:type="dxa"/>
            <w:tcBorders>
              <w:top w:val="nil"/>
              <w:left w:val="nil"/>
              <w:bottom w:val="single" w:sz="4" w:space="0" w:color="A6A6A6"/>
              <w:right w:val="single" w:sz="4" w:space="0" w:color="A6A6A6"/>
            </w:tcBorders>
            <w:shd w:val="clear" w:color="FFFFCC" w:fill="EE9CF2"/>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Agents formés</w:t>
            </w:r>
          </w:p>
        </w:tc>
        <w:tc>
          <w:tcPr>
            <w:tcW w:w="1574" w:type="dxa"/>
            <w:tcBorders>
              <w:top w:val="nil"/>
              <w:left w:val="nil"/>
              <w:bottom w:val="single" w:sz="4" w:space="0" w:color="A6A6A6"/>
              <w:right w:val="single" w:sz="4" w:space="0" w:color="A6A6A6"/>
            </w:tcBorders>
            <w:shd w:val="clear" w:color="FFFFCC" w:fill="EE9CF2"/>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Pourcentage</w:t>
            </w:r>
          </w:p>
        </w:tc>
      </w:tr>
      <w:tr w:rsidR="0079770C" w:rsidRPr="002D703F" w:rsidTr="00A277D3">
        <w:trPr>
          <w:trHeight w:val="240"/>
          <w:jc w:val="center"/>
        </w:trPr>
        <w:tc>
          <w:tcPr>
            <w:tcW w:w="1264"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A</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10 529</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4 291</w:t>
            </w:r>
          </w:p>
        </w:tc>
        <w:tc>
          <w:tcPr>
            <w:tcW w:w="1574"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41%</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10 698</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4 474</w:t>
            </w:r>
          </w:p>
        </w:tc>
        <w:tc>
          <w:tcPr>
            <w:tcW w:w="1574"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42%</w:t>
            </w:r>
          </w:p>
        </w:tc>
      </w:tr>
      <w:tr w:rsidR="0079770C" w:rsidRPr="002D703F" w:rsidTr="00A277D3">
        <w:trPr>
          <w:trHeight w:val="240"/>
          <w:jc w:val="center"/>
        </w:trPr>
        <w:tc>
          <w:tcPr>
            <w:tcW w:w="1264"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B</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5 752</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3 851</w:t>
            </w:r>
          </w:p>
        </w:tc>
        <w:tc>
          <w:tcPr>
            <w:tcW w:w="1574"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67%</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5 476</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3 482</w:t>
            </w:r>
          </w:p>
        </w:tc>
        <w:tc>
          <w:tcPr>
            <w:tcW w:w="1574"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64%</w:t>
            </w:r>
          </w:p>
        </w:tc>
      </w:tr>
      <w:tr w:rsidR="0079770C" w:rsidRPr="002D703F" w:rsidTr="00A277D3">
        <w:trPr>
          <w:trHeight w:val="240"/>
          <w:jc w:val="center"/>
        </w:trPr>
        <w:tc>
          <w:tcPr>
            <w:tcW w:w="1264"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C</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7 445</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4 421</w:t>
            </w:r>
          </w:p>
        </w:tc>
        <w:tc>
          <w:tcPr>
            <w:tcW w:w="1574"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59%</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7 126</w:t>
            </w:r>
          </w:p>
        </w:tc>
        <w:tc>
          <w:tcPr>
            <w:tcW w:w="1343"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4 430</w:t>
            </w:r>
          </w:p>
        </w:tc>
        <w:tc>
          <w:tcPr>
            <w:tcW w:w="1574" w:type="dxa"/>
            <w:tcBorders>
              <w:top w:val="nil"/>
              <w:left w:val="nil"/>
              <w:bottom w:val="single" w:sz="4" w:space="0" w:color="A6A6A6"/>
              <w:right w:val="single" w:sz="4" w:space="0" w:color="A6A6A6"/>
            </w:tcBorders>
            <w:shd w:val="clear" w:color="auto" w:fill="auto"/>
            <w:noWrap/>
            <w:vAlign w:val="center"/>
            <w:hideMark/>
          </w:tcPr>
          <w:p w:rsidR="0079770C" w:rsidRPr="002D703F" w:rsidRDefault="0079770C" w:rsidP="0079770C">
            <w:pPr>
              <w:jc w:val="center"/>
              <w:rPr>
                <w:rFonts w:ascii="Arial" w:eastAsia="Times New Roman" w:hAnsi="Arial" w:cs="Arial"/>
                <w:lang w:eastAsia="fr-FR"/>
              </w:rPr>
            </w:pPr>
            <w:r w:rsidRPr="002D703F">
              <w:rPr>
                <w:rFonts w:ascii="Arial" w:eastAsia="Times New Roman" w:hAnsi="Arial" w:cs="Arial"/>
                <w:lang w:eastAsia="fr-FR"/>
              </w:rPr>
              <w:t>62%</w:t>
            </w:r>
          </w:p>
        </w:tc>
      </w:tr>
      <w:tr w:rsidR="0079770C" w:rsidRPr="002D703F" w:rsidTr="00A277D3">
        <w:trPr>
          <w:trHeight w:val="240"/>
          <w:jc w:val="center"/>
        </w:trPr>
        <w:tc>
          <w:tcPr>
            <w:tcW w:w="1264" w:type="dxa"/>
            <w:tcBorders>
              <w:top w:val="nil"/>
              <w:left w:val="single" w:sz="4" w:space="0" w:color="A6A6A6"/>
              <w:bottom w:val="single" w:sz="4" w:space="0" w:color="A6A6A6"/>
              <w:right w:val="single" w:sz="4" w:space="0" w:color="A6A6A6"/>
            </w:tcBorders>
            <w:shd w:val="clear" w:color="FFFFCC" w:fill="EE9CF2"/>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TOTAL</w:t>
            </w:r>
          </w:p>
        </w:tc>
        <w:tc>
          <w:tcPr>
            <w:tcW w:w="1343" w:type="dxa"/>
            <w:tcBorders>
              <w:top w:val="nil"/>
              <w:left w:val="nil"/>
              <w:bottom w:val="single" w:sz="4" w:space="0" w:color="A6A6A6"/>
              <w:right w:val="single" w:sz="4" w:space="0" w:color="A6A6A6"/>
            </w:tcBorders>
            <w:shd w:val="clear" w:color="FFFFCC" w:fill="EE9CF2"/>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23 726</w:t>
            </w:r>
          </w:p>
        </w:tc>
        <w:tc>
          <w:tcPr>
            <w:tcW w:w="1343" w:type="dxa"/>
            <w:tcBorders>
              <w:top w:val="nil"/>
              <w:left w:val="nil"/>
              <w:bottom w:val="single" w:sz="4" w:space="0" w:color="A6A6A6"/>
              <w:right w:val="single" w:sz="4" w:space="0" w:color="A6A6A6"/>
            </w:tcBorders>
            <w:shd w:val="clear" w:color="FFFFCC" w:fill="EE9CF2"/>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12 563</w:t>
            </w:r>
          </w:p>
        </w:tc>
        <w:tc>
          <w:tcPr>
            <w:tcW w:w="1574" w:type="dxa"/>
            <w:tcBorders>
              <w:top w:val="nil"/>
              <w:left w:val="nil"/>
              <w:bottom w:val="single" w:sz="4" w:space="0" w:color="A6A6A6"/>
              <w:right w:val="single" w:sz="4" w:space="0" w:color="A6A6A6"/>
            </w:tcBorders>
            <w:shd w:val="clear" w:color="FFFFCC" w:fill="EE9CF2"/>
            <w:noWrap/>
            <w:vAlign w:val="center"/>
            <w:hideMark/>
          </w:tcPr>
          <w:p w:rsidR="0079770C" w:rsidRPr="002D703F" w:rsidRDefault="0079770C" w:rsidP="0079770C">
            <w:pPr>
              <w:jc w:val="center"/>
              <w:rPr>
                <w:rFonts w:ascii="Arial" w:eastAsia="Times New Roman" w:hAnsi="Arial" w:cs="Arial"/>
                <w:color w:val="FFFFFF"/>
                <w:lang w:eastAsia="fr-FR"/>
              </w:rPr>
            </w:pPr>
            <w:r w:rsidRPr="002D703F">
              <w:rPr>
                <w:rFonts w:ascii="Arial" w:eastAsia="Times New Roman" w:hAnsi="Arial" w:cs="Arial"/>
                <w:color w:val="FFFFFF"/>
                <w:lang w:eastAsia="fr-FR"/>
              </w:rPr>
              <w:t>53%</w:t>
            </w:r>
          </w:p>
        </w:tc>
        <w:tc>
          <w:tcPr>
            <w:tcW w:w="1343" w:type="dxa"/>
            <w:tcBorders>
              <w:top w:val="nil"/>
              <w:left w:val="nil"/>
              <w:bottom w:val="single" w:sz="4" w:space="0" w:color="A6A6A6"/>
              <w:right w:val="single" w:sz="4" w:space="0" w:color="A6A6A6"/>
            </w:tcBorders>
            <w:shd w:val="clear" w:color="FFFFCC" w:fill="EE9CF2"/>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23 300</w:t>
            </w:r>
          </w:p>
        </w:tc>
        <w:tc>
          <w:tcPr>
            <w:tcW w:w="1343" w:type="dxa"/>
            <w:tcBorders>
              <w:top w:val="nil"/>
              <w:left w:val="nil"/>
              <w:bottom w:val="single" w:sz="4" w:space="0" w:color="A6A6A6"/>
              <w:right w:val="single" w:sz="4" w:space="0" w:color="A6A6A6"/>
            </w:tcBorders>
            <w:shd w:val="clear" w:color="FFFFCC" w:fill="EE9CF2"/>
            <w:noWrap/>
            <w:vAlign w:val="center"/>
            <w:hideMark/>
          </w:tcPr>
          <w:p w:rsidR="0079770C" w:rsidRPr="002D703F" w:rsidRDefault="0079770C" w:rsidP="0079770C">
            <w:pPr>
              <w:jc w:val="center"/>
              <w:rPr>
                <w:rFonts w:ascii="Arial" w:eastAsia="Times New Roman" w:hAnsi="Arial" w:cs="Arial"/>
                <w:b/>
                <w:bCs/>
                <w:color w:val="FFFFFF"/>
                <w:lang w:eastAsia="fr-FR"/>
              </w:rPr>
            </w:pPr>
            <w:r w:rsidRPr="002D703F">
              <w:rPr>
                <w:rFonts w:ascii="Arial" w:eastAsia="Times New Roman" w:hAnsi="Arial" w:cs="Arial"/>
                <w:b/>
                <w:bCs/>
                <w:color w:val="FFFFFF"/>
                <w:lang w:eastAsia="fr-FR"/>
              </w:rPr>
              <w:t>12 386</w:t>
            </w:r>
          </w:p>
        </w:tc>
        <w:tc>
          <w:tcPr>
            <w:tcW w:w="1574" w:type="dxa"/>
            <w:tcBorders>
              <w:top w:val="nil"/>
              <w:left w:val="nil"/>
              <w:bottom w:val="single" w:sz="4" w:space="0" w:color="A6A6A6"/>
              <w:right w:val="single" w:sz="4" w:space="0" w:color="A6A6A6"/>
            </w:tcBorders>
            <w:shd w:val="clear" w:color="FFFFCC" w:fill="EE9CF2"/>
            <w:noWrap/>
            <w:vAlign w:val="center"/>
            <w:hideMark/>
          </w:tcPr>
          <w:p w:rsidR="0079770C" w:rsidRPr="002D703F" w:rsidRDefault="0079770C" w:rsidP="0079770C">
            <w:pPr>
              <w:jc w:val="center"/>
              <w:rPr>
                <w:rFonts w:ascii="Arial" w:eastAsia="Times New Roman" w:hAnsi="Arial" w:cs="Arial"/>
                <w:color w:val="FFFFFF"/>
                <w:lang w:eastAsia="fr-FR"/>
              </w:rPr>
            </w:pPr>
            <w:r w:rsidRPr="002D703F">
              <w:rPr>
                <w:rFonts w:ascii="Arial" w:eastAsia="Times New Roman" w:hAnsi="Arial" w:cs="Arial"/>
                <w:color w:val="FFFFFF"/>
                <w:lang w:eastAsia="fr-FR"/>
              </w:rPr>
              <w:t>53%</w:t>
            </w:r>
          </w:p>
        </w:tc>
      </w:tr>
    </w:tbl>
    <w:p w:rsidR="0079770C" w:rsidRPr="0079770C" w:rsidRDefault="0079770C" w:rsidP="00A277D3">
      <w:pPr>
        <w:pStyle w:val="western"/>
        <w:spacing w:before="240" w:beforeAutospacing="0" w:after="0"/>
        <w:jc w:val="both"/>
        <w:rPr>
          <w:sz w:val="22"/>
          <w:szCs w:val="22"/>
        </w:rPr>
      </w:pPr>
      <w:r w:rsidRPr="0079770C">
        <w:rPr>
          <w:sz w:val="22"/>
          <w:szCs w:val="22"/>
        </w:rPr>
        <w:t>En 2013, comme en 2012, la part des agents formés, varie selon la catégorie : environ 4 agents de catégorie A sur 10 ont suivi une formation en 2013, contre plus de 6 sur 10 pour les agents de catégories B et C.</w:t>
      </w:r>
    </w:p>
    <w:p w:rsidR="0079770C" w:rsidRPr="0079770C" w:rsidRDefault="0079770C" w:rsidP="00A277D3">
      <w:pPr>
        <w:pStyle w:val="western"/>
        <w:spacing w:before="0" w:beforeAutospacing="0" w:after="0"/>
        <w:jc w:val="both"/>
        <w:rPr>
          <w:sz w:val="22"/>
          <w:szCs w:val="22"/>
        </w:rPr>
      </w:pPr>
      <w:r w:rsidRPr="0079770C">
        <w:rPr>
          <w:sz w:val="22"/>
          <w:szCs w:val="22"/>
        </w:rPr>
        <w:t>Cet écart dans l'accès à la formation se retrouve également dans la répartition sexuée des agents : 60 % des femmes du ministère ont suivi une formation en 2013 contre 45 % des hommes.</w:t>
      </w:r>
    </w:p>
    <w:p w:rsidR="0079770C" w:rsidRPr="0079770C" w:rsidRDefault="0079770C" w:rsidP="00A277D3">
      <w:pPr>
        <w:pStyle w:val="western"/>
        <w:spacing w:before="0" w:beforeAutospacing="0" w:after="0"/>
        <w:jc w:val="both"/>
        <w:rPr>
          <w:sz w:val="22"/>
          <w:szCs w:val="22"/>
        </w:rPr>
      </w:pPr>
      <w:r w:rsidRPr="0079770C">
        <w:rPr>
          <w:rFonts w:eastAsia="Cambria"/>
          <w:noProof/>
          <w:sz w:val="22"/>
          <w:szCs w:val="22"/>
        </w:rPr>
        <w:drawing>
          <wp:anchor distT="0" distB="0" distL="114300" distR="114300" simplePos="0" relativeHeight="251842560" behindDoc="1" locked="0" layoutInCell="1" allowOverlap="1" wp14:anchorId="5BB676CB" wp14:editId="01F82B15">
            <wp:simplePos x="0" y="0"/>
            <wp:positionH relativeFrom="margin">
              <wp:align>center</wp:align>
            </wp:positionH>
            <wp:positionV relativeFrom="paragraph">
              <wp:posOffset>391160</wp:posOffset>
            </wp:positionV>
            <wp:extent cx="6368415" cy="1333500"/>
            <wp:effectExtent l="0" t="0" r="0" b="0"/>
            <wp:wrapTight wrapText="bothSides">
              <wp:wrapPolygon edited="0">
                <wp:start x="0" y="0"/>
                <wp:lineTo x="0" y="21291"/>
                <wp:lineTo x="21516" y="21291"/>
                <wp:lineTo x="21516" y="0"/>
                <wp:lineTo x="0" y="0"/>
              </wp:wrapPolygon>
            </wp:wrapTight>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36841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770C">
        <w:rPr>
          <w:sz w:val="22"/>
          <w:szCs w:val="22"/>
        </w:rPr>
        <w:t>Par différence avec l'effectif total, il est également possible d'appréhender l'effectif des agents non formés, c'est-à-dire qui n'ont suivi aucune formation durant l'année considérée.</w:t>
      </w:r>
    </w:p>
    <w:p w:rsidR="0079770C" w:rsidRPr="0079770C" w:rsidRDefault="0079770C" w:rsidP="002F1661">
      <w:pPr>
        <w:pStyle w:val="western"/>
        <w:spacing w:before="0" w:beforeAutospacing="0"/>
        <w:jc w:val="both"/>
        <w:rPr>
          <w:rFonts w:ascii="Cambria" w:eastAsia="Cambria" w:hAnsi="Cambria"/>
          <w:sz w:val="22"/>
          <w:szCs w:val="22"/>
        </w:rPr>
      </w:pPr>
      <w:r w:rsidRPr="0079770C">
        <w:rPr>
          <w:sz w:val="22"/>
          <w:szCs w:val="22"/>
        </w:rPr>
        <w:t>Cette réalité concerne ainsi 47% des agents du ministère en 2013, mais est fortement différenciée selon le genre et la catégorie : 32 % des femmes de catégorie B ne se sont pas formées en 2013, alors que cette proportion s'élève à 68 % pour les hommes de catégories A.</w:t>
      </w:r>
      <w:r w:rsidRPr="0079770C">
        <w:rPr>
          <w:rFonts w:ascii="Cambria" w:eastAsia="Cambria" w:hAnsi="Cambria"/>
          <w:sz w:val="22"/>
          <w:szCs w:val="22"/>
        </w:rPr>
        <w:br w:type="page"/>
      </w:r>
    </w:p>
    <w:p w:rsidR="0079770C" w:rsidRPr="009F6D4E" w:rsidRDefault="0079770C" w:rsidP="0079770C">
      <w:pPr>
        <w:rPr>
          <w:rFonts w:ascii="Florencesans Exp" w:eastAsia="Cambria" w:hAnsi="Florencesans Exp" w:cs="Times New Roman"/>
        </w:rPr>
      </w:pPr>
      <w:r w:rsidRPr="009F6D4E">
        <w:rPr>
          <w:rFonts w:ascii="Florencesans Exp" w:eastAsia="Cambria" w:hAnsi="Florencesans Exp" w:cs="Times New Roman"/>
        </w:rPr>
        <w:lastRenderedPageBreak/>
        <w:t>6. A. 2. STAGIAIRES</w:t>
      </w:r>
    </w:p>
    <w:p w:rsidR="0079770C" w:rsidRPr="001D30C7" w:rsidRDefault="0079770C" w:rsidP="0079770C">
      <w:pPr>
        <w:rPr>
          <w:rFonts w:ascii="BlairMdITC TT-Medium" w:eastAsia="Cambria" w:hAnsi="BlairMdITC TT-Medium" w:cs="Times New Roman"/>
        </w:rPr>
      </w:pPr>
    </w:p>
    <w:p w:rsidR="0079770C" w:rsidRPr="001D30C7" w:rsidRDefault="0079770C" w:rsidP="0079770C">
      <w:pPr>
        <w:jc w:val="center"/>
        <w:rPr>
          <w:rFonts w:ascii="Arial" w:eastAsia="Cambria" w:hAnsi="Arial" w:cs="Times"/>
          <w:b/>
          <w:iCs/>
          <w:szCs w:val="20"/>
        </w:rPr>
      </w:pPr>
      <w:r w:rsidRPr="001D30C7">
        <w:rPr>
          <w:rFonts w:ascii="Arial" w:eastAsia="Cambria" w:hAnsi="Arial" w:cs="Times"/>
          <w:b/>
          <w:iCs/>
          <w:szCs w:val="20"/>
        </w:rPr>
        <w:t>Evolution du nombre de stagiaires</w:t>
      </w:r>
    </w:p>
    <w:p w:rsidR="0079770C" w:rsidRPr="001D30C7" w:rsidRDefault="0079770C" w:rsidP="0079770C">
      <w:pPr>
        <w:jc w:val="center"/>
        <w:rPr>
          <w:rFonts w:ascii="Cambria" w:eastAsia="Cambria" w:hAnsi="Cambria" w:cs="Times"/>
          <w:i/>
          <w:iCs/>
          <w:szCs w:val="20"/>
        </w:rPr>
      </w:pPr>
    </w:p>
    <w:tbl>
      <w:tblPr>
        <w:tblW w:w="6300" w:type="dxa"/>
        <w:jc w:val="center"/>
        <w:tblCellMar>
          <w:left w:w="70" w:type="dxa"/>
          <w:right w:w="70" w:type="dxa"/>
        </w:tblCellMar>
        <w:tblLook w:val="04A0" w:firstRow="1" w:lastRow="0" w:firstColumn="1" w:lastColumn="0" w:noHBand="0" w:noVBand="1"/>
      </w:tblPr>
      <w:tblGrid>
        <w:gridCol w:w="2460"/>
        <w:gridCol w:w="1280"/>
        <w:gridCol w:w="1280"/>
        <w:gridCol w:w="1280"/>
      </w:tblGrid>
      <w:tr w:rsidR="0079770C" w:rsidRPr="002945C6" w:rsidTr="0079770C">
        <w:trPr>
          <w:trHeight w:val="280"/>
          <w:jc w:val="center"/>
        </w:trPr>
        <w:tc>
          <w:tcPr>
            <w:tcW w:w="2460" w:type="dxa"/>
            <w:tcBorders>
              <w:top w:val="single" w:sz="4" w:space="0" w:color="A6A6A6"/>
              <w:left w:val="single" w:sz="4" w:space="0" w:color="A6A6A6"/>
              <w:bottom w:val="single" w:sz="4" w:space="0" w:color="A6A6A6"/>
              <w:right w:val="single" w:sz="4" w:space="0" w:color="A6A6A6"/>
            </w:tcBorders>
            <w:shd w:val="clear" w:color="FFFFCC" w:fill="C066D8"/>
            <w:noWrap/>
            <w:vAlign w:val="center"/>
            <w:hideMark/>
          </w:tcPr>
          <w:p w:rsidR="0079770C" w:rsidRPr="002945C6" w:rsidRDefault="0079770C" w:rsidP="0079770C">
            <w:pPr>
              <w:jc w:val="center"/>
              <w:rPr>
                <w:rFonts w:ascii="Arial" w:eastAsia="Times New Roman" w:hAnsi="Arial" w:cs="Arial"/>
                <w:b/>
                <w:bCs/>
                <w:color w:val="FFFFFF"/>
                <w:lang w:eastAsia="fr-FR"/>
              </w:rPr>
            </w:pPr>
            <w:r w:rsidRPr="002945C6">
              <w:rPr>
                <w:rFonts w:ascii="Arial" w:eastAsia="Times New Roman" w:hAnsi="Arial" w:cs="Arial"/>
                <w:b/>
                <w:bCs/>
                <w:color w:val="FFFFFF"/>
                <w:lang w:eastAsia="fr-FR"/>
              </w:rPr>
              <w:t>Année</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2945C6" w:rsidRDefault="0079770C" w:rsidP="0079770C">
            <w:pPr>
              <w:jc w:val="center"/>
              <w:rPr>
                <w:rFonts w:ascii="Arial" w:eastAsia="Times New Roman" w:hAnsi="Arial" w:cs="Arial"/>
                <w:b/>
                <w:bCs/>
                <w:color w:val="FFFFFF"/>
                <w:lang w:eastAsia="fr-FR"/>
              </w:rPr>
            </w:pPr>
            <w:r w:rsidRPr="002945C6">
              <w:rPr>
                <w:rFonts w:ascii="Arial" w:eastAsia="Times New Roman" w:hAnsi="Arial" w:cs="Arial"/>
                <w:b/>
                <w:bCs/>
                <w:color w:val="FFFFFF"/>
                <w:lang w:eastAsia="fr-FR"/>
              </w:rPr>
              <w:t>2011</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2945C6" w:rsidRDefault="0079770C" w:rsidP="0079770C">
            <w:pPr>
              <w:jc w:val="center"/>
              <w:rPr>
                <w:rFonts w:ascii="Arial" w:eastAsia="Times New Roman" w:hAnsi="Arial" w:cs="Arial"/>
                <w:b/>
                <w:bCs/>
                <w:color w:val="FFFFFF"/>
                <w:lang w:eastAsia="fr-FR"/>
              </w:rPr>
            </w:pPr>
            <w:r w:rsidRPr="002945C6">
              <w:rPr>
                <w:rFonts w:ascii="Arial" w:eastAsia="Times New Roman" w:hAnsi="Arial" w:cs="Arial"/>
                <w:b/>
                <w:bCs/>
                <w:color w:val="FFFFFF"/>
                <w:lang w:eastAsia="fr-FR"/>
              </w:rPr>
              <w:t>2012</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2945C6" w:rsidRDefault="0079770C" w:rsidP="0079770C">
            <w:pPr>
              <w:jc w:val="center"/>
              <w:rPr>
                <w:rFonts w:ascii="Arial" w:eastAsia="Times New Roman" w:hAnsi="Arial" w:cs="Arial"/>
                <w:b/>
                <w:bCs/>
                <w:color w:val="FFFFFF"/>
                <w:lang w:eastAsia="fr-FR"/>
              </w:rPr>
            </w:pPr>
            <w:r w:rsidRPr="002945C6">
              <w:rPr>
                <w:rFonts w:ascii="Arial" w:eastAsia="Times New Roman" w:hAnsi="Arial" w:cs="Arial"/>
                <w:b/>
                <w:bCs/>
                <w:color w:val="FFFFFF"/>
                <w:lang w:eastAsia="fr-FR"/>
              </w:rPr>
              <w:t>2013</w:t>
            </w:r>
          </w:p>
        </w:tc>
      </w:tr>
      <w:tr w:rsidR="0079770C" w:rsidRPr="002945C6" w:rsidTr="0079770C">
        <w:trPr>
          <w:trHeight w:val="280"/>
          <w:jc w:val="center"/>
        </w:trPr>
        <w:tc>
          <w:tcPr>
            <w:tcW w:w="246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2945C6" w:rsidRDefault="0079770C" w:rsidP="0079770C">
            <w:pPr>
              <w:jc w:val="center"/>
              <w:rPr>
                <w:rFonts w:ascii="Arial" w:eastAsia="Times New Roman" w:hAnsi="Arial" w:cs="Arial"/>
                <w:lang w:eastAsia="fr-FR"/>
              </w:rPr>
            </w:pPr>
            <w:r w:rsidRPr="002945C6">
              <w:rPr>
                <w:rFonts w:ascii="Arial" w:eastAsia="Times New Roman" w:hAnsi="Arial" w:cs="Arial"/>
                <w:lang w:eastAsia="fr-FR"/>
              </w:rPr>
              <w:t>Nombre de stagiaires</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2945C6" w:rsidRDefault="0079770C" w:rsidP="0079770C">
            <w:pPr>
              <w:jc w:val="center"/>
              <w:rPr>
                <w:rFonts w:ascii="Arial" w:eastAsia="Times New Roman" w:hAnsi="Arial" w:cs="Arial"/>
                <w:lang w:eastAsia="fr-FR"/>
              </w:rPr>
            </w:pPr>
            <w:r w:rsidRPr="002945C6">
              <w:rPr>
                <w:rFonts w:ascii="Arial" w:eastAsia="Times New Roman" w:hAnsi="Arial" w:cs="Arial"/>
                <w:lang w:eastAsia="fr-FR"/>
              </w:rPr>
              <w:t>31 546</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2945C6" w:rsidRDefault="0079770C" w:rsidP="0079770C">
            <w:pPr>
              <w:jc w:val="center"/>
              <w:rPr>
                <w:rFonts w:ascii="Arial" w:eastAsia="Times New Roman" w:hAnsi="Arial" w:cs="Arial"/>
                <w:lang w:eastAsia="fr-FR"/>
              </w:rPr>
            </w:pPr>
            <w:r w:rsidRPr="002945C6">
              <w:rPr>
                <w:rFonts w:ascii="Arial" w:eastAsia="Times New Roman" w:hAnsi="Arial" w:cs="Arial"/>
                <w:lang w:eastAsia="fr-FR"/>
              </w:rPr>
              <w:t>31 589</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2945C6" w:rsidRDefault="0079770C" w:rsidP="0079770C">
            <w:pPr>
              <w:jc w:val="center"/>
              <w:rPr>
                <w:rFonts w:ascii="Arial" w:eastAsia="Times New Roman" w:hAnsi="Arial" w:cs="Arial"/>
                <w:lang w:eastAsia="fr-FR"/>
              </w:rPr>
            </w:pPr>
            <w:r w:rsidRPr="002945C6">
              <w:rPr>
                <w:rFonts w:ascii="Arial" w:eastAsia="Times New Roman" w:hAnsi="Arial" w:cs="Arial"/>
                <w:lang w:eastAsia="fr-FR"/>
              </w:rPr>
              <w:t>29 234</w:t>
            </w:r>
          </w:p>
        </w:tc>
      </w:tr>
    </w:tbl>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79770C" w:rsidRDefault="0079770C" w:rsidP="0079770C">
      <w:pPr>
        <w:pStyle w:val="western"/>
        <w:spacing w:before="0" w:beforeAutospacing="0"/>
        <w:jc w:val="both"/>
        <w:rPr>
          <w:sz w:val="22"/>
          <w:szCs w:val="22"/>
        </w:rPr>
      </w:pPr>
      <w:r w:rsidRPr="0079770C">
        <w:rPr>
          <w:sz w:val="22"/>
          <w:szCs w:val="22"/>
        </w:rPr>
        <w:t>Le nombre de stagiaires a connu en 2013 une diminution sensible (-7 % par rapport à 2012). Cette évolution est contrastée selon les structures : si le nombre de stagiaires est en légère progression au global pour les directions générales, il fléchit en revanche au sein du secrétariat général, et de manière plus importante encore dans les établissements publics et surtout dans les DRAC.</w:t>
      </w:r>
    </w:p>
    <w:p w:rsidR="0079770C" w:rsidRPr="001D30C7" w:rsidRDefault="0079770C" w:rsidP="0079770C">
      <w:pPr>
        <w:jc w:val="center"/>
        <w:rPr>
          <w:rFonts w:ascii="Cambria" w:eastAsia="Cambria" w:hAnsi="Cambria" w:cs="Times"/>
          <w:i/>
          <w:iCs/>
          <w:szCs w:val="20"/>
        </w:rPr>
      </w:pPr>
    </w:p>
    <w:p w:rsidR="0079770C" w:rsidRPr="001D30C7" w:rsidRDefault="0079770C" w:rsidP="0079770C">
      <w:pPr>
        <w:jc w:val="center"/>
        <w:rPr>
          <w:rFonts w:ascii="Arial" w:eastAsia="Cambria" w:hAnsi="Arial" w:cs="Times"/>
          <w:b/>
          <w:iCs/>
          <w:szCs w:val="20"/>
        </w:rPr>
      </w:pPr>
      <w:r w:rsidRPr="00DA35BA">
        <w:rPr>
          <w:noProof/>
          <w:lang w:eastAsia="fr-FR"/>
        </w:rPr>
        <w:drawing>
          <wp:anchor distT="0" distB="0" distL="114300" distR="114300" simplePos="0" relativeHeight="251843584" behindDoc="1" locked="0" layoutInCell="1" allowOverlap="1" wp14:anchorId="2899763C" wp14:editId="225998B8">
            <wp:simplePos x="0" y="0"/>
            <wp:positionH relativeFrom="margin">
              <wp:align>center</wp:align>
            </wp:positionH>
            <wp:positionV relativeFrom="paragraph">
              <wp:posOffset>330835</wp:posOffset>
            </wp:positionV>
            <wp:extent cx="6852216" cy="1377950"/>
            <wp:effectExtent l="0" t="0" r="6350" b="0"/>
            <wp:wrapTight wrapText="bothSides">
              <wp:wrapPolygon edited="0">
                <wp:start x="0" y="0"/>
                <wp:lineTo x="0" y="21202"/>
                <wp:lineTo x="21560" y="21202"/>
                <wp:lineTo x="21560" y="16125"/>
                <wp:lineTo x="20539" y="14334"/>
                <wp:lineTo x="21560" y="14334"/>
                <wp:lineTo x="21560" y="0"/>
                <wp:lineTo x="0" y="0"/>
              </wp:wrapPolygon>
            </wp:wrapTight>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852216" cy="137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0C7">
        <w:rPr>
          <w:rFonts w:ascii="Arial" w:eastAsia="Cambria" w:hAnsi="Arial" w:cs="Times"/>
          <w:b/>
          <w:iCs/>
          <w:szCs w:val="20"/>
        </w:rPr>
        <w:t>Répartition des stagiaires par catégorie et structure formatrice</w:t>
      </w:r>
    </w:p>
    <w:p w:rsidR="0079770C" w:rsidRPr="0079770C" w:rsidRDefault="0079770C" w:rsidP="0079770C">
      <w:pPr>
        <w:pStyle w:val="western"/>
        <w:spacing w:before="0" w:beforeAutospacing="0"/>
        <w:jc w:val="both"/>
        <w:rPr>
          <w:sz w:val="22"/>
          <w:szCs w:val="22"/>
        </w:rPr>
      </w:pPr>
      <w:r w:rsidRPr="0079770C">
        <w:rPr>
          <w:sz w:val="22"/>
          <w:szCs w:val="22"/>
        </w:rPr>
        <w:t>Près des deux tiers des stagiaires relèvent de l'activité de formation des établissements publics soit 65 %. Les stagiaires relevant de l'offre du secrétariat général représentent 16 % de l'ensemble.</w:t>
      </w:r>
    </w:p>
    <w:p w:rsidR="0079770C" w:rsidRPr="0079770C" w:rsidRDefault="0079770C" w:rsidP="0079770C">
      <w:pPr>
        <w:pStyle w:val="western"/>
        <w:spacing w:before="0" w:beforeAutospacing="0"/>
        <w:jc w:val="both"/>
        <w:rPr>
          <w:sz w:val="22"/>
          <w:szCs w:val="22"/>
        </w:rPr>
      </w:pPr>
      <w:r w:rsidRPr="0079770C">
        <w:rPr>
          <w:sz w:val="22"/>
          <w:szCs w:val="22"/>
        </w:rPr>
        <w:t>Entre 2012 et 2013, on observe dans l'évolution du bilan ministériel de la formation les variations suivantes :</w:t>
      </w:r>
    </w:p>
    <w:p w:rsidR="0079770C" w:rsidRPr="0079770C" w:rsidRDefault="0079770C" w:rsidP="0034289D">
      <w:pPr>
        <w:pStyle w:val="western"/>
        <w:numPr>
          <w:ilvl w:val="0"/>
          <w:numId w:val="23"/>
        </w:numPr>
        <w:spacing w:before="0" w:beforeAutospacing="0" w:after="0"/>
        <w:jc w:val="both"/>
        <w:rPr>
          <w:sz w:val="22"/>
          <w:szCs w:val="22"/>
        </w:rPr>
      </w:pPr>
      <w:r w:rsidRPr="0079770C">
        <w:rPr>
          <w:sz w:val="22"/>
          <w:szCs w:val="22"/>
        </w:rPr>
        <w:t xml:space="preserve">7% du nombre de stagiaires formés </w:t>
      </w:r>
    </w:p>
    <w:p w:rsidR="0079770C" w:rsidRPr="0079770C" w:rsidRDefault="0079770C" w:rsidP="0034289D">
      <w:pPr>
        <w:pStyle w:val="western"/>
        <w:numPr>
          <w:ilvl w:val="0"/>
          <w:numId w:val="23"/>
        </w:numPr>
        <w:spacing w:before="0" w:beforeAutospacing="0" w:after="0"/>
        <w:jc w:val="both"/>
        <w:rPr>
          <w:sz w:val="22"/>
          <w:szCs w:val="22"/>
        </w:rPr>
      </w:pPr>
      <w:r w:rsidRPr="0079770C">
        <w:rPr>
          <w:sz w:val="22"/>
          <w:szCs w:val="22"/>
        </w:rPr>
        <w:t xml:space="preserve">+5% du nombre cumulé des journées de formation </w:t>
      </w:r>
    </w:p>
    <w:p w:rsidR="0079770C" w:rsidRPr="0079770C" w:rsidRDefault="0079770C" w:rsidP="0034289D">
      <w:pPr>
        <w:pStyle w:val="western"/>
        <w:numPr>
          <w:ilvl w:val="0"/>
          <w:numId w:val="23"/>
        </w:numPr>
        <w:spacing w:before="0" w:beforeAutospacing="0" w:after="0"/>
        <w:jc w:val="both"/>
        <w:rPr>
          <w:sz w:val="22"/>
          <w:szCs w:val="22"/>
        </w:rPr>
      </w:pPr>
      <w:r w:rsidRPr="0079770C">
        <w:rPr>
          <w:sz w:val="22"/>
          <w:szCs w:val="22"/>
        </w:rPr>
        <w:t xml:space="preserve">+1% du coût total des formations. </w:t>
      </w:r>
    </w:p>
    <w:p w:rsidR="0079770C" w:rsidRPr="0079770C" w:rsidRDefault="0079770C" w:rsidP="0079770C">
      <w:pPr>
        <w:pStyle w:val="western"/>
        <w:spacing w:before="0" w:beforeAutospacing="0" w:after="0"/>
        <w:jc w:val="both"/>
        <w:rPr>
          <w:sz w:val="22"/>
          <w:szCs w:val="22"/>
        </w:rPr>
      </w:pPr>
    </w:p>
    <w:p w:rsidR="0079770C" w:rsidRPr="0079770C" w:rsidRDefault="0079770C" w:rsidP="0079770C">
      <w:pPr>
        <w:pStyle w:val="western"/>
        <w:spacing w:before="0" w:beforeAutospacing="0"/>
        <w:jc w:val="both"/>
        <w:rPr>
          <w:sz w:val="22"/>
          <w:szCs w:val="22"/>
        </w:rPr>
      </w:pPr>
      <w:r w:rsidRPr="0079770C">
        <w:rPr>
          <w:sz w:val="22"/>
          <w:szCs w:val="22"/>
        </w:rPr>
        <w:t xml:space="preserve">L'évolution contrastée du nombre de stagiaires et de journées de formation s'explique majoritairement par la durée des formations suivies, qui a eu tendance à s’accroître en 2013. Ainsi, si les effectifs de stagiaires ont été nettement moins nombreux sur les stages courts </w:t>
      </w:r>
      <w:r w:rsidRPr="0079770C">
        <w:rPr>
          <w:sz w:val="22"/>
          <w:szCs w:val="22"/>
        </w:rPr>
        <w:br/>
        <w:t>(1 ou 2 jours), ils se sont en revanche maintenus voire accrus sur les formations plus longues.</w:t>
      </w:r>
    </w:p>
    <w:p w:rsidR="0079770C" w:rsidRPr="001D30C7" w:rsidRDefault="0079770C" w:rsidP="0079770C">
      <w:pPr>
        <w:jc w:val="center"/>
        <w:rPr>
          <w:rFonts w:ascii="Arial" w:eastAsia="Cambria" w:hAnsi="Arial" w:cs="Times"/>
          <w:b/>
          <w:iCs/>
          <w:szCs w:val="20"/>
        </w:rPr>
      </w:pPr>
      <w:r w:rsidRPr="002654C6">
        <w:rPr>
          <w:noProof/>
          <w:lang w:eastAsia="fr-FR"/>
        </w:rPr>
        <w:lastRenderedPageBreak/>
        <w:drawing>
          <wp:anchor distT="0" distB="0" distL="114300" distR="114300" simplePos="0" relativeHeight="251844608" behindDoc="1" locked="0" layoutInCell="1" allowOverlap="1" wp14:anchorId="624488CF" wp14:editId="7A414F5A">
            <wp:simplePos x="0" y="0"/>
            <wp:positionH relativeFrom="margin">
              <wp:posOffset>-309245</wp:posOffset>
            </wp:positionH>
            <wp:positionV relativeFrom="paragraph">
              <wp:posOffset>333375</wp:posOffset>
            </wp:positionV>
            <wp:extent cx="6214745" cy="3981450"/>
            <wp:effectExtent l="0" t="0" r="0" b="0"/>
            <wp:wrapTight wrapText="bothSides">
              <wp:wrapPolygon edited="0">
                <wp:start x="0" y="0"/>
                <wp:lineTo x="0" y="21497"/>
                <wp:lineTo x="21518" y="21497"/>
                <wp:lineTo x="21518" y="20463"/>
                <wp:lineTo x="20922" y="19843"/>
                <wp:lineTo x="21518" y="19740"/>
                <wp:lineTo x="21518" y="18603"/>
                <wp:lineTo x="21121" y="18189"/>
                <wp:lineTo x="21518" y="17673"/>
                <wp:lineTo x="21518" y="16639"/>
                <wp:lineTo x="21121" y="16536"/>
                <wp:lineTo x="21518" y="16122"/>
                <wp:lineTo x="21518" y="13849"/>
                <wp:lineTo x="20922" y="13229"/>
                <wp:lineTo x="21518" y="13125"/>
                <wp:lineTo x="21518" y="12092"/>
                <wp:lineTo x="20989" y="11575"/>
                <wp:lineTo x="21518" y="11265"/>
                <wp:lineTo x="21518" y="10232"/>
                <wp:lineTo x="21253" y="9922"/>
                <wp:lineTo x="21518" y="9301"/>
                <wp:lineTo x="21518" y="5581"/>
                <wp:lineTo x="21187" y="4961"/>
                <wp:lineTo x="21518" y="4547"/>
                <wp:lineTo x="21518" y="0"/>
                <wp:lineTo x="0" y="0"/>
              </wp:wrapPolygon>
            </wp:wrapTight>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14745" cy="3981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0C7">
        <w:rPr>
          <w:rFonts w:ascii="Arial" w:eastAsia="Cambria" w:hAnsi="Arial" w:cs="Times"/>
          <w:b/>
          <w:iCs/>
          <w:szCs w:val="20"/>
        </w:rPr>
        <w:t>Répartition et évolution des stagiaires par domaine de formation</w:t>
      </w:r>
    </w:p>
    <w:p w:rsidR="0079770C" w:rsidRPr="0079770C" w:rsidRDefault="0079770C" w:rsidP="0079770C">
      <w:pPr>
        <w:pStyle w:val="western"/>
        <w:spacing w:before="0" w:beforeAutospacing="0"/>
        <w:jc w:val="both"/>
        <w:rPr>
          <w:sz w:val="22"/>
          <w:szCs w:val="22"/>
        </w:rPr>
      </w:pPr>
      <w:r w:rsidRPr="0079770C">
        <w:rPr>
          <w:sz w:val="22"/>
          <w:szCs w:val="22"/>
        </w:rPr>
        <w:t>L'évolution négative globale est ainsi contrastée selon les domaines, mais on observe des diminutions notables dans les domaines traditionnellement porteurs d'effectifs importants de stagiaires : les métiers de la culture, la bureautique-informatique, l'hygiène et la sécurité, qui influent donc fortement sur le résultat d'ensemble.</w:t>
      </w:r>
    </w:p>
    <w:p w:rsidR="0079770C" w:rsidRPr="0079770C" w:rsidRDefault="0079770C" w:rsidP="0079770C">
      <w:pPr>
        <w:pStyle w:val="western"/>
        <w:spacing w:before="0" w:beforeAutospacing="0" w:after="0"/>
        <w:jc w:val="both"/>
        <w:rPr>
          <w:sz w:val="22"/>
          <w:szCs w:val="22"/>
        </w:rPr>
      </w:pPr>
      <w:r w:rsidRPr="0079770C">
        <w:rPr>
          <w:sz w:val="22"/>
          <w:szCs w:val="22"/>
        </w:rPr>
        <w:t xml:space="preserve">L'augmentation des dépenses est directement liée à l'augmentation de la durée moyenne des formations, phénomène potentiellement amplifié par l'augmentation du taux de TVA au </w:t>
      </w:r>
      <w:r w:rsidRPr="0079770C">
        <w:rPr>
          <w:sz w:val="22"/>
          <w:szCs w:val="22"/>
        </w:rPr>
        <w:br/>
        <w:t>1</w:t>
      </w:r>
      <w:r w:rsidRPr="0079770C">
        <w:rPr>
          <w:sz w:val="22"/>
          <w:szCs w:val="22"/>
          <w:vertAlign w:val="superscript"/>
        </w:rPr>
        <w:t>er</w:t>
      </w:r>
      <w:r w:rsidRPr="0079770C">
        <w:rPr>
          <w:sz w:val="22"/>
          <w:szCs w:val="22"/>
        </w:rPr>
        <w:t xml:space="preserve"> janvier 2014. </w:t>
      </w:r>
    </w:p>
    <w:p w:rsidR="0079770C" w:rsidRPr="0079770C" w:rsidRDefault="0079770C" w:rsidP="0079770C">
      <w:pPr>
        <w:pStyle w:val="western"/>
        <w:spacing w:before="0" w:beforeAutospacing="0"/>
        <w:jc w:val="both"/>
        <w:rPr>
          <w:sz w:val="22"/>
          <w:szCs w:val="22"/>
        </w:rPr>
      </w:pPr>
      <w:r w:rsidRPr="0079770C">
        <w:rPr>
          <w:sz w:val="22"/>
          <w:szCs w:val="22"/>
        </w:rPr>
        <w:t>On observe ainsi que la hausse globale de 55 000 € est imputable aux coûts pédagogiques, en augmentation de 67 000 €, alors que les frais de mission (défraiement des stagiaires et le cas échéant des formateurs) ont sur la même période baissé de 12 000 €.</w:t>
      </w:r>
    </w:p>
    <w:p w:rsidR="0079770C" w:rsidRPr="004B4ECF" w:rsidRDefault="0079770C" w:rsidP="0079770C">
      <w:pPr>
        <w:jc w:val="both"/>
        <w:rPr>
          <w:rFonts w:ascii="Cambria" w:eastAsia="Cambria" w:hAnsi="Cambria" w:cs="Times"/>
          <w:iCs/>
          <w:szCs w:val="20"/>
        </w:rPr>
      </w:pPr>
    </w:p>
    <w:p w:rsidR="0079770C" w:rsidRPr="004B4ECF" w:rsidRDefault="0079770C" w:rsidP="0079770C">
      <w:pPr>
        <w:jc w:val="both"/>
        <w:rPr>
          <w:rFonts w:ascii="Cambria" w:eastAsia="Cambria" w:hAnsi="Cambria" w:cs="Times"/>
          <w:iCs/>
          <w:szCs w:val="20"/>
        </w:rPr>
      </w:pPr>
    </w:p>
    <w:p w:rsidR="0079770C" w:rsidRPr="004B4ECF" w:rsidRDefault="0079770C" w:rsidP="0079770C">
      <w:pPr>
        <w:jc w:val="both"/>
        <w:rPr>
          <w:rFonts w:ascii="Cambria" w:eastAsia="Cambria" w:hAnsi="Cambria" w:cs="Times"/>
          <w:iCs/>
          <w:szCs w:val="20"/>
        </w:rPr>
      </w:pPr>
    </w:p>
    <w:p w:rsidR="0079770C" w:rsidRDefault="0079770C" w:rsidP="0079770C">
      <w:pPr>
        <w:rPr>
          <w:rFonts w:ascii="Cambria" w:eastAsia="Cambria" w:hAnsi="Cambria" w:cs="Times"/>
          <w:iCs/>
          <w:szCs w:val="20"/>
        </w:rPr>
      </w:pPr>
      <w:r>
        <w:rPr>
          <w:rFonts w:ascii="Cambria" w:eastAsia="Cambria" w:hAnsi="Cambria" w:cs="Times"/>
          <w:iCs/>
          <w:szCs w:val="20"/>
        </w:rPr>
        <w:br w:type="page"/>
      </w:r>
    </w:p>
    <w:p w:rsidR="0079770C" w:rsidRPr="004B4ECF" w:rsidRDefault="0079770C" w:rsidP="0079770C">
      <w:pPr>
        <w:jc w:val="both"/>
        <w:rPr>
          <w:rFonts w:ascii="Cambria" w:eastAsia="Cambria" w:hAnsi="Cambria" w:cs="Times"/>
          <w:iCs/>
          <w:szCs w:val="20"/>
        </w:rPr>
      </w:pPr>
    </w:p>
    <w:p w:rsidR="0079770C" w:rsidRPr="009F6D4E" w:rsidRDefault="0079770C" w:rsidP="0079770C">
      <w:pPr>
        <w:rPr>
          <w:rFonts w:ascii="Florencesans Exp" w:eastAsia="Cambria" w:hAnsi="Florencesans Exp" w:cs="Times New Roman"/>
        </w:rPr>
      </w:pPr>
      <w:r w:rsidRPr="009F6D4E">
        <w:rPr>
          <w:rFonts w:ascii="Florencesans Exp" w:eastAsia="Cambria" w:hAnsi="Florencesans Exp" w:cs="Times New Roman"/>
        </w:rPr>
        <w:t>6. A. 3. JOURS ET DUREE DE FORMATION</w:t>
      </w:r>
    </w:p>
    <w:p w:rsidR="0079770C" w:rsidRPr="001D30C7" w:rsidRDefault="0079770C" w:rsidP="0079770C">
      <w:pPr>
        <w:rPr>
          <w:rFonts w:ascii="BlairMdITC TT-Medium" w:eastAsia="Cambria" w:hAnsi="BlairMdITC TT-Medium" w:cs="Times New Roman"/>
        </w:rPr>
      </w:pPr>
    </w:p>
    <w:p w:rsidR="0079770C" w:rsidRPr="001D30C7" w:rsidRDefault="0079770C" w:rsidP="0079770C">
      <w:pPr>
        <w:jc w:val="center"/>
        <w:rPr>
          <w:rFonts w:ascii="Arial" w:eastAsia="Cambria" w:hAnsi="Arial" w:cs="Times"/>
          <w:b/>
          <w:iCs/>
          <w:szCs w:val="20"/>
        </w:rPr>
      </w:pPr>
      <w:r w:rsidRPr="001D30C7">
        <w:rPr>
          <w:rFonts w:ascii="Arial" w:eastAsia="Cambria" w:hAnsi="Arial" w:cs="Times"/>
          <w:b/>
          <w:iCs/>
          <w:szCs w:val="20"/>
        </w:rPr>
        <w:t>Evolution du nombre d</w:t>
      </w:r>
      <w:r>
        <w:rPr>
          <w:rFonts w:ascii="Arial" w:eastAsia="Cambria" w:hAnsi="Arial" w:cs="Times"/>
          <w:b/>
          <w:iCs/>
          <w:szCs w:val="20"/>
        </w:rPr>
        <w:t>e jours de formation depuis 2010</w:t>
      </w:r>
    </w:p>
    <w:p w:rsidR="0079770C" w:rsidRPr="001D30C7" w:rsidRDefault="0079770C" w:rsidP="0079770C">
      <w:pPr>
        <w:jc w:val="center"/>
        <w:rPr>
          <w:rFonts w:ascii="Cambria" w:eastAsia="Cambria" w:hAnsi="Cambria" w:cs="Times"/>
          <w:i/>
          <w:iCs/>
          <w:szCs w:val="20"/>
        </w:rPr>
      </w:pPr>
    </w:p>
    <w:tbl>
      <w:tblPr>
        <w:tblW w:w="7580" w:type="dxa"/>
        <w:jc w:val="center"/>
        <w:tblCellMar>
          <w:left w:w="70" w:type="dxa"/>
          <w:right w:w="70" w:type="dxa"/>
        </w:tblCellMar>
        <w:tblLook w:val="04A0" w:firstRow="1" w:lastRow="0" w:firstColumn="1" w:lastColumn="0" w:noHBand="0" w:noVBand="1"/>
      </w:tblPr>
      <w:tblGrid>
        <w:gridCol w:w="2460"/>
        <w:gridCol w:w="1280"/>
        <w:gridCol w:w="1280"/>
        <w:gridCol w:w="1280"/>
        <w:gridCol w:w="1280"/>
      </w:tblGrid>
      <w:tr w:rsidR="0079770C" w:rsidRPr="00B272E8" w:rsidTr="0079770C">
        <w:trPr>
          <w:trHeight w:val="280"/>
          <w:jc w:val="center"/>
        </w:trPr>
        <w:tc>
          <w:tcPr>
            <w:tcW w:w="246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rPr>
                <w:rFonts w:ascii="Times New Roman" w:eastAsia="Times New Roman" w:hAnsi="Times New Roman" w:cs="Times New Roman"/>
                <w:b/>
                <w:bCs/>
                <w:lang w:eastAsia="fr-FR"/>
              </w:rPr>
            </w:pPr>
            <w:r w:rsidRPr="00B272E8">
              <w:rPr>
                <w:rFonts w:ascii="Times New Roman" w:eastAsia="Times New Roman" w:hAnsi="Times New Roman" w:cs="Times New Roman"/>
                <w:b/>
                <w:bCs/>
                <w:lang w:eastAsia="fr-FR"/>
              </w:rPr>
              <w:t> </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272E8" w:rsidRDefault="0079770C" w:rsidP="0079770C">
            <w:pPr>
              <w:jc w:val="center"/>
              <w:rPr>
                <w:rFonts w:ascii="Arial" w:eastAsia="Times New Roman" w:hAnsi="Arial" w:cs="Arial"/>
                <w:b/>
                <w:bCs/>
                <w:color w:val="FFFFFF"/>
                <w:lang w:eastAsia="fr-FR"/>
              </w:rPr>
            </w:pPr>
            <w:r w:rsidRPr="00B272E8">
              <w:rPr>
                <w:rFonts w:ascii="Arial" w:eastAsia="Times New Roman" w:hAnsi="Arial" w:cs="Arial"/>
                <w:b/>
                <w:bCs/>
                <w:color w:val="FFFFFF"/>
                <w:lang w:eastAsia="fr-FR"/>
              </w:rPr>
              <w:t>2010</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272E8" w:rsidRDefault="0079770C" w:rsidP="0079770C">
            <w:pPr>
              <w:jc w:val="center"/>
              <w:rPr>
                <w:rFonts w:ascii="Arial" w:eastAsia="Times New Roman" w:hAnsi="Arial" w:cs="Arial"/>
                <w:b/>
                <w:bCs/>
                <w:color w:val="FFFFFF"/>
                <w:lang w:eastAsia="fr-FR"/>
              </w:rPr>
            </w:pPr>
            <w:r w:rsidRPr="00B272E8">
              <w:rPr>
                <w:rFonts w:ascii="Arial" w:eastAsia="Times New Roman" w:hAnsi="Arial" w:cs="Arial"/>
                <w:b/>
                <w:bCs/>
                <w:color w:val="FFFFFF"/>
                <w:lang w:eastAsia="fr-FR"/>
              </w:rPr>
              <w:t>2011</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272E8" w:rsidRDefault="0079770C" w:rsidP="0079770C">
            <w:pPr>
              <w:jc w:val="center"/>
              <w:rPr>
                <w:rFonts w:ascii="Arial" w:eastAsia="Times New Roman" w:hAnsi="Arial" w:cs="Arial"/>
                <w:b/>
                <w:bCs/>
                <w:color w:val="FFFFFF"/>
                <w:lang w:eastAsia="fr-FR"/>
              </w:rPr>
            </w:pPr>
            <w:r w:rsidRPr="00B272E8">
              <w:rPr>
                <w:rFonts w:ascii="Arial" w:eastAsia="Times New Roman" w:hAnsi="Arial" w:cs="Arial"/>
                <w:b/>
                <w:bCs/>
                <w:color w:val="FFFFFF"/>
                <w:lang w:eastAsia="fr-FR"/>
              </w:rPr>
              <w:t>2012</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272E8" w:rsidRDefault="0079770C" w:rsidP="0079770C">
            <w:pPr>
              <w:jc w:val="center"/>
              <w:rPr>
                <w:rFonts w:ascii="Arial" w:eastAsia="Times New Roman" w:hAnsi="Arial" w:cs="Arial"/>
                <w:b/>
                <w:bCs/>
                <w:color w:val="FFFFFF"/>
                <w:lang w:eastAsia="fr-FR"/>
              </w:rPr>
            </w:pPr>
            <w:r w:rsidRPr="00B272E8">
              <w:rPr>
                <w:rFonts w:ascii="Arial" w:eastAsia="Times New Roman" w:hAnsi="Arial" w:cs="Arial"/>
                <w:b/>
                <w:bCs/>
                <w:color w:val="FFFFFF"/>
                <w:lang w:eastAsia="fr-FR"/>
              </w:rPr>
              <w:t>2013</w:t>
            </w:r>
          </w:p>
        </w:tc>
      </w:tr>
      <w:tr w:rsidR="0079770C" w:rsidRPr="00B272E8" w:rsidTr="0079770C">
        <w:trPr>
          <w:trHeight w:val="280"/>
          <w:jc w:val="center"/>
        </w:trPr>
        <w:tc>
          <w:tcPr>
            <w:tcW w:w="246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B272E8" w:rsidRDefault="0079770C" w:rsidP="0079770C">
            <w:pPr>
              <w:rPr>
                <w:rFonts w:ascii="Arial" w:eastAsia="Times New Roman" w:hAnsi="Arial" w:cs="Arial"/>
                <w:lang w:eastAsia="fr-FR"/>
              </w:rPr>
            </w:pPr>
            <w:r w:rsidRPr="00B272E8">
              <w:rPr>
                <w:rFonts w:ascii="Arial" w:eastAsia="Times New Roman" w:hAnsi="Arial" w:cs="Arial"/>
                <w:lang w:eastAsia="fr-FR"/>
              </w:rPr>
              <w:t>Nombre de jours</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jc w:val="center"/>
              <w:rPr>
                <w:rFonts w:ascii="Arial" w:eastAsia="Times New Roman" w:hAnsi="Arial" w:cs="Arial"/>
                <w:lang w:eastAsia="fr-FR"/>
              </w:rPr>
            </w:pPr>
            <w:r w:rsidRPr="00B272E8">
              <w:rPr>
                <w:rFonts w:ascii="Arial" w:eastAsia="Times New Roman" w:hAnsi="Arial" w:cs="Arial"/>
                <w:lang w:eastAsia="fr-FR"/>
              </w:rPr>
              <w:t>84 991</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jc w:val="center"/>
              <w:rPr>
                <w:rFonts w:ascii="Arial" w:eastAsia="Times New Roman" w:hAnsi="Arial" w:cs="Arial"/>
                <w:lang w:eastAsia="fr-FR"/>
              </w:rPr>
            </w:pPr>
            <w:r w:rsidRPr="00B272E8">
              <w:rPr>
                <w:rFonts w:ascii="Arial" w:eastAsia="Times New Roman" w:hAnsi="Arial" w:cs="Arial"/>
                <w:lang w:eastAsia="fr-FR"/>
              </w:rPr>
              <w:t>78 770</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jc w:val="center"/>
              <w:rPr>
                <w:rFonts w:ascii="Arial" w:eastAsia="Times New Roman" w:hAnsi="Arial" w:cs="Arial"/>
                <w:lang w:eastAsia="fr-FR"/>
              </w:rPr>
            </w:pPr>
            <w:r w:rsidRPr="00B272E8">
              <w:rPr>
                <w:rFonts w:ascii="Arial" w:eastAsia="Times New Roman" w:hAnsi="Arial" w:cs="Arial"/>
                <w:lang w:eastAsia="fr-FR"/>
              </w:rPr>
              <w:t>79 593</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jc w:val="center"/>
              <w:rPr>
                <w:rFonts w:ascii="Arial" w:eastAsia="Times New Roman" w:hAnsi="Arial" w:cs="Arial"/>
                <w:lang w:eastAsia="fr-FR"/>
              </w:rPr>
            </w:pPr>
            <w:r w:rsidRPr="00B272E8">
              <w:rPr>
                <w:rFonts w:ascii="Arial" w:eastAsia="Times New Roman" w:hAnsi="Arial" w:cs="Arial"/>
                <w:lang w:eastAsia="fr-FR"/>
              </w:rPr>
              <w:t>83 459</w:t>
            </w:r>
          </w:p>
        </w:tc>
      </w:tr>
      <w:tr w:rsidR="0079770C" w:rsidRPr="00B272E8" w:rsidTr="0079770C">
        <w:trPr>
          <w:trHeight w:val="280"/>
          <w:jc w:val="center"/>
        </w:trPr>
        <w:tc>
          <w:tcPr>
            <w:tcW w:w="246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B272E8" w:rsidRDefault="0079770C" w:rsidP="0079770C">
            <w:pPr>
              <w:rPr>
                <w:rFonts w:ascii="Arial" w:eastAsia="Times New Roman" w:hAnsi="Arial" w:cs="Arial"/>
                <w:lang w:eastAsia="fr-FR"/>
              </w:rPr>
            </w:pPr>
            <w:r w:rsidRPr="00B272E8">
              <w:rPr>
                <w:rFonts w:ascii="Arial" w:eastAsia="Times New Roman" w:hAnsi="Arial" w:cs="Arial"/>
                <w:lang w:eastAsia="fr-FR"/>
              </w:rPr>
              <w:t>Variation</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jc w:val="center"/>
              <w:rPr>
                <w:rFonts w:ascii="Arial" w:eastAsia="Times New Roman" w:hAnsi="Arial" w:cs="Arial"/>
                <w:lang w:eastAsia="fr-FR"/>
              </w:rPr>
            </w:pPr>
            <w:r w:rsidRPr="00B272E8">
              <w:rPr>
                <w:rFonts w:ascii="Arial" w:eastAsia="Times New Roman" w:hAnsi="Arial" w:cs="Arial"/>
                <w:lang w:eastAsia="fr-FR"/>
              </w:rPr>
              <w:t> </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jc w:val="center"/>
              <w:rPr>
                <w:rFonts w:ascii="Arial" w:eastAsia="Times New Roman" w:hAnsi="Arial" w:cs="Arial"/>
                <w:lang w:eastAsia="fr-FR"/>
              </w:rPr>
            </w:pPr>
            <w:r w:rsidRPr="00B272E8">
              <w:rPr>
                <w:rFonts w:ascii="Arial" w:eastAsia="Times New Roman" w:hAnsi="Arial" w:cs="Arial"/>
                <w:lang w:eastAsia="fr-FR"/>
              </w:rPr>
              <w:t>-7%</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jc w:val="center"/>
              <w:rPr>
                <w:rFonts w:ascii="Arial" w:eastAsia="Times New Roman" w:hAnsi="Arial" w:cs="Arial"/>
                <w:lang w:eastAsia="fr-FR"/>
              </w:rPr>
            </w:pPr>
            <w:r w:rsidRPr="00B272E8">
              <w:rPr>
                <w:rFonts w:ascii="Arial" w:eastAsia="Times New Roman" w:hAnsi="Arial" w:cs="Arial"/>
                <w:lang w:eastAsia="fr-FR"/>
              </w:rPr>
              <w:t>1%</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272E8" w:rsidRDefault="0079770C" w:rsidP="0079770C">
            <w:pPr>
              <w:jc w:val="center"/>
              <w:rPr>
                <w:rFonts w:ascii="Arial" w:eastAsia="Times New Roman" w:hAnsi="Arial" w:cs="Arial"/>
                <w:lang w:eastAsia="fr-FR"/>
              </w:rPr>
            </w:pPr>
            <w:r w:rsidRPr="00B272E8">
              <w:rPr>
                <w:rFonts w:ascii="Arial" w:eastAsia="Times New Roman" w:hAnsi="Arial" w:cs="Arial"/>
                <w:lang w:eastAsia="fr-FR"/>
              </w:rPr>
              <w:t>5%</w:t>
            </w:r>
          </w:p>
        </w:tc>
      </w:tr>
    </w:tbl>
    <w:p w:rsidR="0079770C" w:rsidRPr="004E2374" w:rsidRDefault="0079770C" w:rsidP="0079770C">
      <w:pPr>
        <w:pStyle w:val="western"/>
        <w:jc w:val="both"/>
        <w:rPr>
          <w:sz w:val="22"/>
          <w:szCs w:val="22"/>
        </w:rPr>
      </w:pPr>
      <w:r w:rsidRPr="004E2374">
        <w:rPr>
          <w:sz w:val="22"/>
          <w:szCs w:val="22"/>
        </w:rPr>
        <w:t>En 2013, le nombre total de jours de formation</w:t>
      </w:r>
      <w:bookmarkStart w:id="6" w:name="sdfootnote1anc"/>
      <w:r w:rsidRPr="004E2374">
        <w:rPr>
          <w:sz w:val="22"/>
          <w:szCs w:val="22"/>
          <w:vertAlign w:val="superscript"/>
        </w:rPr>
        <w:t>1</w:t>
      </w:r>
      <w:bookmarkEnd w:id="6"/>
      <w:r w:rsidRPr="004E2374">
        <w:rPr>
          <w:sz w:val="22"/>
          <w:szCs w:val="22"/>
        </w:rPr>
        <w:t xml:space="preserve"> suivis apparaît en hausse (+ 5 %), renforçant une tendance apparue l'an dernier, après une année 2011 de forte diminution.</w:t>
      </w:r>
    </w:p>
    <w:p w:rsidR="0079770C" w:rsidRPr="004E2374" w:rsidRDefault="0079770C" w:rsidP="0079770C">
      <w:pPr>
        <w:pStyle w:val="western"/>
        <w:jc w:val="both"/>
        <w:rPr>
          <w:sz w:val="22"/>
          <w:szCs w:val="22"/>
        </w:rPr>
      </w:pPr>
      <w:r w:rsidRPr="004E2374">
        <w:rPr>
          <w:sz w:val="22"/>
          <w:szCs w:val="22"/>
        </w:rPr>
        <w:t>Cette progression, si elle est vérifiée au sein des directions générales et du secrétariat général, est surtout le fait des formations organisées par les établissements publics, dont le nombre de jours croît de 10 %. Elle est en revanche absente au sein des DRAC, qui perdent 20 % de leur nombre de jours de formation, pour les stages qu'elles prennent en charge.</w:t>
      </w:r>
    </w:p>
    <w:p w:rsidR="0079770C" w:rsidRPr="001D30C7" w:rsidRDefault="0079770C" w:rsidP="0079770C">
      <w:pPr>
        <w:jc w:val="center"/>
        <w:rPr>
          <w:rFonts w:ascii="Arial" w:eastAsia="Cambria" w:hAnsi="Arial" w:cs="Times New Roman"/>
        </w:rPr>
      </w:pPr>
    </w:p>
    <w:p w:rsidR="0079770C" w:rsidRPr="001D30C7" w:rsidRDefault="0079770C" w:rsidP="0079770C">
      <w:pPr>
        <w:jc w:val="center"/>
        <w:rPr>
          <w:rFonts w:ascii="Arial" w:eastAsia="Cambria" w:hAnsi="Arial" w:cs="Times"/>
          <w:b/>
          <w:iCs/>
          <w:szCs w:val="20"/>
        </w:rPr>
      </w:pPr>
      <w:r w:rsidRPr="001D30C7">
        <w:rPr>
          <w:rFonts w:ascii="Arial" w:eastAsia="Cambria" w:hAnsi="Arial" w:cs="Times"/>
          <w:b/>
          <w:iCs/>
          <w:szCs w:val="20"/>
        </w:rPr>
        <w:t>Evolution de la durée moyenne de formation</w:t>
      </w:r>
    </w:p>
    <w:p w:rsidR="0079770C" w:rsidRPr="001D30C7" w:rsidRDefault="0079770C" w:rsidP="0079770C">
      <w:pPr>
        <w:jc w:val="center"/>
        <w:rPr>
          <w:rFonts w:ascii="Cambria" w:eastAsia="Cambria" w:hAnsi="Cambria" w:cs="Times"/>
          <w:i/>
          <w:iCs/>
          <w:szCs w:val="20"/>
        </w:rPr>
      </w:pPr>
    </w:p>
    <w:tbl>
      <w:tblPr>
        <w:tblW w:w="9760" w:type="dxa"/>
        <w:jc w:val="center"/>
        <w:tblCellMar>
          <w:left w:w="70" w:type="dxa"/>
          <w:right w:w="70" w:type="dxa"/>
        </w:tblCellMar>
        <w:tblLook w:val="04A0" w:firstRow="1" w:lastRow="0" w:firstColumn="1" w:lastColumn="0" w:noHBand="0" w:noVBand="1"/>
      </w:tblPr>
      <w:tblGrid>
        <w:gridCol w:w="3845"/>
        <w:gridCol w:w="795"/>
        <w:gridCol w:w="1280"/>
        <w:gridCol w:w="1280"/>
        <w:gridCol w:w="1280"/>
        <w:gridCol w:w="1280"/>
      </w:tblGrid>
      <w:tr w:rsidR="0079770C" w:rsidRPr="00136A13" w:rsidTr="0079770C">
        <w:trPr>
          <w:trHeight w:val="280"/>
          <w:jc w:val="center"/>
        </w:trPr>
        <w:tc>
          <w:tcPr>
            <w:tcW w:w="4640" w:type="dxa"/>
            <w:gridSpan w:val="2"/>
            <w:tcBorders>
              <w:top w:val="single" w:sz="4" w:space="0" w:color="A6A6A6"/>
              <w:left w:val="single" w:sz="4" w:space="0" w:color="A6A6A6"/>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Durée moyenne</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2010</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2011</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2012</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2013</w:t>
            </w:r>
          </w:p>
        </w:tc>
      </w:tr>
      <w:tr w:rsidR="0079770C" w:rsidRPr="00136A13" w:rsidTr="0079770C">
        <w:trPr>
          <w:trHeight w:val="280"/>
          <w:jc w:val="center"/>
        </w:trPr>
        <w:tc>
          <w:tcPr>
            <w:tcW w:w="4640" w:type="dxa"/>
            <w:gridSpan w:val="2"/>
            <w:tcBorders>
              <w:top w:val="single" w:sz="4" w:space="0" w:color="A6A6A6"/>
              <w:left w:val="single" w:sz="4" w:space="0" w:color="A6A6A6"/>
              <w:bottom w:val="single" w:sz="4" w:space="0" w:color="A6A6A6"/>
              <w:right w:val="single" w:sz="4" w:space="0" w:color="A6A6A6"/>
            </w:tcBorders>
            <w:shd w:val="clear" w:color="FFFFCC" w:fill="D9D9D9"/>
            <w:noWrap/>
            <w:vAlign w:val="center"/>
            <w:hideMark/>
          </w:tcPr>
          <w:p w:rsidR="0079770C" w:rsidRPr="00136A13" w:rsidRDefault="0079770C" w:rsidP="0079770C">
            <w:pPr>
              <w:rPr>
                <w:rFonts w:ascii="Arial" w:eastAsia="Times New Roman" w:hAnsi="Arial" w:cs="Arial"/>
                <w:lang w:eastAsia="fr-FR"/>
              </w:rPr>
            </w:pPr>
            <w:r w:rsidRPr="00136A13">
              <w:rPr>
                <w:rFonts w:ascii="Arial" w:eastAsia="Times New Roman" w:hAnsi="Arial" w:cs="Arial"/>
                <w:lang w:eastAsia="fr-FR"/>
              </w:rPr>
              <w:t>Nombre de jours par stagiaire</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2,7</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2,5</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2,5</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2,9</w:t>
            </w:r>
          </w:p>
        </w:tc>
      </w:tr>
      <w:tr w:rsidR="0079770C" w:rsidRPr="00136A13" w:rsidTr="0079770C">
        <w:trPr>
          <w:trHeight w:val="280"/>
          <w:jc w:val="center"/>
        </w:trPr>
        <w:tc>
          <w:tcPr>
            <w:tcW w:w="4640" w:type="dxa"/>
            <w:gridSpan w:val="2"/>
            <w:tcBorders>
              <w:top w:val="single" w:sz="4" w:space="0" w:color="A6A6A6"/>
              <w:left w:val="single" w:sz="4" w:space="0" w:color="A6A6A6"/>
              <w:bottom w:val="single" w:sz="4" w:space="0" w:color="A6A6A6"/>
              <w:right w:val="single" w:sz="4" w:space="0" w:color="A6A6A6"/>
            </w:tcBorders>
            <w:shd w:val="clear" w:color="FFFFCC" w:fill="D9D9D9"/>
            <w:noWrap/>
            <w:vAlign w:val="center"/>
            <w:hideMark/>
          </w:tcPr>
          <w:p w:rsidR="0079770C" w:rsidRPr="00136A13" w:rsidRDefault="0079770C" w:rsidP="0079770C">
            <w:pPr>
              <w:rPr>
                <w:rFonts w:ascii="Arial" w:eastAsia="Times New Roman" w:hAnsi="Arial" w:cs="Arial"/>
                <w:lang w:eastAsia="fr-FR"/>
              </w:rPr>
            </w:pPr>
            <w:r w:rsidRPr="00136A13">
              <w:rPr>
                <w:rFonts w:ascii="Arial" w:eastAsia="Times New Roman" w:hAnsi="Arial" w:cs="Arial"/>
                <w:lang w:eastAsia="fr-FR"/>
              </w:rPr>
              <w:t>Hors INP</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2,4</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2,2</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2,2</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2,5</w:t>
            </w:r>
          </w:p>
        </w:tc>
      </w:tr>
      <w:tr w:rsidR="0079770C" w:rsidRPr="00136A13" w:rsidTr="0079770C">
        <w:trPr>
          <w:trHeight w:val="188"/>
          <w:jc w:val="center"/>
        </w:trPr>
        <w:tc>
          <w:tcPr>
            <w:tcW w:w="3845" w:type="dxa"/>
            <w:tcBorders>
              <w:top w:val="nil"/>
              <w:left w:val="nil"/>
              <w:bottom w:val="nil"/>
              <w:right w:val="nil"/>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p>
        </w:tc>
        <w:tc>
          <w:tcPr>
            <w:tcW w:w="795" w:type="dxa"/>
            <w:tcBorders>
              <w:top w:val="nil"/>
              <w:left w:val="nil"/>
              <w:bottom w:val="nil"/>
              <w:right w:val="nil"/>
            </w:tcBorders>
            <w:shd w:val="clear" w:color="auto" w:fill="auto"/>
            <w:noWrap/>
            <w:vAlign w:val="center"/>
            <w:hideMark/>
          </w:tcPr>
          <w:p w:rsidR="0079770C" w:rsidRPr="00136A13" w:rsidRDefault="0079770C" w:rsidP="0079770C">
            <w:pPr>
              <w:jc w:val="center"/>
              <w:rPr>
                <w:rFonts w:ascii="Times New Roman" w:eastAsia="Times New Roman" w:hAnsi="Times New Roman" w:cs="Times New Roman"/>
                <w:sz w:val="20"/>
                <w:szCs w:val="20"/>
                <w:lang w:eastAsia="fr-FR"/>
              </w:rPr>
            </w:pPr>
          </w:p>
        </w:tc>
        <w:tc>
          <w:tcPr>
            <w:tcW w:w="1280" w:type="dxa"/>
            <w:tcBorders>
              <w:top w:val="nil"/>
              <w:left w:val="nil"/>
              <w:bottom w:val="nil"/>
              <w:right w:val="nil"/>
            </w:tcBorders>
            <w:shd w:val="clear" w:color="auto" w:fill="auto"/>
            <w:noWrap/>
            <w:vAlign w:val="center"/>
            <w:hideMark/>
          </w:tcPr>
          <w:p w:rsidR="0079770C" w:rsidRPr="00136A13" w:rsidRDefault="0079770C" w:rsidP="0079770C">
            <w:pPr>
              <w:jc w:val="center"/>
              <w:rPr>
                <w:rFonts w:ascii="Times New Roman" w:eastAsia="Times New Roman" w:hAnsi="Times New Roman" w:cs="Times New Roman"/>
                <w:sz w:val="20"/>
                <w:szCs w:val="20"/>
                <w:lang w:eastAsia="fr-FR"/>
              </w:rPr>
            </w:pPr>
          </w:p>
        </w:tc>
        <w:tc>
          <w:tcPr>
            <w:tcW w:w="1280" w:type="dxa"/>
            <w:tcBorders>
              <w:top w:val="nil"/>
              <w:left w:val="nil"/>
              <w:bottom w:val="nil"/>
              <w:right w:val="nil"/>
            </w:tcBorders>
            <w:shd w:val="clear" w:color="auto" w:fill="auto"/>
            <w:noWrap/>
            <w:vAlign w:val="center"/>
            <w:hideMark/>
          </w:tcPr>
          <w:p w:rsidR="0079770C" w:rsidRPr="00136A13" w:rsidRDefault="0079770C" w:rsidP="0079770C">
            <w:pPr>
              <w:jc w:val="center"/>
              <w:rPr>
                <w:rFonts w:ascii="Times New Roman" w:eastAsia="Times New Roman" w:hAnsi="Times New Roman" w:cs="Times New Roman"/>
                <w:sz w:val="20"/>
                <w:szCs w:val="20"/>
                <w:lang w:eastAsia="fr-FR"/>
              </w:rPr>
            </w:pPr>
          </w:p>
        </w:tc>
        <w:tc>
          <w:tcPr>
            <w:tcW w:w="1280" w:type="dxa"/>
            <w:tcBorders>
              <w:top w:val="nil"/>
              <w:left w:val="nil"/>
              <w:bottom w:val="nil"/>
              <w:right w:val="nil"/>
            </w:tcBorders>
            <w:shd w:val="clear" w:color="auto" w:fill="auto"/>
            <w:noWrap/>
            <w:vAlign w:val="center"/>
            <w:hideMark/>
          </w:tcPr>
          <w:p w:rsidR="0079770C" w:rsidRPr="00136A13" w:rsidRDefault="0079770C" w:rsidP="0079770C">
            <w:pPr>
              <w:jc w:val="center"/>
              <w:rPr>
                <w:rFonts w:ascii="Times New Roman" w:eastAsia="Times New Roman" w:hAnsi="Times New Roman" w:cs="Times New Roman"/>
                <w:sz w:val="20"/>
                <w:szCs w:val="20"/>
                <w:lang w:eastAsia="fr-FR"/>
              </w:rPr>
            </w:pPr>
          </w:p>
        </w:tc>
        <w:tc>
          <w:tcPr>
            <w:tcW w:w="1280" w:type="dxa"/>
            <w:tcBorders>
              <w:top w:val="nil"/>
              <w:left w:val="nil"/>
              <w:bottom w:val="nil"/>
              <w:right w:val="nil"/>
            </w:tcBorders>
            <w:shd w:val="clear" w:color="auto" w:fill="auto"/>
            <w:noWrap/>
            <w:vAlign w:val="center"/>
            <w:hideMark/>
          </w:tcPr>
          <w:p w:rsidR="0079770C" w:rsidRPr="00136A13" w:rsidRDefault="0079770C" w:rsidP="0079770C">
            <w:pPr>
              <w:jc w:val="center"/>
              <w:rPr>
                <w:rFonts w:ascii="Times New Roman" w:eastAsia="Times New Roman" w:hAnsi="Times New Roman" w:cs="Times New Roman"/>
                <w:sz w:val="20"/>
                <w:szCs w:val="20"/>
                <w:lang w:eastAsia="fr-FR"/>
              </w:rPr>
            </w:pPr>
          </w:p>
        </w:tc>
      </w:tr>
      <w:tr w:rsidR="0079770C" w:rsidRPr="00136A13" w:rsidTr="0079770C">
        <w:trPr>
          <w:trHeight w:val="280"/>
          <w:jc w:val="center"/>
        </w:trPr>
        <w:tc>
          <w:tcPr>
            <w:tcW w:w="3845" w:type="dxa"/>
            <w:tcBorders>
              <w:top w:val="single" w:sz="4" w:space="0" w:color="A6A6A6"/>
              <w:left w:val="single" w:sz="4" w:space="0" w:color="A6A6A6"/>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Durées par catégorie</w:t>
            </w:r>
          </w:p>
        </w:tc>
        <w:tc>
          <w:tcPr>
            <w:tcW w:w="795"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A+</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A</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B</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C</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136A13" w:rsidRDefault="0079770C" w:rsidP="0079770C">
            <w:pPr>
              <w:jc w:val="center"/>
              <w:rPr>
                <w:rFonts w:ascii="Arial" w:eastAsia="Times New Roman" w:hAnsi="Arial" w:cs="Arial"/>
                <w:b/>
                <w:bCs/>
                <w:color w:val="FFFFFF"/>
                <w:lang w:eastAsia="fr-FR"/>
              </w:rPr>
            </w:pPr>
            <w:r w:rsidRPr="00136A13">
              <w:rPr>
                <w:rFonts w:ascii="Arial" w:eastAsia="Times New Roman" w:hAnsi="Arial" w:cs="Arial"/>
                <w:b/>
                <w:bCs/>
                <w:color w:val="FFFFFF"/>
                <w:lang w:eastAsia="fr-FR"/>
              </w:rPr>
              <w:t>Ensemble</w:t>
            </w:r>
          </w:p>
        </w:tc>
      </w:tr>
      <w:tr w:rsidR="0079770C" w:rsidRPr="00136A13" w:rsidTr="0079770C">
        <w:trPr>
          <w:trHeight w:val="280"/>
          <w:jc w:val="center"/>
        </w:trPr>
        <w:tc>
          <w:tcPr>
            <w:tcW w:w="3845"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136A13" w:rsidRDefault="0079770C" w:rsidP="0079770C">
            <w:pPr>
              <w:rPr>
                <w:rFonts w:ascii="Arial" w:eastAsia="Times New Roman" w:hAnsi="Arial" w:cs="Arial"/>
                <w:lang w:eastAsia="fr-FR"/>
              </w:rPr>
            </w:pPr>
            <w:r w:rsidRPr="00136A13">
              <w:rPr>
                <w:rFonts w:ascii="Arial" w:eastAsia="Times New Roman" w:hAnsi="Arial" w:cs="Arial"/>
                <w:lang w:eastAsia="fr-FR"/>
              </w:rPr>
              <w:t>Toutes structures</w:t>
            </w:r>
          </w:p>
        </w:tc>
        <w:tc>
          <w:tcPr>
            <w:tcW w:w="795"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10,3</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2,5</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2,4</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2,5</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2,9</w:t>
            </w:r>
          </w:p>
        </w:tc>
      </w:tr>
      <w:tr w:rsidR="0079770C" w:rsidRPr="00136A13" w:rsidTr="0079770C">
        <w:trPr>
          <w:trHeight w:val="280"/>
          <w:jc w:val="center"/>
        </w:trPr>
        <w:tc>
          <w:tcPr>
            <w:tcW w:w="3845"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136A13" w:rsidRDefault="0079770C" w:rsidP="0079770C">
            <w:pPr>
              <w:rPr>
                <w:rFonts w:ascii="Arial" w:eastAsia="Times New Roman" w:hAnsi="Arial" w:cs="Arial"/>
                <w:lang w:eastAsia="fr-FR"/>
              </w:rPr>
            </w:pPr>
            <w:r w:rsidRPr="00136A13">
              <w:rPr>
                <w:rFonts w:ascii="Arial" w:eastAsia="Times New Roman" w:hAnsi="Arial" w:cs="Arial"/>
                <w:lang w:eastAsia="fr-FR"/>
              </w:rPr>
              <w:t>Hors INP</w:t>
            </w:r>
          </w:p>
        </w:tc>
        <w:tc>
          <w:tcPr>
            <w:tcW w:w="795"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2,8</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2,5</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2,4</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2,5</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136A13" w:rsidRDefault="0079770C" w:rsidP="0079770C">
            <w:pPr>
              <w:jc w:val="center"/>
              <w:rPr>
                <w:rFonts w:ascii="Arial" w:eastAsia="Times New Roman" w:hAnsi="Arial" w:cs="Arial"/>
                <w:lang w:eastAsia="fr-FR"/>
              </w:rPr>
            </w:pPr>
            <w:r w:rsidRPr="00136A13">
              <w:rPr>
                <w:rFonts w:ascii="Arial" w:eastAsia="Times New Roman" w:hAnsi="Arial" w:cs="Arial"/>
                <w:lang w:eastAsia="fr-FR"/>
              </w:rPr>
              <w:t>2,5</w:t>
            </w:r>
          </w:p>
        </w:tc>
      </w:tr>
    </w:tbl>
    <w:p w:rsidR="0079770C" w:rsidRPr="004E2374" w:rsidRDefault="0079770C" w:rsidP="004E2374">
      <w:pPr>
        <w:pStyle w:val="western"/>
        <w:spacing w:before="240" w:beforeAutospacing="0"/>
        <w:jc w:val="both"/>
        <w:rPr>
          <w:sz w:val="22"/>
          <w:szCs w:val="22"/>
        </w:rPr>
      </w:pPr>
      <w:r w:rsidRPr="004E2374">
        <w:rPr>
          <w:sz w:val="22"/>
          <w:szCs w:val="22"/>
        </w:rPr>
        <w:t xml:space="preserve">La </w:t>
      </w:r>
      <w:r w:rsidRPr="004E2374">
        <w:rPr>
          <w:b/>
          <w:bCs/>
          <w:sz w:val="22"/>
          <w:szCs w:val="22"/>
        </w:rPr>
        <w:t>durée moyenne de formation</w:t>
      </w:r>
      <w:r w:rsidRPr="004E2374">
        <w:rPr>
          <w:sz w:val="22"/>
          <w:szCs w:val="22"/>
        </w:rPr>
        <w:t xml:space="preserve"> par stagiaire est donc en nette progression par rapport à 2012, en raison de l'effet conjugué d'une baisse du nombre de stagiaires et d'une hausse du nombre de jours de formation.</w:t>
      </w:r>
    </w:p>
    <w:p w:rsidR="0079770C" w:rsidRPr="004E2374" w:rsidRDefault="0079770C" w:rsidP="004E2374">
      <w:pPr>
        <w:pStyle w:val="western"/>
        <w:spacing w:before="0" w:beforeAutospacing="0"/>
        <w:jc w:val="both"/>
        <w:rPr>
          <w:sz w:val="22"/>
          <w:szCs w:val="22"/>
        </w:rPr>
      </w:pPr>
      <w:r w:rsidRPr="004E2374">
        <w:rPr>
          <w:sz w:val="22"/>
          <w:szCs w:val="22"/>
        </w:rPr>
        <w:t>La conjonction d'une baisse du nombre de stagiaires et d'une hausse de celui des jours de formation peut sembler paradoxale. Il apparaît cependant que la diminution du nombre total de stagiaires est essentiellement le fait d'une baisse de fréquentation sur les formations les plus courtes (1 jour et moins) alors que les effectifs se maintiennent, voire progressent, pour les formations de durée plus longue.</w:t>
      </w:r>
    </w:p>
    <w:p w:rsidR="0079770C" w:rsidRPr="001D30C7" w:rsidRDefault="0079770C" w:rsidP="0079770C">
      <w:pPr>
        <w:jc w:val="center"/>
        <w:rPr>
          <w:rFonts w:ascii="Cambria" w:eastAsia="Cambria" w:hAnsi="Cambria" w:cs="Times New Roman"/>
        </w:rPr>
      </w:pPr>
    </w:p>
    <w:p w:rsidR="0079770C" w:rsidRPr="00E35036" w:rsidRDefault="0079770C" w:rsidP="0079770C">
      <w:pPr>
        <w:jc w:val="center"/>
        <w:rPr>
          <w:rFonts w:ascii="Arial" w:eastAsia="Cambria" w:hAnsi="Arial" w:cs="Times"/>
          <w:b/>
          <w:iCs/>
          <w:szCs w:val="20"/>
        </w:rPr>
      </w:pPr>
      <w:r w:rsidRPr="00E35036">
        <w:rPr>
          <w:rFonts w:ascii="Arial" w:eastAsia="Cambria" w:hAnsi="Arial" w:cs="Times"/>
          <w:b/>
          <w:iCs/>
          <w:szCs w:val="20"/>
        </w:rPr>
        <w:t>Ventilation des jours de formation par structure et par catégorie</w:t>
      </w:r>
    </w:p>
    <w:p w:rsidR="0079770C" w:rsidRPr="004B4ECF" w:rsidRDefault="0079770C" w:rsidP="0079770C">
      <w:pPr>
        <w:jc w:val="center"/>
        <w:rPr>
          <w:rFonts w:ascii="Cambria" w:eastAsia="Cambria" w:hAnsi="Cambria" w:cs="Times"/>
          <w:i/>
          <w:iCs/>
          <w:szCs w:val="20"/>
          <w:highlight w:val="yellow"/>
        </w:rPr>
      </w:pPr>
      <w:r w:rsidRPr="00E35036">
        <w:rPr>
          <w:noProof/>
          <w:lang w:eastAsia="fr-FR"/>
        </w:rPr>
        <w:drawing>
          <wp:anchor distT="0" distB="0" distL="114300" distR="114300" simplePos="0" relativeHeight="251845632" behindDoc="1" locked="0" layoutInCell="1" allowOverlap="1" wp14:anchorId="368E2DF3" wp14:editId="07859FAB">
            <wp:simplePos x="0" y="0"/>
            <wp:positionH relativeFrom="margin">
              <wp:align>center</wp:align>
            </wp:positionH>
            <wp:positionV relativeFrom="paragraph">
              <wp:posOffset>212725</wp:posOffset>
            </wp:positionV>
            <wp:extent cx="6526530" cy="1384300"/>
            <wp:effectExtent l="0" t="0" r="7620" b="6350"/>
            <wp:wrapTight wrapText="bothSides">
              <wp:wrapPolygon edited="0">
                <wp:start x="0" y="0"/>
                <wp:lineTo x="0" y="21402"/>
                <wp:lineTo x="19040" y="21402"/>
                <wp:lineTo x="19229" y="21105"/>
                <wp:lineTo x="21562" y="19321"/>
                <wp:lineTo x="21562" y="0"/>
                <wp:lineTo x="0" y="0"/>
              </wp:wrapPolygon>
            </wp:wrapTight>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526530" cy="1384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770C" w:rsidRPr="004E2374" w:rsidRDefault="0079770C" w:rsidP="004E2374">
      <w:pPr>
        <w:pStyle w:val="western"/>
        <w:spacing w:before="0" w:beforeAutospacing="0"/>
        <w:jc w:val="both"/>
        <w:rPr>
          <w:sz w:val="22"/>
          <w:szCs w:val="22"/>
        </w:rPr>
      </w:pPr>
      <w:r w:rsidRPr="004E2374">
        <w:rPr>
          <w:sz w:val="22"/>
          <w:szCs w:val="22"/>
        </w:rPr>
        <w:t>La moitié des jours de formation réalisés relève de l'activité de formation des établissements publics ; le secrétariat général représente 14 % du total, les directions générales 32 % (17 % hors INP).</w:t>
      </w:r>
    </w:p>
    <w:p w:rsidR="004E2374" w:rsidRDefault="004E2374" w:rsidP="0079770C">
      <w:pPr>
        <w:jc w:val="center"/>
        <w:rPr>
          <w:rFonts w:ascii="Arial" w:eastAsia="Cambria" w:hAnsi="Arial" w:cs="Times"/>
          <w:b/>
          <w:iCs/>
          <w:szCs w:val="20"/>
        </w:rPr>
      </w:pPr>
    </w:p>
    <w:p w:rsidR="0079770C" w:rsidRPr="00E35036" w:rsidRDefault="0079770C" w:rsidP="0079770C">
      <w:pPr>
        <w:jc w:val="center"/>
        <w:rPr>
          <w:rFonts w:ascii="Arial" w:eastAsia="Cambria" w:hAnsi="Arial" w:cs="Times"/>
          <w:b/>
          <w:iCs/>
          <w:szCs w:val="20"/>
        </w:rPr>
      </w:pPr>
      <w:r w:rsidRPr="00E35036">
        <w:rPr>
          <w:rFonts w:ascii="Arial" w:eastAsia="Cambria" w:hAnsi="Arial" w:cs="Times"/>
          <w:b/>
          <w:iCs/>
          <w:szCs w:val="20"/>
        </w:rPr>
        <w:t xml:space="preserve">Ventilation et évolution du nombre de jours de formation par type de structure </w:t>
      </w:r>
    </w:p>
    <w:p w:rsidR="0079770C" w:rsidRPr="004B4ECF" w:rsidRDefault="0079770C" w:rsidP="0079770C">
      <w:pPr>
        <w:jc w:val="center"/>
        <w:rPr>
          <w:rFonts w:ascii="Arial" w:eastAsia="Cambria" w:hAnsi="Arial" w:cs="Times"/>
          <w:iCs/>
          <w:szCs w:val="20"/>
          <w:highlight w:val="yellow"/>
        </w:rPr>
      </w:pPr>
    </w:p>
    <w:tbl>
      <w:tblPr>
        <w:tblW w:w="9400" w:type="dxa"/>
        <w:jc w:val="center"/>
        <w:tblCellMar>
          <w:left w:w="70" w:type="dxa"/>
          <w:right w:w="70" w:type="dxa"/>
        </w:tblCellMar>
        <w:tblLook w:val="04A0" w:firstRow="1" w:lastRow="0" w:firstColumn="1" w:lastColumn="0" w:noHBand="0" w:noVBand="1"/>
      </w:tblPr>
      <w:tblGrid>
        <w:gridCol w:w="4280"/>
        <w:gridCol w:w="1382"/>
        <w:gridCol w:w="1382"/>
        <w:gridCol w:w="1286"/>
        <w:gridCol w:w="1070"/>
      </w:tblGrid>
      <w:tr w:rsidR="0079770C" w:rsidRPr="00E35036" w:rsidTr="0079770C">
        <w:trPr>
          <w:trHeight w:val="280"/>
          <w:jc w:val="center"/>
        </w:trPr>
        <w:tc>
          <w:tcPr>
            <w:tcW w:w="4280" w:type="dxa"/>
            <w:vMerge w:val="restart"/>
            <w:tcBorders>
              <w:top w:val="single" w:sz="4" w:space="0" w:color="A6A6A6"/>
              <w:left w:val="single" w:sz="4" w:space="0" w:color="A6A6A6"/>
              <w:bottom w:val="single" w:sz="4" w:space="0" w:color="A6A6A6"/>
              <w:right w:val="single" w:sz="4" w:space="0" w:color="A6A6A6"/>
            </w:tcBorders>
            <w:shd w:val="clear" w:color="FFFFCC" w:fill="C066D8"/>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Structure ayant assuré la formation</w:t>
            </w:r>
          </w:p>
        </w:tc>
        <w:tc>
          <w:tcPr>
            <w:tcW w:w="5120" w:type="dxa"/>
            <w:gridSpan w:val="4"/>
            <w:tcBorders>
              <w:top w:val="single" w:sz="4" w:space="0" w:color="A6A6A6"/>
              <w:left w:val="nil"/>
              <w:bottom w:val="single" w:sz="4" w:space="0" w:color="A6A6A6"/>
              <w:right w:val="single" w:sz="4" w:space="0" w:color="A6A6A6"/>
            </w:tcBorders>
            <w:shd w:val="clear" w:color="FFFFCC" w:fill="C066D8"/>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JOURS</w:t>
            </w:r>
          </w:p>
        </w:tc>
      </w:tr>
      <w:tr w:rsidR="0079770C" w:rsidRPr="00E35036" w:rsidTr="0079770C">
        <w:trPr>
          <w:trHeight w:val="280"/>
          <w:jc w:val="center"/>
        </w:trPr>
        <w:tc>
          <w:tcPr>
            <w:tcW w:w="4280" w:type="dxa"/>
            <w:vMerge/>
            <w:tcBorders>
              <w:top w:val="single" w:sz="4" w:space="0" w:color="A6A6A6"/>
              <w:left w:val="single" w:sz="4" w:space="0" w:color="A6A6A6"/>
              <w:bottom w:val="single" w:sz="4" w:space="0" w:color="A6A6A6"/>
              <w:right w:val="single" w:sz="4" w:space="0" w:color="A6A6A6"/>
            </w:tcBorders>
            <w:vAlign w:val="center"/>
            <w:hideMark/>
          </w:tcPr>
          <w:p w:rsidR="0079770C" w:rsidRPr="00E35036" w:rsidRDefault="0079770C" w:rsidP="0079770C">
            <w:pPr>
              <w:rPr>
                <w:rFonts w:ascii="Arial" w:eastAsia="Times New Roman" w:hAnsi="Arial" w:cs="Arial"/>
                <w:b/>
                <w:bCs/>
                <w:color w:val="FFFFFF"/>
                <w:lang w:eastAsia="fr-FR"/>
              </w:rPr>
            </w:pPr>
          </w:p>
        </w:tc>
        <w:tc>
          <w:tcPr>
            <w:tcW w:w="1382" w:type="dxa"/>
            <w:tcBorders>
              <w:top w:val="nil"/>
              <w:left w:val="nil"/>
              <w:bottom w:val="single" w:sz="4" w:space="0" w:color="A6A6A6"/>
              <w:right w:val="single" w:sz="4" w:space="0" w:color="A6A6A6"/>
            </w:tcBorders>
            <w:shd w:val="clear" w:color="FFFFCC" w:fill="EE9CF2"/>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2012</w:t>
            </w:r>
          </w:p>
        </w:tc>
        <w:tc>
          <w:tcPr>
            <w:tcW w:w="1382" w:type="dxa"/>
            <w:tcBorders>
              <w:top w:val="nil"/>
              <w:left w:val="nil"/>
              <w:bottom w:val="single" w:sz="4" w:space="0" w:color="A6A6A6"/>
              <w:right w:val="single" w:sz="4" w:space="0" w:color="A6A6A6"/>
            </w:tcBorders>
            <w:shd w:val="clear" w:color="FFFFCC" w:fill="EE9CF2"/>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2013</w:t>
            </w:r>
          </w:p>
        </w:tc>
        <w:tc>
          <w:tcPr>
            <w:tcW w:w="2356" w:type="dxa"/>
            <w:gridSpan w:val="2"/>
            <w:tcBorders>
              <w:top w:val="single" w:sz="4" w:space="0" w:color="A6A6A6"/>
              <w:left w:val="nil"/>
              <w:bottom w:val="single" w:sz="4" w:space="0" w:color="A6A6A6"/>
              <w:right w:val="single" w:sz="4" w:space="0" w:color="A6A6A6"/>
            </w:tcBorders>
            <w:shd w:val="clear" w:color="FFFFCC" w:fill="EE9CF2"/>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variation</w:t>
            </w:r>
          </w:p>
        </w:tc>
      </w:tr>
      <w:tr w:rsidR="0079770C" w:rsidRPr="00E35036" w:rsidTr="0079770C">
        <w:trPr>
          <w:trHeight w:val="280"/>
          <w:jc w:val="center"/>
        </w:trPr>
        <w:tc>
          <w:tcPr>
            <w:tcW w:w="428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E35036" w:rsidRDefault="0079770C" w:rsidP="0079770C">
            <w:pPr>
              <w:rPr>
                <w:rFonts w:ascii="Arial" w:eastAsia="Times New Roman" w:hAnsi="Arial" w:cs="Arial"/>
                <w:lang w:eastAsia="fr-FR"/>
              </w:rPr>
            </w:pPr>
            <w:r w:rsidRPr="00E35036">
              <w:rPr>
                <w:rFonts w:ascii="Arial" w:eastAsia="Times New Roman" w:hAnsi="Arial" w:cs="Arial"/>
                <w:lang w:eastAsia="fr-FR"/>
              </w:rPr>
              <w:t>Directions générales (avec INP)</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26 724</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27 103</w:t>
            </w:r>
          </w:p>
        </w:tc>
        <w:tc>
          <w:tcPr>
            <w:tcW w:w="1286"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379</w:t>
            </w:r>
          </w:p>
        </w:tc>
        <w:tc>
          <w:tcPr>
            <w:tcW w:w="1070"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w:t>
            </w:r>
          </w:p>
        </w:tc>
      </w:tr>
      <w:tr w:rsidR="0079770C" w:rsidRPr="00E35036" w:rsidTr="0079770C">
        <w:trPr>
          <w:trHeight w:val="280"/>
          <w:jc w:val="center"/>
        </w:trPr>
        <w:tc>
          <w:tcPr>
            <w:tcW w:w="428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E35036" w:rsidRDefault="0079770C" w:rsidP="0079770C">
            <w:pPr>
              <w:rPr>
                <w:rFonts w:ascii="Arial" w:eastAsia="Times New Roman" w:hAnsi="Arial" w:cs="Arial"/>
                <w:lang w:eastAsia="fr-FR"/>
              </w:rPr>
            </w:pPr>
            <w:r w:rsidRPr="00E35036">
              <w:rPr>
                <w:rFonts w:ascii="Arial" w:eastAsia="Times New Roman" w:hAnsi="Arial" w:cs="Arial"/>
                <w:lang w:eastAsia="fr-FR"/>
              </w:rPr>
              <w:t>Directions générales (hors INP)</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16 017</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14 582</w:t>
            </w:r>
          </w:p>
        </w:tc>
        <w:tc>
          <w:tcPr>
            <w:tcW w:w="1286"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-1 436</w:t>
            </w:r>
          </w:p>
        </w:tc>
        <w:tc>
          <w:tcPr>
            <w:tcW w:w="1070"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-9%</w:t>
            </w:r>
          </w:p>
        </w:tc>
      </w:tr>
      <w:tr w:rsidR="0079770C" w:rsidRPr="00E35036" w:rsidTr="0079770C">
        <w:trPr>
          <w:trHeight w:val="280"/>
          <w:jc w:val="center"/>
        </w:trPr>
        <w:tc>
          <w:tcPr>
            <w:tcW w:w="428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E35036" w:rsidRDefault="0079770C" w:rsidP="0079770C">
            <w:pPr>
              <w:rPr>
                <w:rFonts w:ascii="Arial" w:eastAsia="Times New Roman" w:hAnsi="Arial" w:cs="Arial"/>
                <w:lang w:eastAsia="fr-FR"/>
              </w:rPr>
            </w:pPr>
            <w:r w:rsidRPr="00E35036">
              <w:rPr>
                <w:rFonts w:ascii="Arial" w:eastAsia="Times New Roman" w:hAnsi="Arial" w:cs="Arial"/>
                <w:lang w:eastAsia="fr-FR"/>
              </w:rPr>
              <w:t>Secrétariat général</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11 747</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11 882</w:t>
            </w:r>
          </w:p>
        </w:tc>
        <w:tc>
          <w:tcPr>
            <w:tcW w:w="1286"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135</w:t>
            </w:r>
          </w:p>
        </w:tc>
        <w:tc>
          <w:tcPr>
            <w:tcW w:w="1070"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w:t>
            </w:r>
          </w:p>
        </w:tc>
      </w:tr>
      <w:tr w:rsidR="0079770C" w:rsidRPr="00E35036" w:rsidTr="0079770C">
        <w:trPr>
          <w:trHeight w:val="280"/>
          <w:jc w:val="center"/>
        </w:trPr>
        <w:tc>
          <w:tcPr>
            <w:tcW w:w="4280" w:type="dxa"/>
            <w:tcBorders>
              <w:top w:val="nil"/>
              <w:left w:val="single" w:sz="4" w:space="0" w:color="A6A6A6"/>
              <w:bottom w:val="single" w:sz="4" w:space="0" w:color="A6A6A6"/>
              <w:right w:val="single" w:sz="4" w:space="0" w:color="A6A6A6"/>
            </w:tcBorders>
            <w:shd w:val="clear" w:color="FFFFCC" w:fill="D9D9D9"/>
            <w:vAlign w:val="center"/>
            <w:hideMark/>
          </w:tcPr>
          <w:p w:rsidR="0079770C" w:rsidRPr="00E35036" w:rsidRDefault="0079770C" w:rsidP="0079770C">
            <w:pPr>
              <w:rPr>
                <w:rFonts w:ascii="Arial" w:eastAsia="Times New Roman" w:hAnsi="Arial" w:cs="Arial"/>
                <w:lang w:eastAsia="fr-FR"/>
              </w:rPr>
            </w:pPr>
            <w:r w:rsidRPr="00E35036">
              <w:rPr>
                <w:rFonts w:ascii="Arial" w:eastAsia="Times New Roman" w:hAnsi="Arial" w:cs="Arial"/>
                <w:lang w:eastAsia="fr-FR"/>
              </w:rPr>
              <w:t>DRAC</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3 158</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2 530</w:t>
            </w:r>
          </w:p>
        </w:tc>
        <w:tc>
          <w:tcPr>
            <w:tcW w:w="1286"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-628</w:t>
            </w:r>
          </w:p>
        </w:tc>
        <w:tc>
          <w:tcPr>
            <w:tcW w:w="1070"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-20%</w:t>
            </w:r>
          </w:p>
        </w:tc>
      </w:tr>
      <w:tr w:rsidR="0079770C" w:rsidRPr="00E35036" w:rsidTr="0079770C">
        <w:trPr>
          <w:trHeight w:val="280"/>
          <w:jc w:val="center"/>
        </w:trPr>
        <w:tc>
          <w:tcPr>
            <w:tcW w:w="4280" w:type="dxa"/>
            <w:tcBorders>
              <w:top w:val="nil"/>
              <w:left w:val="single" w:sz="4" w:space="0" w:color="A6A6A6"/>
              <w:bottom w:val="single" w:sz="4" w:space="0" w:color="A6A6A6"/>
              <w:right w:val="single" w:sz="4" w:space="0" w:color="A6A6A6"/>
            </w:tcBorders>
            <w:shd w:val="clear" w:color="FFFFCC" w:fill="D9D9D9"/>
            <w:vAlign w:val="center"/>
            <w:hideMark/>
          </w:tcPr>
          <w:p w:rsidR="0079770C" w:rsidRPr="00E35036" w:rsidRDefault="0079770C" w:rsidP="0079770C">
            <w:pPr>
              <w:rPr>
                <w:rFonts w:ascii="Arial" w:eastAsia="Times New Roman" w:hAnsi="Arial" w:cs="Arial"/>
                <w:lang w:eastAsia="fr-FR"/>
              </w:rPr>
            </w:pPr>
            <w:r w:rsidRPr="00E35036">
              <w:rPr>
                <w:rFonts w:ascii="Arial" w:eastAsia="Times New Roman" w:hAnsi="Arial" w:cs="Arial"/>
                <w:lang w:eastAsia="fr-FR"/>
              </w:rPr>
              <w:t>EP et Mobilier national</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37 965</w:t>
            </w:r>
          </w:p>
        </w:tc>
        <w:tc>
          <w:tcPr>
            <w:tcW w:w="1382"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41 945</w:t>
            </w:r>
          </w:p>
        </w:tc>
        <w:tc>
          <w:tcPr>
            <w:tcW w:w="1286"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3 980</w:t>
            </w:r>
          </w:p>
        </w:tc>
        <w:tc>
          <w:tcPr>
            <w:tcW w:w="1070" w:type="dxa"/>
            <w:tcBorders>
              <w:top w:val="nil"/>
              <w:left w:val="nil"/>
              <w:bottom w:val="single" w:sz="4" w:space="0" w:color="A6A6A6"/>
              <w:right w:val="single" w:sz="4" w:space="0" w:color="A6A6A6"/>
            </w:tcBorders>
            <w:shd w:val="clear" w:color="auto" w:fill="auto"/>
            <w:noWrap/>
            <w:vAlign w:val="center"/>
            <w:hideMark/>
          </w:tcPr>
          <w:p w:rsidR="0079770C" w:rsidRPr="00E35036" w:rsidRDefault="0079770C" w:rsidP="0079770C">
            <w:pPr>
              <w:jc w:val="center"/>
              <w:rPr>
                <w:rFonts w:ascii="Arial" w:eastAsia="Times New Roman" w:hAnsi="Arial" w:cs="Arial"/>
                <w:lang w:eastAsia="fr-FR"/>
              </w:rPr>
            </w:pPr>
            <w:r w:rsidRPr="00E35036">
              <w:rPr>
                <w:rFonts w:ascii="Arial" w:eastAsia="Times New Roman" w:hAnsi="Arial" w:cs="Arial"/>
                <w:lang w:eastAsia="fr-FR"/>
              </w:rPr>
              <w:t>10%</w:t>
            </w:r>
          </w:p>
        </w:tc>
      </w:tr>
      <w:tr w:rsidR="0079770C" w:rsidRPr="00E35036" w:rsidTr="0079770C">
        <w:trPr>
          <w:trHeight w:val="280"/>
          <w:jc w:val="center"/>
        </w:trPr>
        <w:tc>
          <w:tcPr>
            <w:tcW w:w="4280" w:type="dxa"/>
            <w:tcBorders>
              <w:top w:val="nil"/>
              <w:left w:val="single" w:sz="4" w:space="0" w:color="A6A6A6"/>
              <w:bottom w:val="single" w:sz="4" w:space="0" w:color="A6A6A6"/>
              <w:right w:val="single" w:sz="4" w:space="0" w:color="A6A6A6"/>
            </w:tcBorders>
            <w:shd w:val="clear" w:color="FFFFCC" w:fill="EE9CF2"/>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TOTAL</w:t>
            </w:r>
          </w:p>
        </w:tc>
        <w:tc>
          <w:tcPr>
            <w:tcW w:w="1382" w:type="dxa"/>
            <w:tcBorders>
              <w:top w:val="nil"/>
              <w:left w:val="nil"/>
              <w:bottom w:val="single" w:sz="4" w:space="0" w:color="A6A6A6"/>
              <w:right w:val="single" w:sz="4" w:space="0" w:color="A6A6A6"/>
            </w:tcBorders>
            <w:shd w:val="clear" w:color="FFFFCC" w:fill="EE9CF2"/>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79 593</w:t>
            </w:r>
          </w:p>
        </w:tc>
        <w:tc>
          <w:tcPr>
            <w:tcW w:w="1382" w:type="dxa"/>
            <w:tcBorders>
              <w:top w:val="nil"/>
              <w:left w:val="nil"/>
              <w:bottom w:val="single" w:sz="4" w:space="0" w:color="A6A6A6"/>
              <w:right w:val="single" w:sz="4" w:space="0" w:color="A6A6A6"/>
            </w:tcBorders>
            <w:shd w:val="clear" w:color="FFFFCC" w:fill="EE9CF2"/>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83 459</w:t>
            </w:r>
          </w:p>
        </w:tc>
        <w:tc>
          <w:tcPr>
            <w:tcW w:w="1286" w:type="dxa"/>
            <w:tcBorders>
              <w:top w:val="nil"/>
              <w:left w:val="nil"/>
              <w:bottom w:val="single" w:sz="4" w:space="0" w:color="A6A6A6"/>
              <w:right w:val="single" w:sz="4" w:space="0" w:color="A6A6A6"/>
            </w:tcBorders>
            <w:shd w:val="clear" w:color="FFFFCC" w:fill="EE9CF2"/>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3 866</w:t>
            </w:r>
          </w:p>
        </w:tc>
        <w:tc>
          <w:tcPr>
            <w:tcW w:w="1070" w:type="dxa"/>
            <w:tcBorders>
              <w:top w:val="nil"/>
              <w:left w:val="nil"/>
              <w:bottom w:val="single" w:sz="4" w:space="0" w:color="A6A6A6"/>
              <w:right w:val="single" w:sz="4" w:space="0" w:color="A6A6A6"/>
            </w:tcBorders>
            <w:shd w:val="clear" w:color="FFFFCC" w:fill="EE9CF2"/>
            <w:noWrap/>
            <w:vAlign w:val="center"/>
            <w:hideMark/>
          </w:tcPr>
          <w:p w:rsidR="0079770C" w:rsidRPr="00E35036" w:rsidRDefault="0079770C" w:rsidP="0079770C">
            <w:pPr>
              <w:jc w:val="center"/>
              <w:rPr>
                <w:rFonts w:ascii="Arial" w:eastAsia="Times New Roman" w:hAnsi="Arial" w:cs="Arial"/>
                <w:b/>
                <w:bCs/>
                <w:color w:val="FFFFFF"/>
                <w:lang w:eastAsia="fr-FR"/>
              </w:rPr>
            </w:pPr>
            <w:r w:rsidRPr="00E35036">
              <w:rPr>
                <w:rFonts w:ascii="Arial" w:eastAsia="Times New Roman" w:hAnsi="Arial" w:cs="Arial"/>
                <w:b/>
                <w:bCs/>
                <w:color w:val="FFFFFF"/>
                <w:lang w:eastAsia="fr-FR"/>
              </w:rPr>
              <w:t>5%</w:t>
            </w:r>
          </w:p>
        </w:tc>
      </w:tr>
    </w:tbl>
    <w:p w:rsidR="0079770C" w:rsidRPr="004E2374" w:rsidRDefault="0079770C" w:rsidP="004E2374">
      <w:pPr>
        <w:pStyle w:val="western"/>
        <w:spacing w:before="240" w:beforeAutospacing="0"/>
        <w:jc w:val="both"/>
        <w:rPr>
          <w:sz w:val="22"/>
          <w:szCs w:val="22"/>
        </w:rPr>
      </w:pPr>
      <w:r w:rsidRPr="004E2374">
        <w:rPr>
          <w:sz w:val="22"/>
          <w:szCs w:val="22"/>
        </w:rPr>
        <w:t>L'augmentation importante rencontrée au sein des établissements publics se remarque particulièrement dans les domaines des langues, de l'hygiène et sécurité, et dans une moindre mesure sur les stages accueil/post-recrutement, qui avaient dans les établissements publics connu une année creuse en 2012.</w:t>
      </w:r>
    </w:p>
    <w:p w:rsidR="0079770C" w:rsidRPr="004E2374" w:rsidRDefault="0079770C" w:rsidP="004E2374">
      <w:pPr>
        <w:pStyle w:val="western"/>
        <w:spacing w:before="0" w:beforeAutospacing="0"/>
        <w:jc w:val="both"/>
        <w:rPr>
          <w:sz w:val="22"/>
          <w:szCs w:val="22"/>
        </w:rPr>
      </w:pPr>
      <w:r w:rsidRPr="004E2374">
        <w:rPr>
          <w:sz w:val="22"/>
          <w:szCs w:val="22"/>
        </w:rPr>
        <w:t>En ce qui concerne les directions générales, cette augmentation est portée par l'augmentation du nombre des conservateurs stagiaires accueillis dans les formations longues de l'INP.</w:t>
      </w:r>
    </w:p>
    <w:p w:rsidR="0079770C" w:rsidRPr="001D30C7" w:rsidRDefault="004E2374" w:rsidP="0079770C">
      <w:pPr>
        <w:widowControl w:val="0"/>
        <w:autoSpaceDE w:val="0"/>
        <w:autoSpaceDN w:val="0"/>
        <w:adjustRightInd w:val="0"/>
        <w:jc w:val="center"/>
        <w:rPr>
          <w:rFonts w:ascii="Arial" w:eastAsia="Cambria" w:hAnsi="Arial" w:cs="Times"/>
          <w:b/>
          <w:iCs/>
          <w:szCs w:val="20"/>
        </w:rPr>
      </w:pPr>
      <w:r w:rsidRPr="0077479F">
        <w:rPr>
          <w:noProof/>
          <w:lang w:eastAsia="fr-FR"/>
        </w:rPr>
        <w:drawing>
          <wp:anchor distT="0" distB="0" distL="114300" distR="114300" simplePos="0" relativeHeight="251846656" behindDoc="1" locked="0" layoutInCell="1" allowOverlap="1" wp14:anchorId="2C0E5954" wp14:editId="3D85A6C9">
            <wp:simplePos x="0" y="0"/>
            <wp:positionH relativeFrom="margin">
              <wp:align>center</wp:align>
            </wp:positionH>
            <wp:positionV relativeFrom="paragraph">
              <wp:posOffset>267335</wp:posOffset>
            </wp:positionV>
            <wp:extent cx="6288405" cy="3497580"/>
            <wp:effectExtent l="0" t="0" r="0" b="7620"/>
            <wp:wrapTight wrapText="bothSides">
              <wp:wrapPolygon edited="0">
                <wp:start x="0" y="0"/>
                <wp:lineTo x="0" y="21529"/>
                <wp:lineTo x="21528" y="21529"/>
                <wp:lineTo x="21528" y="19647"/>
                <wp:lineTo x="21332" y="19412"/>
                <wp:lineTo x="19892" y="18824"/>
                <wp:lineTo x="21528" y="18824"/>
                <wp:lineTo x="21528" y="3765"/>
                <wp:lineTo x="20939" y="3765"/>
                <wp:lineTo x="21528" y="3059"/>
                <wp:lineTo x="21528" y="0"/>
                <wp:lineTo x="0" y="0"/>
              </wp:wrapPolygon>
            </wp:wrapTight>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288405" cy="349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770C" w:rsidRPr="001D30C7">
        <w:rPr>
          <w:rFonts w:ascii="Arial" w:eastAsia="Cambria" w:hAnsi="Arial" w:cs="Times"/>
          <w:b/>
          <w:iCs/>
          <w:szCs w:val="20"/>
        </w:rPr>
        <w:t>Ventilation et évolution du nombre de jours de formation par domaine</w:t>
      </w:r>
    </w:p>
    <w:p w:rsidR="0079770C" w:rsidRPr="004E2374" w:rsidRDefault="0079770C" w:rsidP="004E2374">
      <w:pPr>
        <w:widowControl w:val="0"/>
        <w:autoSpaceDE w:val="0"/>
        <w:autoSpaceDN w:val="0"/>
        <w:adjustRightInd w:val="0"/>
        <w:ind w:left="-142"/>
        <w:jc w:val="center"/>
        <w:rPr>
          <w:rFonts w:ascii="Arial" w:eastAsia="Times New Roman" w:hAnsi="Arial" w:cs="Arial"/>
          <w:sz w:val="22"/>
          <w:szCs w:val="22"/>
          <w:lang w:eastAsia="fr-FR"/>
        </w:rPr>
      </w:pPr>
      <w:r w:rsidRPr="004E2374">
        <w:rPr>
          <w:rFonts w:ascii="Arial" w:eastAsia="Times New Roman" w:hAnsi="Arial" w:cs="Arial"/>
          <w:sz w:val="22"/>
          <w:szCs w:val="22"/>
          <w:lang w:eastAsia="fr-FR"/>
        </w:rPr>
        <w:t>L'augmentation du nombre de jours de formation concerne en premier lieu les domaines :</w:t>
      </w:r>
    </w:p>
    <w:p w:rsidR="0079770C" w:rsidRPr="004E2374" w:rsidRDefault="0079770C" w:rsidP="0034289D">
      <w:pPr>
        <w:numPr>
          <w:ilvl w:val="0"/>
          <w:numId w:val="18"/>
        </w:numPr>
        <w:ind w:left="1440" w:hanging="363"/>
        <w:jc w:val="both"/>
        <w:rPr>
          <w:rFonts w:ascii="Arial" w:eastAsia="Times New Roman" w:hAnsi="Arial" w:cs="Arial"/>
          <w:i/>
          <w:iCs/>
          <w:sz w:val="22"/>
          <w:szCs w:val="22"/>
          <w:lang w:eastAsia="fr-FR"/>
        </w:rPr>
      </w:pPr>
      <w:r w:rsidRPr="004E2374">
        <w:rPr>
          <w:rFonts w:ascii="Arial" w:eastAsia="Times New Roman" w:hAnsi="Arial" w:cs="Arial"/>
          <w:i/>
          <w:iCs/>
          <w:sz w:val="22"/>
          <w:szCs w:val="22"/>
          <w:lang w:eastAsia="fr-FR"/>
        </w:rPr>
        <w:t>techniques juridiques (+ 47 %)</w:t>
      </w:r>
    </w:p>
    <w:p w:rsidR="0079770C" w:rsidRPr="004E2374" w:rsidRDefault="0079770C" w:rsidP="0034289D">
      <w:pPr>
        <w:numPr>
          <w:ilvl w:val="0"/>
          <w:numId w:val="18"/>
        </w:numPr>
        <w:ind w:left="1440" w:hanging="363"/>
        <w:jc w:val="both"/>
        <w:rPr>
          <w:rFonts w:ascii="Arial" w:eastAsia="Times New Roman" w:hAnsi="Arial" w:cs="Arial"/>
          <w:i/>
          <w:iCs/>
          <w:sz w:val="22"/>
          <w:szCs w:val="22"/>
          <w:lang w:eastAsia="fr-FR"/>
        </w:rPr>
      </w:pPr>
      <w:r w:rsidRPr="004E2374">
        <w:rPr>
          <w:rFonts w:ascii="Arial" w:eastAsia="Times New Roman" w:hAnsi="Arial" w:cs="Arial"/>
          <w:i/>
          <w:iCs/>
          <w:sz w:val="22"/>
          <w:szCs w:val="22"/>
          <w:lang w:eastAsia="fr-FR"/>
        </w:rPr>
        <w:t>communication (+ 43 %)</w:t>
      </w:r>
    </w:p>
    <w:p w:rsidR="004E2374" w:rsidRDefault="0079770C" w:rsidP="004E2374">
      <w:pPr>
        <w:jc w:val="both"/>
        <w:rPr>
          <w:rFonts w:ascii="Arial" w:eastAsia="Times New Roman" w:hAnsi="Arial" w:cs="Arial"/>
          <w:sz w:val="22"/>
          <w:szCs w:val="22"/>
          <w:lang w:eastAsia="fr-FR"/>
        </w:rPr>
      </w:pPr>
      <w:r w:rsidRPr="004E2374">
        <w:rPr>
          <w:rFonts w:ascii="Arial" w:eastAsia="Times New Roman" w:hAnsi="Arial" w:cs="Arial"/>
          <w:sz w:val="22"/>
          <w:szCs w:val="22"/>
          <w:lang w:eastAsia="fr-FR"/>
        </w:rPr>
        <w:t>On constate également une augmentation du nombre de jours pour les formations linguistiques et les formations statutaires. Ces domaines offrant des cursus souvent longs, leurs évolutions confirment la tendance à la diminution des formations courtes au profit de formations plus longues.</w:t>
      </w:r>
    </w:p>
    <w:p w:rsidR="0079770C" w:rsidRPr="004E2374" w:rsidRDefault="0079770C" w:rsidP="004E2374">
      <w:pPr>
        <w:jc w:val="both"/>
        <w:rPr>
          <w:rFonts w:ascii="Cambria" w:eastAsia="Cambria" w:hAnsi="Cambria" w:cs="Times New Roman"/>
          <w:sz w:val="22"/>
          <w:szCs w:val="22"/>
        </w:rPr>
      </w:pPr>
      <w:r w:rsidRPr="004E2374">
        <w:rPr>
          <w:rFonts w:ascii="Arial" w:eastAsia="Times New Roman" w:hAnsi="Arial" w:cs="Arial"/>
          <w:sz w:val="22"/>
          <w:szCs w:val="22"/>
          <w:lang w:eastAsia="fr-FR"/>
        </w:rPr>
        <w:t xml:space="preserve">La part très importante des formations statutaires (près de 15 % de l'ensemble des jours de formation) correspond à la formation d'application des conservateurs du patrimoine </w:t>
      </w:r>
      <w:r w:rsidR="004E2374">
        <w:rPr>
          <w:rFonts w:ascii="Arial" w:eastAsia="Times New Roman" w:hAnsi="Arial" w:cs="Arial"/>
          <w:sz w:val="22"/>
          <w:szCs w:val="22"/>
          <w:lang w:eastAsia="fr-FR"/>
        </w:rPr>
        <w:br/>
      </w:r>
      <w:r w:rsidRPr="004E2374">
        <w:rPr>
          <w:rFonts w:ascii="Arial" w:eastAsia="Times New Roman" w:hAnsi="Arial" w:cs="Arial"/>
          <w:sz w:val="22"/>
          <w:szCs w:val="22"/>
          <w:lang w:eastAsia="fr-FR"/>
        </w:rPr>
        <w:t>(12 175 jours) à l'Institut national du patrimoine.</w:t>
      </w:r>
      <w:r w:rsidRPr="004E2374">
        <w:rPr>
          <w:rFonts w:ascii="Cambria" w:eastAsia="Cambria" w:hAnsi="Cambria" w:cs="Times New Roman"/>
          <w:sz w:val="22"/>
          <w:szCs w:val="22"/>
        </w:rPr>
        <w:br w:type="page"/>
      </w:r>
    </w:p>
    <w:p w:rsidR="0079770C" w:rsidRPr="009F6D4E" w:rsidRDefault="0079770C" w:rsidP="0079770C">
      <w:pPr>
        <w:widowControl w:val="0"/>
        <w:autoSpaceDE w:val="0"/>
        <w:autoSpaceDN w:val="0"/>
        <w:adjustRightInd w:val="0"/>
        <w:ind w:left="851" w:hanging="851"/>
        <w:rPr>
          <w:rFonts w:ascii="Florencesans Exp" w:eastAsia="Cambria" w:hAnsi="Florencesans Exp" w:cs="Times New Roman"/>
          <w:b/>
          <w:color w:val="CC66FF"/>
          <w:sz w:val="28"/>
        </w:rPr>
      </w:pPr>
      <w:r w:rsidRPr="009F6D4E">
        <w:rPr>
          <w:rFonts w:ascii="Florencesans Exp" w:eastAsia="Cambria" w:hAnsi="Florencesans Exp" w:cs="Times New Roman"/>
          <w:b/>
          <w:color w:val="CC66FF"/>
          <w:sz w:val="28"/>
        </w:rPr>
        <w:lastRenderedPageBreak/>
        <w:t>6. B. REPARTITION DES ACTIONS PAR TYPE DE FORMATION ET PAR CATEGORIES D'AGENTS (DONNEES T2 ET T3)</w:t>
      </w:r>
    </w:p>
    <w:p w:rsidR="0079770C" w:rsidRPr="001D30C7" w:rsidRDefault="0079770C" w:rsidP="0079770C">
      <w:pPr>
        <w:rPr>
          <w:rFonts w:ascii="Cambria" w:eastAsia="Cambria" w:hAnsi="Cambria" w:cs="Times New Roman"/>
          <w:sz w:val="32"/>
        </w:rPr>
      </w:pPr>
    </w:p>
    <w:p w:rsidR="0079770C" w:rsidRPr="004E756E" w:rsidRDefault="0079770C" w:rsidP="0079770C">
      <w:pPr>
        <w:spacing w:before="113" w:after="113"/>
        <w:jc w:val="both"/>
        <w:rPr>
          <w:rFonts w:ascii="Arial" w:eastAsia="Times New Roman" w:hAnsi="Arial" w:cs="Arial"/>
          <w:sz w:val="22"/>
          <w:szCs w:val="22"/>
          <w:lang w:eastAsia="fr-FR"/>
        </w:rPr>
      </w:pPr>
      <w:r w:rsidRPr="004E756E">
        <w:rPr>
          <w:rFonts w:ascii="Arial" w:eastAsia="Times New Roman" w:hAnsi="Arial" w:cs="Arial"/>
          <w:sz w:val="22"/>
          <w:szCs w:val="22"/>
          <w:lang w:eastAsia="fr-FR"/>
        </w:rPr>
        <w:t>La formation statutaire est destinée, conformément aux règles prévues dans les statuts particuliers, à conférer aux fonctionnaires accédant à un grade les connaissances théoriques et pratiques nécessaires à l’exercice de leurs fonctions et la connaissance de l’environnement dans lequel elles s’exercent. Elle concerne notamment les agents titulaires qui suivent des formations obligatoires dans le cadre de leur statut particulier. Sont principalement pris en compte dans cette catégorie les conservateurs stagiaires accueillis dans les formations longues de l'INP.</w:t>
      </w:r>
    </w:p>
    <w:p w:rsidR="0079770C" w:rsidRPr="004E756E" w:rsidRDefault="0079770C" w:rsidP="0079770C">
      <w:pPr>
        <w:spacing w:before="113" w:after="113"/>
        <w:jc w:val="both"/>
        <w:rPr>
          <w:rFonts w:ascii="Arial" w:eastAsia="Times New Roman" w:hAnsi="Arial" w:cs="Arial"/>
          <w:sz w:val="22"/>
          <w:szCs w:val="22"/>
          <w:lang w:eastAsia="fr-FR"/>
        </w:rPr>
      </w:pPr>
      <w:r w:rsidRPr="004E756E">
        <w:rPr>
          <w:rFonts w:ascii="Arial" w:eastAsia="Times New Roman" w:hAnsi="Arial" w:cs="Arial"/>
          <w:sz w:val="22"/>
          <w:szCs w:val="22"/>
          <w:lang w:eastAsia="fr-FR"/>
        </w:rPr>
        <w:t>Les actions de formation continue sont quant à elles classées en trois catégories en fonction de leurs objectifs :</w:t>
      </w:r>
    </w:p>
    <w:p w:rsidR="0079770C" w:rsidRPr="004E756E" w:rsidRDefault="0079770C" w:rsidP="0034289D">
      <w:pPr>
        <w:numPr>
          <w:ilvl w:val="0"/>
          <w:numId w:val="19"/>
        </w:numPr>
        <w:spacing w:after="119"/>
        <w:ind w:left="1440" w:hanging="363"/>
        <w:jc w:val="both"/>
        <w:rPr>
          <w:rFonts w:ascii="Arial" w:eastAsia="Times New Roman" w:hAnsi="Arial" w:cs="Arial"/>
          <w:i/>
          <w:iCs/>
          <w:sz w:val="22"/>
          <w:szCs w:val="22"/>
          <w:lang w:eastAsia="fr-FR"/>
        </w:rPr>
      </w:pPr>
      <w:r w:rsidRPr="004E756E">
        <w:rPr>
          <w:rFonts w:ascii="Arial" w:eastAsia="Times New Roman" w:hAnsi="Arial" w:cs="Arial"/>
          <w:i/>
          <w:iCs/>
          <w:sz w:val="22"/>
          <w:szCs w:val="22"/>
          <w:lang w:eastAsia="fr-FR"/>
        </w:rPr>
        <w:t>l’adaptation immédiate au poste de travail (Type T1)</w:t>
      </w:r>
    </w:p>
    <w:p w:rsidR="0079770C" w:rsidRPr="004E756E" w:rsidRDefault="0079770C" w:rsidP="0034289D">
      <w:pPr>
        <w:numPr>
          <w:ilvl w:val="0"/>
          <w:numId w:val="19"/>
        </w:numPr>
        <w:spacing w:after="119"/>
        <w:ind w:left="1440" w:hanging="363"/>
        <w:jc w:val="both"/>
        <w:rPr>
          <w:rFonts w:ascii="Arial" w:eastAsia="Times New Roman" w:hAnsi="Arial" w:cs="Arial"/>
          <w:i/>
          <w:iCs/>
          <w:sz w:val="22"/>
          <w:szCs w:val="22"/>
          <w:lang w:eastAsia="fr-FR"/>
        </w:rPr>
      </w:pPr>
      <w:r w:rsidRPr="004E756E">
        <w:rPr>
          <w:rFonts w:ascii="Arial" w:eastAsia="Times New Roman" w:hAnsi="Arial" w:cs="Arial"/>
          <w:i/>
          <w:iCs/>
          <w:sz w:val="22"/>
          <w:szCs w:val="22"/>
          <w:lang w:eastAsia="fr-FR"/>
        </w:rPr>
        <w:t>l’adaptation à l’évolution prévisible des métiers (Type T2)</w:t>
      </w:r>
    </w:p>
    <w:p w:rsidR="0079770C" w:rsidRPr="004E756E" w:rsidRDefault="0079770C" w:rsidP="0034289D">
      <w:pPr>
        <w:numPr>
          <w:ilvl w:val="0"/>
          <w:numId w:val="19"/>
        </w:numPr>
        <w:spacing w:after="119"/>
        <w:ind w:left="1440" w:hanging="363"/>
        <w:jc w:val="both"/>
        <w:rPr>
          <w:rFonts w:ascii="Arial" w:eastAsia="Times New Roman" w:hAnsi="Arial" w:cs="Arial"/>
          <w:i/>
          <w:iCs/>
          <w:sz w:val="22"/>
          <w:szCs w:val="22"/>
          <w:lang w:eastAsia="fr-FR"/>
        </w:rPr>
      </w:pPr>
      <w:r w:rsidRPr="004E756E">
        <w:rPr>
          <w:rFonts w:ascii="Arial" w:eastAsia="Times New Roman" w:hAnsi="Arial" w:cs="Arial"/>
          <w:i/>
          <w:iCs/>
          <w:sz w:val="22"/>
          <w:szCs w:val="22"/>
          <w:lang w:eastAsia="fr-FR"/>
        </w:rPr>
        <w:t>le développement des qualifications ou l’acquisition de nouvelles qualifications (Type T3).</w:t>
      </w:r>
    </w:p>
    <w:p w:rsidR="0079770C" w:rsidRPr="004E756E" w:rsidRDefault="0079770C" w:rsidP="0079770C">
      <w:pPr>
        <w:spacing w:before="113" w:after="113"/>
        <w:jc w:val="both"/>
        <w:rPr>
          <w:rFonts w:ascii="Arial" w:eastAsia="Times New Roman" w:hAnsi="Arial" w:cs="Arial"/>
          <w:sz w:val="22"/>
          <w:szCs w:val="22"/>
          <w:lang w:eastAsia="fr-FR"/>
        </w:rPr>
      </w:pPr>
      <w:r w:rsidRPr="004E756E">
        <w:rPr>
          <w:noProof/>
          <w:sz w:val="22"/>
          <w:szCs w:val="22"/>
          <w:lang w:eastAsia="fr-FR"/>
        </w:rPr>
        <w:drawing>
          <wp:anchor distT="0" distB="0" distL="114300" distR="114300" simplePos="0" relativeHeight="251847680" behindDoc="1" locked="0" layoutInCell="1" allowOverlap="1" wp14:anchorId="36656415" wp14:editId="6ABD40BC">
            <wp:simplePos x="0" y="0"/>
            <wp:positionH relativeFrom="margin">
              <wp:align>center</wp:align>
            </wp:positionH>
            <wp:positionV relativeFrom="paragraph">
              <wp:posOffset>875665</wp:posOffset>
            </wp:positionV>
            <wp:extent cx="6701790" cy="2889250"/>
            <wp:effectExtent l="0" t="0" r="3810" b="6350"/>
            <wp:wrapTight wrapText="bothSides">
              <wp:wrapPolygon edited="0">
                <wp:start x="0" y="0"/>
                <wp:lineTo x="0" y="21505"/>
                <wp:lineTo x="20384" y="21505"/>
                <wp:lineTo x="20875" y="21363"/>
                <wp:lineTo x="21551" y="20935"/>
                <wp:lineTo x="21551" y="14384"/>
                <wp:lineTo x="21182" y="13672"/>
                <wp:lineTo x="21489" y="13672"/>
                <wp:lineTo x="21551" y="13245"/>
                <wp:lineTo x="21551" y="0"/>
                <wp:lineTo x="0" y="0"/>
              </wp:wrapPolygon>
            </wp:wrapTight>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701790" cy="288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756E">
        <w:rPr>
          <w:rFonts w:ascii="Arial" w:eastAsia="Times New Roman" w:hAnsi="Arial" w:cs="Arial"/>
          <w:sz w:val="22"/>
          <w:szCs w:val="22"/>
          <w:lang w:eastAsia="fr-FR"/>
        </w:rPr>
        <w:t>Une action de formation n’est pas classée, a priori, dans une des catégories. Selon les circonstances, elle sera suivie au titre de l’une d’entre elles. C’est le cadre dans lequel se situe la demande individuelle de formation qui permet de la classer dans la typologie au moment de l’inscription de l’agent. A ces trois types d'actions de formation continue</w:t>
      </w:r>
      <w:r w:rsidRPr="00945847">
        <w:rPr>
          <w:rFonts w:ascii="Arial" w:eastAsia="Times New Roman" w:hAnsi="Arial" w:cs="Arial"/>
          <w:lang w:eastAsia="fr-FR"/>
        </w:rPr>
        <w:t xml:space="preserve"> </w:t>
      </w:r>
      <w:r w:rsidRPr="004E756E">
        <w:rPr>
          <w:rFonts w:ascii="Arial" w:eastAsia="Times New Roman" w:hAnsi="Arial" w:cs="Arial"/>
          <w:sz w:val="22"/>
          <w:szCs w:val="22"/>
          <w:lang w:eastAsia="fr-FR"/>
        </w:rPr>
        <w:t>peuvent également s'ajouter les formations de préparation aux concours et examens professionnels.</w:t>
      </w:r>
    </w:p>
    <w:p w:rsidR="004E756E" w:rsidRDefault="004E756E" w:rsidP="004E756E">
      <w:pPr>
        <w:pStyle w:val="western"/>
        <w:spacing w:before="0" w:beforeAutospacing="0"/>
        <w:jc w:val="both"/>
        <w:rPr>
          <w:sz w:val="22"/>
          <w:szCs w:val="22"/>
        </w:rPr>
      </w:pPr>
    </w:p>
    <w:p w:rsidR="0079770C" w:rsidRPr="004E756E" w:rsidRDefault="0079770C" w:rsidP="004E756E">
      <w:pPr>
        <w:pStyle w:val="western"/>
        <w:spacing w:before="0" w:beforeAutospacing="0"/>
        <w:jc w:val="both"/>
        <w:rPr>
          <w:sz w:val="22"/>
          <w:szCs w:val="22"/>
        </w:rPr>
      </w:pPr>
      <w:r w:rsidRPr="004E756E">
        <w:rPr>
          <w:sz w:val="22"/>
          <w:szCs w:val="22"/>
        </w:rPr>
        <w:t>La grande majorité des stagiaires se concentre sur des formations de type T1. On constate cependant que les formations de type T3 ont une durée moyenne supérieure. Par ailleurs la durée très importante des formations statutaires correspond essentiellement à la formation d'application des conservateurs du patrimoine à l'Institut national du patrimoine.</w:t>
      </w:r>
    </w:p>
    <w:p w:rsidR="0079770C" w:rsidRDefault="0079770C" w:rsidP="0079770C">
      <w:pPr>
        <w:widowControl w:val="0"/>
        <w:autoSpaceDE w:val="0"/>
        <w:autoSpaceDN w:val="0"/>
        <w:adjustRightInd w:val="0"/>
        <w:jc w:val="both"/>
        <w:rPr>
          <w:rFonts w:ascii="Arial" w:eastAsia="Cambria" w:hAnsi="Arial" w:cs="Arial"/>
        </w:rPr>
      </w:pPr>
    </w:p>
    <w:p w:rsidR="0079770C" w:rsidRPr="00945847" w:rsidRDefault="0079770C" w:rsidP="0079770C">
      <w:pPr>
        <w:widowControl w:val="0"/>
        <w:autoSpaceDE w:val="0"/>
        <w:autoSpaceDN w:val="0"/>
        <w:adjustRightInd w:val="0"/>
        <w:jc w:val="both"/>
        <w:rPr>
          <w:rFonts w:ascii="Arial" w:eastAsia="Cambria" w:hAnsi="Arial" w:cs="Arial"/>
        </w:rPr>
      </w:pPr>
    </w:p>
    <w:p w:rsidR="0079770C" w:rsidRDefault="0079770C" w:rsidP="0079770C">
      <w:pPr>
        <w:rPr>
          <w:rFonts w:ascii="Cambria" w:eastAsia="Cambria" w:hAnsi="Cambria" w:cs="Times New Roman"/>
        </w:rPr>
      </w:pPr>
      <w:r>
        <w:rPr>
          <w:rFonts w:ascii="Cambria" w:eastAsia="Cambria" w:hAnsi="Cambria" w:cs="Times New Roman"/>
        </w:rPr>
        <w:br w:type="page"/>
      </w: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9F6D4E" w:rsidRDefault="0079770C" w:rsidP="0079770C">
      <w:pPr>
        <w:widowControl w:val="0"/>
        <w:autoSpaceDE w:val="0"/>
        <w:autoSpaceDN w:val="0"/>
        <w:adjustRightInd w:val="0"/>
        <w:ind w:left="851" w:hanging="851"/>
        <w:jc w:val="both"/>
        <w:rPr>
          <w:rFonts w:ascii="Florencesans Exp" w:eastAsia="Cambria" w:hAnsi="Florencesans Exp" w:cs="Times New Roman"/>
        </w:rPr>
      </w:pPr>
      <w:r w:rsidRPr="009F6D4E">
        <w:rPr>
          <w:rFonts w:ascii="Florencesans Exp" w:eastAsia="Cambria" w:hAnsi="Florencesans Exp" w:cs="Times New Roman"/>
          <w:b/>
          <w:color w:val="CC66FF"/>
          <w:sz w:val="28"/>
        </w:rPr>
        <w:t>6. C. LES DISPOSITIFS PARTICULIERS DE FORMATION (DONNEES T2 ET T3)</w:t>
      </w:r>
    </w:p>
    <w:p w:rsidR="0079770C" w:rsidRPr="001D30C7" w:rsidRDefault="0079770C" w:rsidP="0079770C">
      <w:pPr>
        <w:rPr>
          <w:rFonts w:ascii="Cambria" w:eastAsia="Cambria" w:hAnsi="Cambria" w:cs="Times New Roman"/>
          <w:sz w:val="32"/>
        </w:rPr>
      </w:pPr>
    </w:p>
    <w:p w:rsidR="0079770C" w:rsidRPr="009F6D4E" w:rsidRDefault="0079770C" w:rsidP="0079770C">
      <w:pPr>
        <w:rPr>
          <w:rFonts w:ascii="Florencesans Exp" w:eastAsia="Cambria" w:hAnsi="Florencesans Exp" w:cs="Times New Roman"/>
        </w:rPr>
      </w:pPr>
      <w:r w:rsidRPr="009F6D4E">
        <w:rPr>
          <w:rFonts w:ascii="Florencesans Exp" w:eastAsia="Cambria" w:hAnsi="Florencesans Exp" w:cs="Times New Roman"/>
        </w:rPr>
        <w:t>6. C. 1. LE DROIT INDIVIDUEL A LA FORMATION (DIF)</w:t>
      </w:r>
    </w:p>
    <w:p w:rsidR="0079770C" w:rsidRPr="001D30C7" w:rsidRDefault="0079770C" w:rsidP="0079770C">
      <w:pPr>
        <w:rPr>
          <w:rFonts w:ascii="Cambria" w:eastAsia="Cambria" w:hAnsi="Cambria" w:cs="Times New Roman"/>
        </w:rPr>
      </w:pPr>
    </w:p>
    <w:p w:rsidR="0079770C" w:rsidRPr="003542E0" w:rsidRDefault="0079770C" w:rsidP="0079770C">
      <w:pPr>
        <w:spacing w:before="113" w:after="113"/>
        <w:jc w:val="both"/>
        <w:rPr>
          <w:rFonts w:ascii="Arial" w:eastAsia="Times New Roman" w:hAnsi="Arial" w:cs="Arial"/>
          <w:sz w:val="22"/>
          <w:szCs w:val="22"/>
          <w:lang w:eastAsia="fr-FR"/>
        </w:rPr>
      </w:pPr>
      <w:r w:rsidRPr="003542E0">
        <w:rPr>
          <w:rFonts w:ascii="Arial" w:eastAsia="Times New Roman" w:hAnsi="Arial" w:cs="Arial"/>
          <w:sz w:val="22"/>
          <w:szCs w:val="22"/>
          <w:lang w:eastAsia="fr-FR"/>
        </w:rPr>
        <w:t>En 2013, on observe une diminution du recours au DIF très marquée en ce qui concerne le nombre de stagiaires (533 contre 788 en 2012), mais beaucoup plus mesurée en termes de nombre d'heures (16 277 en 2013 contre 16 423 en 2012).</w:t>
      </w:r>
    </w:p>
    <w:p w:rsidR="0079770C" w:rsidRPr="003542E0" w:rsidRDefault="0079770C" w:rsidP="0079770C">
      <w:pPr>
        <w:spacing w:before="113" w:after="113"/>
        <w:jc w:val="both"/>
        <w:rPr>
          <w:rFonts w:ascii="Arial" w:eastAsia="Times New Roman" w:hAnsi="Arial" w:cs="Arial"/>
          <w:sz w:val="22"/>
          <w:szCs w:val="22"/>
          <w:lang w:eastAsia="fr-FR"/>
        </w:rPr>
      </w:pPr>
      <w:r w:rsidRPr="003542E0">
        <w:rPr>
          <w:rFonts w:ascii="Arial" w:eastAsia="Times New Roman" w:hAnsi="Arial" w:cs="Arial"/>
          <w:sz w:val="22"/>
          <w:szCs w:val="22"/>
          <w:lang w:eastAsia="fr-FR"/>
        </w:rPr>
        <w:t>Les domaines les plus concernés par le DIF sont :</w:t>
      </w:r>
    </w:p>
    <w:p w:rsidR="0079770C" w:rsidRPr="003542E0" w:rsidRDefault="0079770C" w:rsidP="0034289D">
      <w:pPr>
        <w:numPr>
          <w:ilvl w:val="0"/>
          <w:numId w:val="20"/>
        </w:numPr>
        <w:spacing w:after="119"/>
        <w:ind w:left="1440" w:hanging="363"/>
        <w:jc w:val="both"/>
        <w:rPr>
          <w:rFonts w:ascii="Arial" w:eastAsia="Times New Roman" w:hAnsi="Arial" w:cs="Arial"/>
          <w:i/>
          <w:iCs/>
          <w:sz w:val="22"/>
          <w:szCs w:val="22"/>
          <w:lang w:eastAsia="fr-FR"/>
        </w:rPr>
      </w:pPr>
      <w:r w:rsidRPr="003542E0">
        <w:rPr>
          <w:rFonts w:ascii="Arial" w:eastAsia="Times New Roman" w:hAnsi="Arial" w:cs="Arial"/>
          <w:i/>
          <w:iCs/>
          <w:sz w:val="22"/>
          <w:szCs w:val="22"/>
          <w:lang w:eastAsia="fr-FR"/>
        </w:rPr>
        <w:t>les formations linguistiques (24 % des stagiaires / 27 % des jours),</w:t>
      </w:r>
    </w:p>
    <w:p w:rsidR="0079770C" w:rsidRPr="003542E0" w:rsidRDefault="0079770C" w:rsidP="0034289D">
      <w:pPr>
        <w:numPr>
          <w:ilvl w:val="0"/>
          <w:numId w:val="20"/>
        </w:numPr>
        <w:spacing w:after="119"/>
        <w:ind w:left="1440" w:hanging="363"/>
        <w:jc w:val="both"/>
        <w:rPr>
          <w:rFonts w:ascii="Arial" w:eastAsia="Times New Roman" w:hAnsi="Arial" w:cs="Arial"/>
          <w:i/>
          <w:iCs/>
          <w:sz w:val="22"/>
          <w:szCs w:val="22"/>
          <w:lang w:eastAsia="fr-FR"/>
        </w:rPr>
      </w:pPr>
      <w:r w:rsidRPr="003542E0">
        <w:rPr>
          <w:rFonts w:ascii="Arial" w:eastAsia="Times New Roman" w:hAnsi="Arial" w:cs="Arial"/>
          <w:i/>
          <w:iCs/>
          <w:sz w:val="22"/>
          <w:szCs w:val="22"/>
          <w:lang w:eastAsia="fr-FR"/>
        </w:rPr>
        <w:t>les métiers de la culture (19 % des stagiaires / 23 % des jours),</w:t>
      </w:r>
    </w:p>
    <w:p w:rsidR="0079770C" w:rsidRPr="003542E0" w:rsidRDefault="0079770C" w:rsidP="0034289D">
      <w:pPr>
        <w:numPr>
          <w:ilvl w:val="0"/>
          <w:numId w:val="20"/>
        </w:numPr>
        <w:spacing w:after="119"/>
        <w:ind w:left="1440" w:hanging="363"/>
        <w:jc w:val="both"/>
        <w:rPr>
          <w:rFonts w:ascii="Arial" w:eastAsia="Times New Roman" w:hAnsi="Arial" w:cs="Arial"/>
          <w:i/>
          <w:iCs/>
          <w:sz w:val="22"/>
          <w:szCs w:val="22"/>
          <w:lang w:eastAsia="fr-FR"/>
        </w:rPr>
      </w:pPr>
      <w:r w:rsidRPr="003542E0">
        <w:rPr>
          <w:rFonts w:ascii="Arial" w:eastAsia="Times New Roman" w:hAnsi="Arial" w:cs="Arial"/>
          <w:i/>
          <w:iCs/>
          <w:sz w:val="22"/>
          <w:szCs w:val="22"/>
          <w:lang w:eastAsia="fr-FR"/>
        </w:rPr>
        <w:t>les préparations aux concours (16 % des stagiaires / 20 % des jours).</w:t>
      </w: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9F6D4E" w:rsidRDefault="0079770C" w:rsidP="0079770C">
      <w:pPr>
        <w:rPr>
          <w:rFonts w:ascii="Florencesans Exp" w:eastAsia="Cambria" w:hAnsi="Florencesans Exp" w:cs="Times New Roman"/>
        </w:rPr>
      </w:pPr>
      <w:r w:rsidRPr="009F6D4E">
        <w:rPr>
          <w:rFonts w:ascii="Florencesans Exp" w:eastAsia="Cambria" w:hAnsi="Florencesans Exp" w:cs="Times New Roman"/>
        </w:rPr>
        <w:t>6. C. 2. LE BILAN DE COMPETENCES</w:t>
      </w:r>
    </w:p>
    <w:p w:rsidR="0079770C" w:rsidRPr="001D30C7" w:rsidRDefault="0079770C" w:rsidP="0079770C">
      <w:pPr>
        <w:rPr>
          <w:rFonts w:ascii="BlairMdITC TT-Medium" w:eastAsia="Cambria" w:hAnsi="BlairMdITC TT-Medium" w:cs="Times New Roman"/>
        </w:rPr>
      </w:pPr>
    </w:p>
    <w:p w:rsidR="0079770C" w:rsidRPr="003542E0" w:rsidRDefault="0079770C" w:rsidP="003542E0">
      <w:pPr>
        <w:pStyle w:val="western"/>
        <w:spacing w:before="0" w:beforeAutospacing="0"/>
        <w:jc w:val="both"/>
        <w:rPr>
          <w:sz w:val="22"/>
          <w:szCs w:val="22"/>
        </w:rPr>
      </w:pPr>
      <w:r w:rsidRPr="003542E0">
        <w:rPr>
          <w:sz w:val="22"/>
          <w:szCs w:val="22"/>
        </w:rPr>
        <w:t>Le bilan de compétences, aux termes du décret du 15 octobre 2007, permet aux agents «</w:t>
      </w:r>
      <w:r w:rsidRPr="003542E0">
        <w:rPr>
          <w:i/>
          <w:iCs/>
          <w:sz w:val="22"/>
          <w:szCs w:val="22"/>
        </w:rPr>
        <w:t> d'analyser leurs compétences, aptitudes et motivations en vue de définir un projet professionnel </w:t>
      </w:r>
      <w:r w:rsidRPr="003542E0">
        <w:rPr>
          <w:sz w:val="22"/>
          <w:szCs w:val="22"/>
        </w:rPr>
        <w:t>». Le cas échéant il permet de définir un projet de formation. Le congé ne peut excéder 24 heures de temps de service, soit quatre jours, qui peuvent le cas échéant être complétées par des heures prises sur le DIF.</w:t>
      </w:r>
    </w:p>
    <w:p w:rsidR="0079770C" w:rsidRPr="003542E0" w:rsidRDefault="0079770C" w:rsidP="003542E0">
      <w:pPr>
        <w:pStyle w:val="western"/>
        <w:spacing w:before="0" w:beforeAutospacing="0"/>
        <w:jc w:val="both"/>
        <w:rPr>
          <w:sz w:val="22"/>
          <w:szCs w:val="22"/>
        </w:rPr>
      </w:pPr>
      <w:r w:rsidRPr="003542E0">
        <w:rPr>
          <w:sz w:val="22"/>
          <w:szCs w:val="22"/>
        </w:rPr>
        <w:t>Le nombre d'agents recourant au bilan de compétences enregistre une progression globale en 2013 par rapport à 2012.</w:t>
      </w: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BA2589" w:rsidRDefault="0079770C" w:rsidP="0079770C">
      <w:pPr>
        <w:jc w:val="center"/>
        <w:rPr>
          <w:rFonts w:ascii="Arial" w:eastAsia="Cambria" w:hAnsi="Arial" w:cs="Times"/>
          <w:b/>
          <w:iCs/>
          <w:szCs w:val="20"/>
        </w:rPr>
      </w:pPr>
      <w:r w:rsidRPr="00BA2589">
        <w:rPr>
          <w:rFonts w:ascii="Arial" w:eastAsia="Cambria" w:hAnsi="Arial" w:cs="Times"/>
          <w:b/>
          <w:iCs/>
          <w:szCs w:val="20"/>
        </w:rPr>
        <w:t>Nombre de bilan de compétence depuis 2007 par type de structures</w:t>
      </w:r>
    </w:p>
    <w:p w:rsidR="0079770C" w:rsidRPr="009F5E1B" w:rsidRDefault="0079770C" w:rsidP="0079770C">
      <w:pPr>
        <w:jc w:val="center"/>
        <w:rPr>
          <w:rFonts w:ascii="Cambria" w:eastAsia="Cambria" w:hAnsi="Cambria" w:cs="Times"/>
          <w:i/>
          <w:iCs/>
          <w:szCs w:val="20"/>
          <w:highlight w:val="yellow"/>
        </w:rPr>
      </w:pPr>
    </w:p>
    <w:tbl>
      <w:tblPr>
        <w:tblW w:w="10020" w:type="dxa"/>
        <w:jc w:val="center"/>
        <w:tblCellMar>
          <w:left w:w="70" w:type="dxa"/>
          <w:right w:w="70" w:type="dxa"/>
        </w:tblCellMar>
        <w:tblLook w:val="04A0" w:firstRow="1" w:lastRow="0" w:firstColumn="1" w:lastColumn="0" w:noHBand="0" w:noVBand="1"/>
      </w:tblPr>
      <w:tblGrid>
        <w:gridCol w:w="920"/>
        <w:gridCol w:w="1834"/>
        <w:gridCol w:w="1820"/>
        <w:gridCol w:w="1820"/>
        <w:gridCol w:w="1820"/>
        <w:gridCol w:w="1820"/>
      </w:tblGrid>
      <w:tr w:rsidR="0079770C" w:rsidRPr="00BA2589" w:rsidTr="0079770C">
        <w:trPr>
          <w:trHeight w:val="560"/>
          <w:jc w:val="center"/>
        </w:trPr>
        <w:tc>
          <w:tcPr>
            <w:tcW w:w="920" w:type="dxa"/>
            <w:tcBorders>
              <w:top w:val="nil"/>
              <w:left w:val="nil"/>
              <w:bottom w:val="nil"/>
              <w:right w:val="nil"/>
            </w:tcBorders>
            <w:shd w:val="clear" w:color="auto" w:fill="auto"/>
            <w:vAlign w:val="center"/>
            <w:hideMark/>
          </w:tcPr>
          <w:p w:rsidR="0079770C" w:rsidRPr="00BA2589" w:rsidRDefault="0079770C" w:rsidP="0079770C">
            <w:pPr>
              <w:rPr>
                <w:rFonts w:ascii="Times New Roman" w:eastAsia="Times New Roman" w:hAnsi="Times New Roman" w:cs="Times New Roman"/>
                <w:lang w:eastAsia="fr-FR"/>
              </w:rPr>
            </w:pPr>
          </w:p>
        </w:tc>
        <w:tc>
          <w:tcPr>
            <w:tcW w:w="1820" w:type="dxa"/>
            <w:tcBorders>
              <w:top w:val="single" w:sz="4" w:space="0" w:color="A6A6A6"/>
              <w:left w:val="single" w:sz="4" w:space="0" w:color="A6A6A6"/>
              <w:bottom w:val="single" w:sz="4" w:space="0" w:color="A6A6A6"/>
              <w:right w:val="single" w:sz="4" w:space="0" w:color="A6A6A6"/>
            </w:tcBorders>
            <w:shd w:val="clear" w:color="FFFFCC" w:fill="C066D8"/>
            <w:vAlign w:val="center"/>
            <w:hideMark/>
          </w:tcPr>
          <w:p w:rsidR="0079770C" w:rsidRPr="00BA2589" w:rsidRDefault="0079770C" w:rsidP="0079770C">
            <w:pPr>
              <w:jc w:val="center"/>
              <w:rPr>
                <w:rFonts w:ascii="Arial" w:eastAsia="Times New Roman" w:hAnsi="Arial" w:cs="Arial"/>
                <w:b/>
                <w:bCs/>
                <w:color w:val="FFFFFF"/>
                <w:lang w:eastAsia="fr-FR"/>
              </w:rPr>
            </w:pPr>
            <w:r w:rsidRPr="00BA2589">
              <w:rPr>
                <w:rFonts w:ascii="Arial" w:eastAsia="Times New Roman" w:hAnsi="Arial" w:cs="Arial"/>
                <w:b/>
                <w:bCs/>
                <w:color w:val="FFFFFF"/>
                <w:lang w:eastAsia="fr-FR"/>
              </w:rPr>
              <w:t>Administration centrale et SCN</w:t>
            </w:r>
          </w:p>
        </w:tc>
        <w:tc>
          <w:tcPr>
            <w:tcW w:w="182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A2589" w:rsidRDefault="0079770C" w:rsidP="0079770C">
            <w:pPr>
              <w:jc w:val="center"/>
              <w:rPr>
                <w:rFonts w:ascii="Arial" w:eastAsia="Times New Roman" w:hAnsi="Arial" w:cs="Arial"/>
                <w:b/>
                <w:bCs/>
                <w:color w:val="FFFFFF"/>
                <w:lang w:eastAsia="fr-FR"/>
              </w:rPr>
            </w:pPr>
            <w:r w:rsidRPr="00BA2589">
              <w:rPr>
                <w:rFonts w:ascii="Arial" w:eastAsia="Times New Roman" w:hAnsi="Arial" w:cs="Arial"/>
                <w:b/>
                <w:bCs/>
                <w:color w:val="FFFFFF"/>
                <w:lang w:eastAsia="fr-FR"/>
              </w:rPr>
              <w:t>DRAC</w:t>
            </w:r>
          </w:p>
        </w:tc>
        <w:tc>
          <w:tcPr>
            <w:tcW w:w="1820" w:type="dxa"/>
            <w:tcBorders>
              <w:top w:val="single" w:sz="4" w:space="0" w:color="A6A6A6"/>
              <w:left w:val="nil"/>
              <w:bottom w:val="single" w:sz="4" w:space="0" w:color="A6A6A6"/>
              <w:right w:val="single" w:sz="4" w:space="0" w:color="A6A6A6"/>
            </w:tcBorders>
            <w:shd w:val="clear" w:color="FFFFCC" w:fill="C066D8"/>
            <w:vAlign w:val="center"/>
            <w:hideMark/>
          </w:tcPr>
          <w:p w:rsidR="0079770C" w:rsidRPr="00BA2589" w:rsidRDefault="0079770C" w:rsidP="0079770C">
            <w:pPr>
              <w:jc w:val="center"/>
              <w:rPr>
                <w:rFonts w:ascii="Arial" w:eastAsia="Times New Roman" w:hAnsi="Arial" w:cs="Arial"/>
                <w:b/>
                <w:bCs/>
                <w:color w:val="FFFFFF"/>
                <w:lang w:eastAsia="fr-FR"/>
              </w:rPr>
            </w:pPr>
            <w:r w:rsidRPr="00BA2589">
              <w:rPr>
                <w:rFonts w:ascii="Arial" w:eastAsia="Times New Roman" w:hAnsi="Arial" w:cs="Arial"/>
                <w:b/>
                <w:bCs/>
                <w:color w:val="FFFFFF"/>
                <w:lang w:eastAsia="fr-FR"/>
              </w:rPr>
              <w:t>EPA et Mobilier national</w:t>
            </w:r>
          </w:p>
        </w:tc>
        <w:tc>
          <w:tcPr>
            <w:tcW w:w="1820" w:type="dxa"/>
            <w:tcBorders>
              <w:top w:val="single" w:sz="4" w:space="0" w:color="A6A6A6"/>
              <w:left w:val="nil"/>
              <w:bottom w:val="single" w:sz="4" w:space="0" w:color="A6A6A6"/>
              <w:right w:val="single" w:sz="4" w:space="0" w:color="A6A6A6"/>
            </w:tcBorders>
            <w:shd w:val="clear" w:color="FFFFCC" w:fill="C066D8"/>
            <w:vAlign w:val="center"/>
            <w:hideMark/>
          </w:tcPr>
          <w:p w:rsidR="0079770C" w:rsidRPr="00BA2589" w:rsidRDefault="0079770C" w:rsidP="0079770C">
            <w:pPr>
              <w:jc w:val="center"/>
              <w:rPr>
                <w:rFonts w:ascii="Arial" w:eastAsia="Times New Roman" w:hAnsi="Arial" w:cs="Arial"/>
                <w:b/>
                <w:bCs/>
                <w:color w:val="FFFFFF"/>
                <w:lang w:eastAsia="fr-FR"/>
              </w:rPr>
            </w:pPr>
            <w:r w:rsidRPr="00BA2589">
              <w:rPr>
                <w:rFonts w:ascii="Arial" w:eastAsia="Times New Roman" w:hAnsi="Arial" w:cs="Arial"/>
                <w:b/>
                <w:bCs/>
                <w:color w:val="FFFFFF"/>
                <w:lang w:eastAsia="fr-FR"/>
              </w:rPr>
              <w:t>Total des</w:t>
            </w:r>
            <w:r w:rsidRPr="00BA2589">
              <w:rPr>
                <w:rFonts w:ascii="Arial" w:eastAsia="Times New Roman" w:hAnsi="Arial" w:cs="Arial"/>
                <w:b/>
                <w:bCs/>
                <w:color w:val="FFFFFF"/>
                <w:lang w:eastAsia="fr-FR"/>
              </w:rPr>
              <w:br/>
              <w:t xml:space="preserve"> agents</w:t>
            </w:r>
          </w:p>
        </w:tc>
        <w:tc>
          <w:tcPr>
            <w:tcW w:w="182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A2589" w:rsidRDefault="0079770C" w:rsidP="0079770C">
            <w:pPr>
              <w:jc w:val="center"/>
              <w:rPr>
                <w:rFonts w:ascii="Arial" w:eastAsia="Times New Roman" w:hAnsi="Arial" w:cs="Arial"/>
                <w:b/>
                <w:bCs/>
                <w:color w:val="FFFFFF"/>
                <w:lang w:eastAsia="fr-FR"/>
              </w:rPr>
            </w:pPr>
            <w:r w:rsidRPr="00BA2589">
              <w:rPr>
                <w:rFonts w:ascii="Arial" w:eastAsia="Times New Roman" w:hAnsi="Arial" w:cs="Arial"/>
                <w:b/>
                <w:bCs/>
                <w:color w:val="FFFFFF"/>
                <w:lang w:eastAsia="fr-FR"/>
              </w:rPr>
              <w:t>Variation</w:t>
            </w:r>
          </w:p>
        </w:tc>
      </w:tr>
      <w:tr w:rsidR="0079770C" w:rsidRPr="00BA2589" w:rsidTr="0079770C">
        <w:trPr>
          <w:trHeight w:val="280"/>
          <w:jc w:val="center"/>
        </w:trPr>
        <w:tc>
          <w:tcPr>
            <w:tcW w:w="920" w:type="dxa"/>
            <w:tcBorders>
              <w:top w:val="single" w:sz="4" w:space="0" w:color="A6A6A6"/>
              <w:left w:val="single" w:sz="4" w:space="0" w:color="A6A6A6"/>
              <w:bottom w:val="single" w:sz="4" w:space="0" w:color="A6A6A6"/>
              <w:right w:val="single" w:sz="4" w:space="0" w:color="A6A6A6"/>
            </w:tcBorders>
            <w:shd w:val="clear" w:color="FFFFCC" w:fill="D9D9D9"/>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2010</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10</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19</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47</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b/>
                <w:bCs/>
                <w:lang w:eastAsia="fr-FR"/>
              </w:rPr>
            </w:pPr>
            <w:r w:rsidRPr="00BA2589">
              <w:rPr>
                <w:rFonts w:ascii="Arial" w:eastAsia="Times New Roman" w:hAnsi="Arial" w:cs="Arial"/>
                <w:b/>
                <w:bCs/>
                <w:lang w:eastAsia="fr-FR"/>
              </w:rPr>
              <w:t>76</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 </w:t>
            </w:r>
          </w:p>
        </w:tc>
      </w:tr>
      <w:tr w:rsidR="0079770C" w:rsidRPr="00BA2589" w:rsidTr="0079770C">
        <w:trPr>
          <w:trHeight w:val="280"/>
          <w:jc w:val="center"/>
        </w:trPr>
        <w:tc>
          <w:tcPr>
            <w:tcW w:w="92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2011</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12</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6</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40</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b/>
                <w:bCs/>
                <w:lang w:eastAsia="fr-FR"/>
              </w:rPr>
            </w:pPr>
            <w:r w:rsidRPr="00BA2589">
              <w:rPr>
                <w:rFonts w:ascii="Arial" w:eastAsia="Times New Roman" w:hAnsi="Arial" w:cs="Arial"/>
                <w:b/>
                <w:bCs/>
                <w:lang w:eastAsia="fr-FR"/>
              </w:rPr>
              <w:t>58</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-24%</w:t>
            </w:r>
          </w:p>
        </w:tc>
      </w:tr>
      <w:tr w:rsidR="0079770C" w:rsidRPr="00BA2589" w:rsidTr="0079770C">
        <w:trPr>
          <w:trHeight w:val="280"/>
          <w:jc w:val="center"/>
        </w:trPr>
        <w:tc>
          <w:tcPr>
            <w:tcW w:w="92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2012</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11</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5</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37</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b/>
                <w:bCs/>
                <w:lang w:eastAsia="fr-FR"/>
              </w:rPr>
            </w:pPr>
            <w:r w:rsidRPr="00BA2589">
              <w:rPr>
                <w:rFonts w:ascii="Arial" w:eastAsia="Times New Roman" w:hAnsi="Arial" w:cs="Arial"/>
                <w:b/>
                <w:bCs/>
                <w:lang w:eastAsia="fr-FR"/>
              </w:rPr>
              <w:t>53</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-9%</w:t>
            </w:r>
          </w:p>
        </w:tc>
      </w:tr>
      <w:tr w:rsidR="0079770C" w:rsidRPr="00BA2589" w:rsidTr="0079770C">
        <w:trPr>
          <w:trHeight w:val="280"/>
          <w:jc w:val="center"/>
        </w:trPr>
        <w:tc>
          <w:tcPr>
            <w:tcW w:w="92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2013</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4</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4</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52</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b/>
                <w:bCs/>
                <w:lang w:eastAsia="fr-FR"/>
              </w:rPr>
            </w:pPr>
            <w:r w:rsidRPr="00BA2589">
              <w:rPr>
                <w:rFonts w:ascii="Arial" w:eastAsia="Times New Roman" w:hAnsi="Arial" w:cs="Arial"/>
                <w:b/>
                <w:bCs/>
                <w:lang w:eastAsia="fr-FR"/>
              </w:rPr>
              <w:t>60</w:t>
            </w:r>
          </w:p>
        </w:tc>
        <w:tc>
          <w:tcPr>
            <w:tcW w:w="1820" w:type="dxa"/>
            <w:tcBorders>
              <w:top w:val="nil"/>
              <w:left w:val="nil"/>
              <w:bottom w:val="single" w:sz="4" w:space="0" w:color="A6A6A6"/>
              <w:right w:val="single" w:sz="4" w:space="0" w:color="A6A6A6"/>
            </w:tcBorders>
            <w:shd w:val="clear" w:color="auto" w:fill="auto"/>
            <w:noWrap/>
            <w:vAlign w:val="center"/>
            <w:hideMark/>
          </w:tcPr>
          <w:p w:rsidR="0079770C" w:rsidRPr="00BA2589" w:rsidRDefault="0079770C" w:rsidP="0079770C">
            <w:pPr>
              <w:jc w:val="center"/>
              <w:rPr>
                <w:rFonts w:ascii="Arial" w:eastAsia="Times New Roman" w:hAnsi="Arial" w:cs="Arial"/>
                <w:lang w:eastAsia="fr-FR"/>
              </w:rPr>
            </w:pPr>
            <w:r w:rsidRPr="00BA2589">
              <w:rPr>
                <w:rFonts w:ascii="Arial" w:eastAsia="Times New Roman" w:hAnsi="Arial" w:cs="Arial"/>
                <w:lang w:eastAsia="fr-FR"/>
              </w:rPr>
              <w:t>13%</w:t>
            </w:r>
          </w:p>
        </w:tc>
      </w:tr>
    </w:tbl>
    <w:p w:rsidR="0079770C" w:rsidRPr="001D30C7" w:rsidRDefault="0079770C" w:rsidP="0079770C">
      <w:pPr>
        <w:widowControl w:val="0"/>
        <w:autoSpaceDE w:val="0"/>
        <w:autoSpaceDN w:val="0"/>
        <w:adjustRightInd w:val="0"/>
        <w:spacing w:before="113" w:after="113"/>
        <w:jc w:val="both"/>
        <w:rPr>
          <w:rFonts w:ascii="Cambria" w:eastAsia="Cambria" w:hAnsi="Cambria" w:cs="Times"/>
        </w:rPr>
      </w:pPr>
    </w:p>
    <w:p w:rsidR="0079770C" w:rsidRPr="001D30C7" w:rsidRDefault="0079770C" w:rsidP="0079770C">
      <w:pPr>
        <w:rPr>
          <w:rFonts w:ascii="BlairMdITC TT-Medium" w:eastAsia="Cambria" w:hAnsi="BlairMdITC TT-Medium" w:cs="Times New Roman"/>
        </w:rPr>
      </w:pPr>
    </w:p>
    <w:p w:rsidR="0079770C" w:rsidRPr="001D30C7" w:rsidRDefault="0079770C" w:rsidP="0079770C">
      <w:pPr>
        <w:rPr>
          <w:rFonts w:ascii="BlairMdITC TT-Medium" w:eastAsia="Cambria" w:hAnsi="BlairMdITC TT-Medium" w:cs="Times New Roman"/>
        </w:rPr>
      </w:pPr>
    </w:p>
    <w:p w:rsidR="0079770C" w:rsidRDefault="0079770C" w:rsidP="0079770C">
      <w:pPr>
        <w:rPr>
          <w:rFonts w:ascii="BlairMdITC TT-Medium" w:eastAsia="Cambria" w:hAnsi="BlairMdITC TT-Medium" w:cs="Times New Roman"/>
        </w:rPr>
      </w:pPr>
      <w:r>
        <w:rPr>
          <w:rFonts w:ascii="BlairMdITC TT-Medium" w:eastAsia="Cambria" w:hAnsi="BlairMdITC TT-Medium" w:cs="Times New Roman"/>
        </w:rPr>
        <w:br w:type="page"/>
      </w:r>
    </w:p>
    <w:p w:rsidR="0079770C" w:rsidRPr="001D30C7" w:rsidRDefault="0079770C" w:rsidP="0079770C">
      <w:pPr>
        <w:rPr>
          <w:rFonts w:ascii="BlairMdITC TT-Medium" w:eastAsia="Cambria" w:hAnsi="BlairMdITC TT-Medium" w:cs="Times New Roman"/>
        </w:rPr>
      </w:pPr>
    </w:p>
    <w:p w:rsidR="0079770C" w:rsidRPr="009F6D4E" w:rsidRDefault="0079770C" w:rsidP="0079770C">
      <w:pPr>
        <w:ind w:left="1134" w:hanging="1134"/>
        <w:jc w:val="both"/>
        <w:rPr>
          <w:rFonts w:ascii="Florencesans Exp" w:eastAsia="Cambria" w:hAnsi="Florencesans Exp" w:cs="Times New Roman"/>
        </w:rPr>
      </w:pPr>
      <w:r w:rsidRPr="009F6D4E">
        <w:rPr>
          <w:rFonts w:ascii="Florencesans Exp" w:eastAsia="Cambria" w:hAnsi="Florencesans Exp" w:cs="Times New Roman"/>
        </w:rPr>
        <w:t>6. C. 3. LES ACTIONS DE FORMATION EN VUE DE LA VALIDATION DES ACQUIS DE L'EXPERIENCE (VAE)</w:t>
      </w:r>
    </w:p>
    <w:p w:rsidR="0079770C" w:rsidRPr="001D30C7" w:rsidRDefault="0079770C" w:rsidP="0079770C">
      <w:pPr>
        <w:rPr>
          <w:rFonts w:ascii="BlairMdITC TT-Medium" w:eastAsia="Cambria" w:hAnsi="BlairMdITC TT-Medium" w:cs="Times New Roman"/>
        </w:rPr>
      </w:pPr>
    </w:p>
    <w:p w:rsidR="0079770C" w:rsidRPr="003542E0" w:rsidRDefault="0079770C" w:rsidP="003542E0">
      <w:pPr>
        <w:pStyle w:val="western"/>
        <w:spacing w:before="0" w:beforeAutospacing="0"/>
        <w:jc w:val="both"/>
        <w:rPr>
          <w:sz w:val="22"/>
          <w:szCs w:val="22"/>
        </w:rPr>
      </w:pPr>
      <w:r w:rsidRPr="003542E0">
        <w:rPr>
          <w:sz w:val="22"/>
          <w:szCs w:val="22"/>
        </w:rPr>
        <w:t>Le décret du 15 octobre 2007 prévoit des actions de formation en vue de la validation des acquis de l'expérience professionnelle. Les agents peuvent suivre ces formations, à leur demande, dans la limite d'un congé qui ne peut excéder, annuellement, 24 heures de temps de service, soit quatre jours, qui peuvent néanmoins être complétées par des heures prises sur le DIF.</w:t>
      </w:r>
    </w:p>
    <w:p w:rsidR="0079770C" w:rsidRPr="00A1203E" w:rsidRDefault="0079770C" w:rsidP="0079770C">
      <w:pPr>
        <w:jc w:val="center"/>
        <w:rPr>
          <w:rFonts w:ascii="Arial" w:eastAsia="Cambria" w:hAnsi="Arial" w:cs="Times"/>
          <w:b/>
          <w:iCs/>
          <w:szCs w:val="20"/>
        </w:rPr>
      </w:pPr>
      <w:r w:rsidRPr="00A1203E">
        <w:rPr>
          <w:rFonts w:ascii="Arial" w:eastAsia="Cambria" w:hAnsi="Arial" w:cs="Times"/>
          <w:b/>
          <w:iCs/>
          <w:szCs w:val="20"/>
        </w:rPr>
        <w:t>Nombre d'actions de formation en vue d'une validation des acquis</w:t>
      </w:r>
      <w:r w:rsidRPr="00A1203E">
        <w:rPr>
          <w:rFonts w:ascii="MS Gothic" w:eastAsia="MS Gothic" w:hAnsi="MS Gothic" w:cs="MS Gothic" w:hint="eastAsia"/>
          <w:b/>
          <w:iCs/>
          <w:szCs w:val="20"/>
        </w:rPr>
        <w:t> </w:t>
      </w:r>
      <w:r w:rsidRPr="00A1203E">
        <w:rPr>
          <w:rFonts w:ascii="Arial" w:eastAsia="Cambria" w:hAnsi="Arial" w:cs="Times"/>
          <w:b/>
          <w:iCs/>
          <w:szCs w:val="20"/>
        </w:rPr>
        <w:t xml:space="preserve"> de l'exp</w:t>
      </w:r>
      <w:r w:rsidRPr="00A1203E">
        <w:rPr>
          <w:rFonts w:ascii="Arial" w:eastAsia="Cambria" w:hAnsi="Arial" w:cs="Arial"/>
          <w:b/>
          <w:iCs/>
          <w:szCs w:val="20"/>
        </w:rPr>
        <w:t>é</w:t>
      </w:r>
      <w:r w:rsidRPr="00A1203E">
        <w:rPr>
          <w:rFonts w:ascii="Arial" w:eastAsia="Cambria" w:hAnsi="Arial" w:cs="Times"/>
          <w:b/>
          <w:iCs/>
          <w:szCs w:val="20"/>
        </w:rPr>
        <w:t>rience professionnelle depuis 20</w:t>
      </w:r>
      <w:r>
        <w:rPr>
          <w:rFonts w:ascii="Arial" w:eastAsia="Cambria" w:hAnsi="Arial" w:cs="Times"/>
          <w:b/>
          <w:iCs/>
          <w:szCs w:val="20"/>
        </w:rPr>
        <w:t>10</w:t>
      </w:r>
    </w:p>
    <w:p w:rsidR="0079770C" w:rsidRPr="009F5E1B" w:rsidRDefault="0079770C" w:rsidP="0079770C">
      <w:pPr>
        <w:jc w:val="center"/>
        <w:rPr>
          <w:rFonts w:ascii="Arial" w:eastAsia="Cambria" w:hAnsi="Arial" w:cs="Times"/>
          <w:iCs/>
          <w:szCs w:val="20"/>
          <w:highlight w:val="yellow"/>
        </w:rPr>
      </w:pPr>
    </w:p>
    <w:tbl>
      <w:tblPr>
        <w:tblW w:w="9975" w:type="dxa"/>
        <w:jc w:val="center"/>
        <w:tblCellMar>
          <w:left w:w="70" w:type="dxa"/>
          <w:right w:w="70" w:type="dxa"/>
        </w:tblCellMar>
        <w:tblLook w:val="04A0" w:firstRow="1" w:lastRow="0" w:firstColumn="1" w:lastColumn="0" w:noHBand="0" w:noVBand="1"/>
      </w:tblPr>
      <w:tblGrid>
        <w:gridCol w:w="896"/>
        <w:gridCol w:w="1834"/>
        <w:gridCol w:w="1813"/>
        <w:gridCol w:w="1813"/>
        <w:gridCol w:w="1813"/>
        <w:gridCol w:w="1813"/>
      </w:tblGrid>
      <w:tr w:rsidR="0079770C" w:rsidRPr="00A1203E" w:rsidTr="00155724">
        <w:trPr>
          <w:trHeight w:val="421"/>
          <w:jc w:val="center"/>
        </w:trPr>
        <w:tc>
          <w:tcPr>
            <w:tcW w:w="896" w:type="dxa"/>
            <w:tcBorders>
              <w:top w:val="nil"/>
              <w:left w:val="nil"/>
              <w:bottom w:val="nil"/>
              <w:right w:val="nil"/>
            </w:tcBorders>
            <w:shd w:val="clear" w:color="FFFFCC" w:fill="FFFFFF"/>
            <w:noWrap/>
            <w:vAlign w:val="center"/>
            <w:hideMark/>
          </w:tcPr>
          <w:p w:rsidR="0079770C" w:rsidRPr="00A1203E" w:rsidRDefault="0079770C" w:rsidP="0079770C">
            <w:pPr>
              <w:jc w:val="right"/>
              <w:rPr>
                <w:rFonts w:ascii="Arial" w:eastAsia="Times New Roman" w:hAnsi="Arial" w:cs="Arial"/>
                <w:lang w:eastAsia="fr-FR"/>
              </w:rPr>
            </w:pPr>
            <w:r w:rsidRPr="00A1203E">
              <w:rPr>
                <w:rFonts w:ascii="Arial" w:eastAsia="Times New Roman" w:hAnsi="Arial" w:cs="Arial"/>
                <w:lang w:eastAsia="fr-FR"/>
              </w:rPr>
              <w:t> </w:t>
            </w:r>
          </w:p>
        </w:tc>
        <w:tc>
          <w:tcPr>
            <w:tcW w:w="1827" w:type="dxa"/>
            <w:tcBorders>
              <w:top w:val="single" w:sz="4" w:space="0" w:color="A6A6A6"/>
              <w:left w:val="single" w:sz="4" w:space="0" w:color="A6A6A6"/>
              <w:bottom w:val="single" w:sz="4" w:space="0" w:color="A6A6A6"/>
              <w:right w:val="single" w:sz="4" w:space="0" w:color="A6A6A6"/>
            </w:tcBorders>
            <w:shd w:val="clear" w:color="FFFFCC" w:fill="C066D8"/>
            <w:vAlign w:val="center"/>
            <w:hideMark/>
          </w:tcPr>
          <w:p w:rsidR="0079770C" w:rsidRPr="00A1203E" w:rsidRDefault="0079770C" w:rsidP="0079770C">
            <w:pPr>
              <w:jc w:val="center"/>
              <w:rPr>
                <w:rFonts w:ascii="Arial" w:eastAsia="Times New Roman" w:hAnsi="Arial" w:cs="Arial"/>
                <w:b/>
                <w:bCs/>
                <w:color w:val="FFFFFF"/>
                <w:lang w:eastAsia="fr-FR"/>
              </w:rPr>
            </w:pPr>
            <w:r w:rsidRPr="00A1203E">
              <w:rPr>
                <w:rFonts w:ascii="Arial" w:eastAsia="Times New Roman" w:hAnsi="Arial" w:cs="Arial"/>
                <w:b/>
                <w:bCs/>
                <w:color w:val="FFFFFF"/>
                <w:lang w:eastAsia="fr-FR"/>
              </w:rPr>
              <w:t>Administration centrale et SCN</w:t>
            </w:r>
          </w:p>
        </w:tc>
        <w:tc>
          <w:tcPr>
            <w:tcW w:w="1813"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A1203E" w:rsidRDefault="0079770C" w:rsidP="0079770C">
            <w:pPr>
              <w:jc w:val="center"/>
              <w:rPr>
                <w:rFonts w:ascii="Arial" w:eastAsia="Times New Roman" w:hAnsi="Arial" w:cs="Arial"/>
                <w:b/>
                <w:bCs/>
                <w:color w:val="FFFFFF"/>
                <w:lang w:eastAsia="fr-FR"/>
              </w:rPr>
            </w:pPr>
            <w:r w:rsidRPr="00A1203E">
              <w:rPr>
                <w:rFonts w:ascii="Arial" w:eastAsia="Times New Roman" w:hAnsi="Arial" w:cs="Arial"/>
                <w:b/>
                <w:bCs/>
                <w:color w:val="FFFFFF"/>
                <w:lang w:eastAsia="fr-FR"/>
              </w:rPr>
              <w:t>DRAC</w:t>
            </w:r>
          </w:p>
        </w:tc>
        <w:tc>
          <w:tcPr>
            <w:tcW w:w="1813" w:type="dxa"/>
            <w:tcBorders>
              <w:top w:val="single" w:sz="4" w:space="0" w:color="A6A6A6"/>
              <w:left w:val="nil"/>
              <w:bottom w:val="single" w:sz="4" w:space="0" w:color="A6A6A6"/>
              <w:right w:val="single" w:sz="4" w:space="0" w:color="A6A6A6"/>
            </w:tcBorders>
            <w:shd w:val="clear" w:color="FFFFCC" w:fill="C066D8"/>
            <w:vAlign w:val="center"/>
            <w:hideMark/>
          </w:tcPr>
          <w:p w:rsidR="0079770C" w:rsidRPr="00A1203E" w:rsidRDefault="0079770C" w:rsidP="0079770C">
            <w:pPr>
              <w:jc w:val="center"/>
              <w:rPr>
                <w:rFonts w:ascii="Arial" w:eastAsia="Times New Roman" w:hAnsi="Arial" w:cs="Arial"/>
                <w:b/>
                <w:bCs/>
                <w:color w:val="FFFFFF"/>
                <w:lang w:eastAsia="fr-FR"/>
              </w:rPr>
            </w:pPr>
            <w:r w:rsidRPr="00A1203E">
              <w:rPr>
                <w:rFonts w:ascii="Arial" w:eastAsia="Times New Roman" w:hAnsi="Arial" w:cs="Arial"/>
                <w:b/>
                <w:bCs/>
                <w:color w:val="FFFFFF"/>
                <w:lang w:eastAsia="fr-FR"/>
              </w:rPr>
              <w:t>EPA et Mobilier national</w:t>
            </w:r>
          </w:p>
        </w:tc>
        <w:tc>
          <w:tcPr>
            <w:tcW w:w="1813" w:type="dxa"/>
            <w:tcBorders>
              <w:top w:val="single" w:sz="4" w:space="0" w:color="A6A6A6"/>
              <w:left w:val="nil"/>
              <w:bottom w:val="single" w:sz="4" w:space="0" w:color="A6A6A6"/>
              <w:right w:val="single" w:sz="4" w:space="0" w:color="A6A6A6"/>
            </w:tcBorders>
            <w:shd w:val="clear" w:color="FFFFCC" w:fill="C066D8"/>
            <w:vAlign w:val="center"/>
            <w:hideMark/>
          </w:tcPr>
          <w:p w:rsidR="0079770C" w:rsidRPr="00A1203E" w:rsidRDefault="0079770C" w:rsidP="0079770C">
            <w:pPr>
              <w:jc w:val="center"/>
              <w:rPr>
                <w:rFonts w:ascii="Arial" w:eastAsia="Times New Roman" w:hAnsi="Arial" w:cs="Arial"/>
                <w:b/>
                <w:bCs/>
                <w:color w:val="FFFFFF"/>
                <w:lang w:eastAsia="fr-FR"/>
              </w:rPr>
            </w:pPr>
            <w:r w:rsidRPr="00A1203E">
              <w:rPr>
                <w:rFonts w:ascii="Arial" w:eastAsia="Times New Roman" w:hAnsi="Arial" w:cs="Arial"/>
                <w:b/>
                <w:bCs/>
                <w:color w:val="FFFFFF"/>
                <w:lang w:eastAsia="fr-FR"/>
              </w:rPr>
              <w:t>Total des</w:t>
            </w:r>
            <w:r w:rsidRPr="00A1203E">
              <w:rPr>
                <w:rFonts w:ascii="Arial" w:eastAsia="Times New Roman" w:hAnsi="Arial" w:cs="Arial"/>
                <w:b/>
                <w:bCs/>
                <w:color w:val="FFFFFF"/>
                <w:lang w:eastAsia="fr-FR"/>
              </w:rPr>
              <w:br/>
              <w:t xml:space="preserve"> Agents</w:t>
            </w:r>
          </w:p>
        </w:tc>
        <w:tc>
          <w:tcPr>
            <w:tcW w:w="1813"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A1203E" w:rsidRDefault="0079770C" w:rsidP="0079770C">
            <w:pPr>
              <w:jc w:val="center"/>
              <w:rPr>
                <w:rFonts w:ascii="Arial" w:eastAsia="Times New Roman" w:hAnsi="Arial" w:cs="Arial"/>
                <w:b/>
                <w:bCs/>
                <w:color w:val="FFFFFF"/>
                <w:lang w:eastAsia="fr-FR"/>
              </w:rPr>
            </w:pPr>
            <w:r w:rsidRPr="00A1203E">
              <w:rPr>
                <w:rFonts w:ascii="Arial" w:eastAsia="Times New Roman" w:hAnsi="Arial" w:cs="Arial"/>
                <w:b/>
                <w:bCs/>
                <w:color w:val="FFFFFF"/>
                <w:lang w:eastAsia="fr-FR"/>
              </w:rPr>
              <w:t>Variation</w:t>
            </w:r>
          </w:p>
        </w:tc>
      </w:tr>
      <w:tr w:rsidR="0079770C" w:rsidRPr="00A1203E" w:rsidTr="00155724">
        <w:trPr>
          <w:trHeight w:val="210"/>
          <w:jc w:val="center"/>
        </w:trPr>
        <w:tc>
          <w:tcPr>
            <w:tcW w:w="896" w:type="dxa"/>
            <w:tcBorders>
              <w:top w:val="single" w:sz="4" w:space="0" w:color="A6A6A6"/>
              <w:left w:val="single" w:sz="4" w:space="0" w:color="A6A6A6"/>
              <w:bottom w:val="single" w:sz="4" w:space="0" w:color="A6A6A6"/>
              <w:right w:val="single" w:sz="4" w:space="0" w:color="A6A6A6"/>
            </w:tcBorders>
            <w:shd w:val="clear" w:color="FFFFCC" w:fill="D9D9D9"/>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2010</w:t>
            </w:r>
          </w:p>
        </w:tc>
        <w:tc>
          <w:tcPr>
            <w:tcW w:w="1827"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1</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7</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12</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b/>
                <w:bCs/>
                <w:lang w:eastAsia="fr-FR"/>
              </w:rPr>
            </w:pPr>
            <w:r w:rsidRPr="00A1203E">
              <w:rPr>
                <w:rFonts w:ascii="Arial" w:eastAsia="Times New Roman" w:hAnsi="Arial" w:cs="Arial"/>
                <w:b/>
                <w:bCs/>
                <w:lang w:eastAsia="fr-FR"/>
              </w:rPr>
              <w:t>20</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 </w:t>
            </w:r>
          </w:p>
        </w:tc>
      </w:tr>
      <w:tr w:rsidR="0079770C" w:rsidRPr="00A1203E" w:rsidTr="00155724">
        <w:trPr>
          <w:trHeight w:val="210"/>
          <w:jc w:val="center"/>
        </w:trPr>
        <w:tc>
          <w:tcPr>
            <w:tcW w:w="896"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2011</w:t>
            </w:r>
          </w:p>
        </w:tc>
        <w:tc>
          <w:tcPr>
            <w:tcW w:w="1827"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1</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4</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7</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b/>
                <w:bCs/>
                <w:lang w:eastAsia="fr-FR"/>
              </w:rPr>
            </w:pPr>
            <w:r w:rsidRPr="00A1203E">
              <w:rPr>
                <w:rFonts w:ascii="Arial" w:eastAsia="Times New Roman" w:hAnsi="Arial" w:cs="Arial"/>
                <w:b/>
                <w:bCs/>
                <w:lang w:eastAsia="fr-FR"/>
              </w:rPr>
              <w:t>12</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-40%</w:t>
            </w:r>
          </w:p>
        </w:tc>
      </w:tr>
      <w:tr w:rsidR="0079770C" w:rsidRPr="00A1203E" w:rsidTr="00155724">
        <w:trPr>
          <w:trHeight w:val="210"/>
          <w:jc w:val="center"/>
        </w:trPr>
        <w:tc>
          <w:tcPr>
            <w:tcW w:w="896"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2012</w:t>
            </w:r>
          </w:p>
        </w:tc>
        <w:tc>
          <w:tcPr>
            <w:tcW w:w="1827"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2</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4</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10</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b/>
                <w:bCs/>
                <w:lang w:eastAsia="fr-FR"/>
              </w:rPr>
            </w:pPr>
            <w:r w:rsidRPr="00A1203E">
              <w:rPr>
                <w:rFonts w:ascii="Arial" w:eastAsia="Times New Roman" w:hAnsi="Arial" w:cs="Arial"/>
                <w:b/>
                <w:bCs/>
                <w:lang w:eastAsia="fr-FR"/>
              </w:rPr>
              <w:t>16</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33%</w:t>
            </w:r>
          </w:p>
        </w:tc>
      </w:tr>
      <w:tr w:rsidR="0079770C" w:rsidRPr="00A1203E" w:rsidTr="00155724">
        <w:trPr>
          <w:trHeight w:val="210"/>
          <w:jc w:val="center"/>
        </w:trPr>
        <w:tc>
          <w:tcPr>
            <w:tcW w:w="896"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2013</w:t>
            </w:r>
          </w:p>
        </w:tc>
        <w:tc>
          <w:tcPr>
            <w:tcW w:w="1827"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3</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10</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10</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b/>
                <w:bCs/>
                <w:lang w:eastAsia="fr-FR"/>
              </w:rPr>
            </w:pPr>
            <w:r w:rsidRPr="00A1203E">
              <w:rPr>
                <w:rFonts w:ascii="Arial" w:eastAsia="Times New Roman" w:hAnsi="Arial" w:cs="Arial"/>
                <w:b/>
                <w:bCs/>
                <w:lang w:eastAsia="fr-FR"/>
              </w:rPr>
              <w:t>23</w:t>
            </w:r>
          </w:p>
        </w:tc>
        <w:tc>
          <w:tcPr>
            <w:tcW w:w="1813" w:type="dxa"/>
            <w:tcBorders>
              <w:top w:val="nil"/>
              <w:left w:val="nil"/>
              <w:bottom w:val="single" w:sz="4" w:space="0" w:color="A6A6A6"/>
              <w:right w:val="single" w:sz="4" w:space="0" w:color="A6A6A6"/>
            </w:tcBorders>
            <w:shd w:val="clear" w:color="auto" w:fill="auto"/>
            <w:noWrap/>
            <w:vAlign w:val="center"/>
            <w:hideMark/>
          </w:tcPr>
          <w:p w:rsidR="0079770C" w:rsidRPr="00A1203E" w:rsidRDefault="0079770C" w:rsidP="0079770C">
            <w:pPr>
              <w:jc w:val="center"/>
              <w:rPr>
                <w:rFonts w:ascii="Arial" w:eastAsia="Times New Roman" w:hAnsi="Arial" w:cs="Arial"/>
                <w:lang w:eastAsia="fr-FR"/>
              </w:rPr>
            </w:pPr>
            <w:r w:rsidRPr="00A1203E">
              <w:rPr>
                <w:rFonts w:ascii="Arial" w:eastAsia="Times New Roman" w:hAnsi="Arial" w:cs="Arial"/>
                <w:lang w:eastAsia="fr-FR"/>
              </w:rPr>
              <w:t>44%</w:t>
            </w:r>
          </w:p>
        </w:tc>
      </w:tr>
    </w:tbl>
    <w:p w:rsidR="0079770C" w:rsidRPr="003542E0" w:rsidRDefault="0079770C" w:rsidP="003542E0">
      <w:pPr>
        <w:pStyle w:val="western"/>
        <w:jc w:val="both"/>
        <w:rPr>
          <w:sz w:val="22"/>
          <w:szCs w:val="22"/>
        </w:rPr>
      </w:pPr>
      <w:r w:rsidRPr="003542E0">
        <w:rPr>
          <w:sz w:val="22"/>
          <w:szCs w:val="22"/>
        </w:rPr>
        <w:t>Sur l'ensemble du ministère en 2013 ce dispositif a bénéficié à 23 agents, en progression par rapport aux années précédentes. La durée moyenne constatée sur l'ensemble des structures s'établit à 3,5 jours, avec des disparités entre les structures.</w:t>
      </w:r>
    </w:p>
    <w:p w:rsidR="0079770C" w:rsidRPr="001D30C7" w:rsidRDefault="0079770C" w:rsidP="0079770C">
      <w:pPr>
        <w:widowControl w:val="0"/>
        <w:autoSpaceDE w:val="0"/>
        <w:autoSpaceDN w:val="0"/>
        <w:adjustRightInd w:val="0"/>
        <w:spacing w:before="113" w:after="113"/>
        <w:jc w:val="both"/>
        <w:rPr>
          <w:rFonts w:ascii="Cambria" w:eastAsia="Cambria" w:hAnsi="Cambria" w:cs="Times New Roman"/>
        </w:rPr>
      </w:pPr>
    </w:p>
    <w:p w:rsidR="0079770C" w:rsidRPr="009F6D4E" w:rsidRDefault="0079770C" w:rsidP="0079770C">
      <w:pPr>
        <w:widowControl w:val="0"/>
        <w:autoSpaceDE w:val="0"/>
        <w:autoSpaceDN w:val="0"/>
        <w:adjustRightInd w:val="0"/>
        <w:jc w:val="both"/>
        <w:rPr>
          <w:rFonts w:ascii="Florencesans Exp" w:eastAsia="Cambria" w:hAnsi="Florencesans Exp" w:cs="Times New Roman"/>
        </w:rPr>
      </w:pPr>
      <w:r w:rsidRPr="009F6D4E">
        <w:rPr>
          <w:rFonts w:ascii="Florencesans Exp" w:eastAsia="Cambria" w:hAnsi="Florencesans Exp" w:cs="Times New Roman"/>
        </w:rPr>
        <w:t>6. C. 4. LE CONGE DE FORMATION PROFESSIONNELLE (CFP)</w:t>
      </w:r>
    </w:p>
    <w:p w:rsidR="0079770C" w:rsidRPr="003542E0" w:rsidRDefault="0079770C" w:rsidP="003542E0">
      <w:pPr>
        <w:pStyle w:val="western"/>
        <w:jc w:val="both"/>
        <w:rPr>
          <w:sz w:val="22"/>
          <w:szCs w:val="22"/>
        </w:rPr>
      </w:pPr>
      <w:r w:rsidRPr="003542E0">
        <w:rPr>
          <w:sz w:val="22"/>
          <w:szCs w:val="22"/>
        </w:rPr>
        <w:t>En 2013, 35 agents ont déposé une nouvelle demande de congé de formation professionnelle (CFP). 31 demandes ont été acceptées avec indemnités, et 2 sans indemnités (à la demande des agents), les 2 demandes restantes concernent des congés à prendre sur 2014.</w:t>
      </w: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B92191" w:rsidRDefault="0079770C" w:rsidP="0079770C">
      <w:pPr>
        <w:jc w:val="center"/>
        <w:rPr>
          <w:rFonts w:ascii="Arial" w:eastAsia="Cambria" w:hAnsi="Arial" w:cs="Times"/>
          <w:b/>
          <w:iCs/>
          <w:szCs w:val="20"/>
        </w:rPr>
      </w:pPr>
      <w:r w:rsidRPr="00B92191">
        <w:rPr>
          <w:rFonts w:ascii="Arial" w:eastAsia="Cambria" w:hAnsi="Arial" w:cs="Times"/>
          <w:b/>
          <w:iCs/>
          <w:szCs w:val="20"/>
        </w:rPr>
        <w:t>Les congés de formation professionnelle réalisés en 201</w:t>
      </w:r>
      <w:r>
        <w:rPr>
          <w:rFonts w:ascii="Arial" w:eastAsia="Cambria" w:hAnsi="Arial" w:cs="Times"/>
          <w:b/>
          <w:iCs/>
          <w:szCs w:val="20"/>
        </w:rPr>
        <w:t>3</w:t>
      </w:r>
    </w:p>
    <w:tbl>
      <w:tblPr>
        <w:tblW w:w="7680" w:type="dxa"/>
        <w:jc w:val="center"/>
        <w:tblCellMar>
          <w:left w:w="70" w:type="dxa"/>
          <w:right w:w="70" w:type="dxa"/>
        </w:tblCellMar>
        <w:tblLook w:val="04A0" w:firstRow="1" w:lastRow="0" w:firstColumn="1" w:lastColumn="0" w:noHBand="0" w:noVBand="1"/>
      </w:tblPr>
      <w:tblGrid>
        <w:gridCol w:w="2560"/>
        <w:gridCol w:w="1280"/>
        <w:gridCol w:w="1280"/>
        <w:gridCol w:w="1280"/>
        <w:gridCol w:w="1280"/>
      </w:tblGrid>
      <w:tr w:rsidR="0079770C" w:rsidRPr="00B92191" w:rsidTr="0079770C">
        <w:trPr>
          <w:trHeight w:val="280"/>
          <w:jc w:val="center"/>
        </w:trPr>
        <w:tc>
          <w:tcPr>
            <w:tcW w:w="2560" w:type="dxa"/>
            <w:tcBorders>
              <w:top w:val="nil"/>
              <w:left w:val="nil"/>
              <w:bottom w:val="nil"/>
              <w:right w:val="nil"/>
            </w:tcBorders>
            <w:shd w:val="clear" w:color="auto" w:fill="auto"/>
            <w:noWrap/>
            <w:vAlign w:val="center"/>
            <w:hideMark/>
          </w:tcPr>
          <w:p w:rsidR="0079770C" w:rsidRPr="00B92191" w:rsidRDefault="0079770C" w:rsidP="0079770C">
            <w:pPr>
              <w:rPr>
                <w:rFonts w:ascii="Times New Roman" w:eastAsia="Times New Roman" w:hAnsi="Times New Roman" w:cs="Times New Roman"/>
                <w:lang w:eastAsia="fr-FR"/>
              </w:rPr>
            </w:pPr>
          </w:p>
        </w:tc>
        <w:tc>
          <w:tcPr>
            <w:tcW w:w="1280" w:type="dxa"/>
            <w:tcBorders>
              <w:top w:val="single" w:sz="4" w:space="0" w:color="A6A6A6"/>
              <w:left w:val="single" w:sz="4" w:space="0" w:color="A6A6A6"/>
              <w:bottom w:val="single" w:sz="4" w:space="0" w:color="A6A6A6"/>
              <w:right w:val="single" w:sz="4" w:space="0" w:color="A6A6A6"/>
            </w:tcBorders>
            <w:shd w:val="clear" w:color="FFFFCC" w:fill="C066D8"/>
            <w:noWrap/>
            <w:vAlign w:val="center"/>
            <w:hideMark/>
          </w:tcPr>
          <w:p w:rsidR="0079770C" w:rsidRPr="00B92191" w:rsidRDefault="0079770C" w:rsidP="0079770C">
            <w:pPr>
              <w:jc w:val="center"/>
              <w:rPr>
                <w:rFonts w:ascii="Arial" w:eastAsia="Times New Roman" w:hAnsi="Arial" w:cs="Arial"/>
                <w:b/>
                <w:bCs/>
                <w:color w:val="FFFFFF"/>
                <w:lang w:eastAsia="fr-FR"/>
              </w:rPr>
            </w:pPr>
            <w:r w:rsidRPr="00B92191">
              <w:rPr>
                <w:rFonts w:ascii="Arial" w:eastAsia="Times New Roman" w:hAnsi="Arial" w:cs="Arial"/>
                <w:b/>
                <w:bCs/>
                <w:color w:val="FFFFFF"/>
                <w:lang w:eastAsia="fr-FR"/>
              </w:rPr>
              <w:t>2010</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92191" w:rsidRDefault="0079770C" w:rsidP="0079770C">
            <w:pPr>
              <w:jc w:val="center"/>
              <w:rPr>
                <w:rFonts w:ascii="Arial" w:eastAsia="Times New Roman" w:hAnsi="Arial" w:cs="Arial"/>
                <w:b/>
                <w:bCs/>
                <w:color w:val="FFFFFF"/>
                <w:lang w:eastAsia="fr-FR"/>
              </w:rPr>
            </w:pPr>
            <w:r w:rsidRPr="00B92191">
              <w:rPr>
                <w:rFonts w:ascii="Arial" w:eastAsia="Times New Roman" w:hAnsi="Arial" w:cs="Arial"/>
                <w:b/>
                <w:bCs/>
                <w:color w:val="FFFFFF"/>
                <w:lang w:eastAsia="fr-FR"/>
              </w:rPr>
              <w:t>2011</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92191" w:rsidRDefault="0079770C" w:rsidP="0079770C">
            <w:pPr>
              <w:jc w:val="center"/>
              <w:rPr>
                <w:rFonts w:ascii="Arial" w:eastAsia="Times New Roman" w:hAnsi="Arial" w:cs="Arial"/>
                <w:b/>
                <w:bCs/>
                <w:color w:val="FFFFFF"/>
                <w:lang w:eastAsia="fr-FR"/>
              </w:rPr>
            </w:pPr>
            <w:r w:rsidRPr="00B92191">
              <w:rPr>
                <w:rFonts w:ascii="Arial" w:eastAsia="Times New Roman" w:hAnsi="Arial" w:cs="Arial"/>
                <w:b/>
                <w:bCs/>
                <w:color w:val="FFFFFF"/>
                <w:lang w:eastAsia="fr-FR"/>
              </w:rPr>
              <w:t>2012</w:t>
            </w:r>
          </w:p>
        </w:tc>
        <w:tc>
          <w:tcPr>
            <w:tcW w:w="128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B92191" w:rsidRDefault="0079770C" w:rsidP="0079770C">
            <w:pPr>
              <w:jc w:val="center"/>
              <w:rPr>
                <w:rFonts w:ascii="Arial" w:eastAsia="Times New Roman" w:hAnsi="Arial" w:cs="Arial"/>
                <w:b/>
                <w:bCs/>
                <w:color w:val="FFFFFF"/>
                <w:lang w:eastAsia="fr-FR"/>
              </w:rPr>
            </w:pPr>
            <w:r w:rsidRPr="00B92191">
              <w:rPr>
                <w:rFonts w:ascii="Arial" w:eastAsia="Times New Roman" w:hAnsi="Arial" w:cs="Arial"/>
                <w:b/>
                <w:bCs/>
                <w:color w:val="FFFFFF"/>
                <w:lang w:eastAsia="fr-FR"/>
              </w:rPr>
              <w:t>2013</w:t>
            </w:r>
          </w:p>
        </w:tc>
      </w:tr>
      <w:tr w:rsidR="0079770C" w:rsidRPr="00B92191" w:rsidTr="0079770C">
        <w:trPr>
          <w:trHeight w:val="280"/>
          <w:jc w:val="center"/>
        </w:trPr>
        <w:tc>
          <w:tcPr>
            <w:tcW w:w="2560" w:type="dxa"/>
            <w:tcBorders>
              <w:top w:val="single" w:sz="4" w:space="0" w:color="A6A6A6"/>
              <w:left w:val="single" w:sz="4" w:space="0" w:color="A6A6A6"/>
              <w:bottom w:val="single" w:sz="4" w:space="0" w:color="A6A6A6"/>
              <w:right w:val="single" w:sz="4" w:space="0" w:color="A6A6A6"/>
            </w:tcBorders>
            <w:shd w:val="clear" w:color="000000" w:fill="D9D9D9"/>
            <w:noWrap/>
            <w:vAlign w:val="center"/>
            <w:hideMark/>
          </w:tcPr>
          <w:p w:rsidR="0079770C" w:rsidRPr="00B92191" w:rsidRDefault="0079770C" w:rsidP="0079770C">
            <w:pPr>
              <w:rPr>
                <w:rFonts w:ascii="Arial" w:eastAsia="Times New Roman" w:hAnsi="Arial" w:cs="Arial"/>
                <w:lang w:eastAsia="fr-FR"/>
              </w:rPr>
            </w:pPr>
            <w:r w:rsidRPr="00B92191">
              <w:rPr>
                <w:rFonts w:ascii="Arial" w:eastAsia="Times New Roman" w:hAnsi="Arial" w:cs="Arial"/>
                <w:lang w:eastAsia="fr-FR"/>
              </w:rPr>
              <w:t>Effectif en CFP</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92191" w:rsidRDefault="0079770C" w:rsidP="0079770C">
            <w:pPr>
              <w:jc w:val="center"/>
              <w:rPr>
                <w:rFonts w:ascii="Arial" w:eastAsia="Times New Roman" w:hAnsi="Arial" w:cs="Arial"/>
                <w:b/>
                <w:bCs/>
                <w:lang w:eastAsia="fr-FR"/>
              </w:rPr>
            </w:pPr>
            <w:r w:rsidRPr="00B92191">
              <w:rPr>
                <w:rFonts w:ascii="Arial" w:eastAsia="Times New Roman" w:hAnsi="Arial" w:cs="Arial"/>
                <w:b/>
                <w:bCs/>
                <w:lang w:eastAsia="fr-FR"/>
              </w:rPr>
              <w:t>51</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92191" w:rsidRDefault="0079770C" w:rsidP="0079770C">
            <w:pPr>
              <w:jc w:val="center"/>
              <w:rPr>
                <w:rFonts w:ascii="Arial" w:eastAsia="Times New Roman" w:hAnsi="Arial" w:cs="Arial"/>
                <w:b/>
                <w:bCs/>
                <w:lang w:eastAsia="fr-FR"/>
              </w:rPr>
            </w:pPr>
            <w:r w:rsidRPr="00B92191">
              <w:rPr>
                <w:rFonts w:ascii="Arial" w:eastAsia="Times New Roman" w:hAnsi="Arial" w:cs="Arial"/>
                <w:b/>
                <w:bCs/>
                <w:lang w:eastAsia="fr-FR"/>
              </w:rPr>
              <w:t>41</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92191" w:rsidRDefault="0079770C" w:rsidP="0079770C">
            <w:pPr>
              <w:jc w:val="center"/>
              <w:rPr>
                <w:rFonts w:ascii="Arial" w:eastAsia="Times New Roman" w:hAnsi="Arial" w:cs="Arial"/>
                <w:b/>
                <w:bCs/>
                <w:lang w:eastAsia="fr-FR"/>
              </w:rPr>
            </w:pPr>
            <w:r w:rsidRPr="00B92191">
              <w:rPr>
                <w:rFonts w:ascii="Arial" w:eastAsia="Times New Roman" w:hAnsi="Arial" w:cs="Arial"/>
                <w:b/>
                <w:bCs/>
                <w:lang w:eastAsia="fr-FR"/>
              </w:rPr>
              <w:t>45</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92191" w:rsidRDefault="0079770C" w:rsidP="0079770C">
            <w:pPr>
              <w:jc w:val="center"/>
              <w:rPr>
                <w:rFonts w:ascii="Arial" w:eastAsia="Times New Roman" w:hAnsi="Arial" w:cs="Arial"/>
                <w:b/>
                <w:bCs/>
                <w:lang w:eastAsia="fr-FR"/>
              </w:rPr>
            </w:pPr>
            <w:r w:rsidRPr="00B92191">
              <w:rPr>
                <w:rFonts w:ascii="Arial" w:eastAsia="Times New Roman" w:hAnsi="Arial" w:cs="Arial"/>
                <w:b/>
                <w:bCs/>
                <w:lang w:eastAsia="fr-FR"/>
              </w:rPr>
              <w:t>40</w:t>
            </w:r>
          </w:p>
        </w:tc>
      </w:tr>
      <w:tr w:rsidR="0079770C" w:rsidRPr="00B92191" w:rsidTr="0079770C">
        <w:trPr>
          <w:trHeight w:val="280"/>
          <w:jc w:val="center"/>
        </w:trPr>
        <w:tc>
          <w:tcPr>
            <w:tcW w:w="2560" w:type="dxa"/>
            <w:tcBorders>
              <w:top w:val="nil"/>
              <w:left w:val="single" w:sz="4" w:space="0" w:color="A6A6A6"/>
              <w:bottom w:val="single" w:sz="4" w:space="0" w:color="A6A6A6"/>
              <w:right w:val="single" w:sz="4" w:space="0" w:color="A6A6A6"/>
            </w:tcBorders>
            <w:shd w:val="clear" w:color="000000" w:fill="D9D9D9"/>
            <w:noWrap/>
            <w:vAlign w:val="center"/>
            <w:hideMark/>
          </w:tcPr>
          <w:p w:rsidR="0079770C" w:rsidRPr="00B92191" w:rsidRDefault="0079770C" w:rsidP="0079770C">
            <w:pPr>
              <w:rPr>
                <w:rFonts w:ascii="Arial" w:eastAsia="Times New Roman" w:hAnsi="Arial" w:cs="Arial"/>
                <w:lang w:eastAsia="fr-FR"/>
              </w:rPr>
            </w:pPr>
            <w:r w:rsidRPr="00B92191">
              <w:rPr>
                <w:rFonts w:ascii="Arial" w:eastAsia="Times New Roman" w:hAnsi="Arial" w:cs="Arial"/>
                <w:lang w:eastAsia="fr-FR"/>
              </w:rPr>
              <w:t>Variation</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92191" w:rsidRDefault="0079770C" w:rsidP="0079770C">
            <w:pPr>
              <w:jc w:val="center"/>
              <w:rPr>
                <w:rFonts w:ascii="Arial" w:eastAsia="Times New Roman" w:hAnsi="Arial" w:cs="Arial"/>
                <w:lang w:eastAsia="fr-FR"/>
              </w:rPr>
            </w:pPr>
            <w:r w:rsidRPr="00B92191">
              <w:rPr>
                <w:rFonts w:ascii="Arial" w:eastAsia="Times New Roman" w:hAnsi="Arial" w:cs="Arial"/>
                <w:lang w:eastAsia="fr-FR"/>
              </w:rPr>
              <w:t> </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92191" w:rsidRDefault="0079770C" w:rsidP="0079770C">
            <w:pPr>
              <w:jc w:val="center"/>
              <w:rPr>
                <w:rFonts w:ascii="Arial" w:eastAsia="Times New Roman" w:hAnsi="Arial" w:cs="Arial"/>
                <w:lang w:eastAsia="fr-FR"/>
              </w:rPr>
            </w:pPr>
            <w:r w:rsidRPr="00B92191">
              <w:rPr>
                <w:rFonts w:ascii="Arial" w:eastAsia="Times New Roman" w:hAnsi="Arial" w:cs="Arial"/>
                <w:lang w:eastAsia="fr-FR"/>
              </w:rPr>
              <w:t>-20%</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92191" w:rsidRDefault="0079770C" w:rsidP="0079770C">
            <w:pPr>
              <w:jc w:val="center"/>
              <w:rPr>
                <w:rFonts w:ascii="Arial" w:eastAsia="Times New Roman" w:hAnsi="Arial" w:cs="Arial"/>
                <w:lang w:eastAsia="fr-FR"/>
              </w:rPr>
            </w:pPr>
            <w:r w:rsidRPr="00B92191">
              <w:rPr>
                <w:rFonts w:ascii="Arial" w:eastAsia="Times New Roman" w:hAnsi="Arial" w:cs="Arial"/>
                <w:lang w:eastAsia="fr-FR"/>
              </w:rPr>
              <w:t>10%</w:t>
            </w:r>
          </w:p>
        </w:tc>
        <w:tc>
          <w:tcPr>
            <w:tcW w:w="1280" w:type="dxa"/>
            <w:tcBorders>
              <w:top w:val="nil"/>
              <w:left w:val="nil"/>
              <w:bottom w:val="single" w:sz="4" w:space="0" w:color="A6A6A6"/>
              <w:right w:val="single" w:sz="4" w:space="0" w:color="A6A6A6"/>
            </w:tcBorders>
            <w:shd w:val="clear" w:color="auto" w:fill="auto"/>
            <w:noWrap/>
            <w:vAlign w:val="center"/>
            <w:hideMark/>
          </w:tcPr>
          <w:p w:rsidR="0079770C" w:rsidRPr="00B92191" w:rsidRDefault="0079770C" w:rsidP="0079770C">
            <w:pPr>
              <w:jc w:val="center"/>
              <w:rPr>
                <w:rFonts w:ascii="Arial" w:eastAsia="Times New Roman" w:hAnsi="Arial" w:cs="Arial"/>
                <w:lang w:eastAsia="fr-FR"/>
              </w:rPr>
            </w:pPr>
            <w:r w:rsidRPr="00B92191">
              <w:rPr>
                <w:rFonts w:ascii="Arial" w:eastAsia="Times New Roman" w:hAnsi="Arial" w:cs="Arial"/>
                <w:lang w:eastAsia="fr-FR"/>
              </w:rPr>
              <w:t>-11%</w:t>
            </w:r>
          </w:p>
        </w:tc>
      </w:tr>
    </w:tbl>
    <w:p w:rsidR="007B2DE5" w:rsidRPr="003542E0" w:rsidRDefault="0079770C" w:rsidP="003542E0">
      <w:pPr>
        <w:pStyle w:val="western"/>
        <w:jc w:val="both"/>
        <w:rPr>
          <w:sz w:val="22"/>
          <w:szCs w:val="22"/>
        </w:rPr>
      </w:pPr>
      <w:r w:rsidRPr="003542E0">
        <w:rPr>
          <w:sz w:val="22"/>
          <w:szCs w:val="22"/>
        </w:rPr>
        <w:t>Au total 40 stagiaires étaient placés en CFP en 2013 correspondant à 3 630 jours (contre 2 943 jours en 2012) dont 95 jours sans indemnités.</w:t>
      </w:r>
    </w:p>
    <w:p w:rsidR="0079770C" w:rsidRPr="00755F5D" w:rsidRDefault="0079770C" w:rsidP="007B2DE5">
      <w:pPr>
        <w:spacing w:before="240"/>
        <w:jc w:val="center"/>
        <w:rPr>
          <w:rFonts w:ascii="Arial" w:eastAsia="Cambria" w:hAnsi="Arial" w:cs="Times"/>
          <w:b/>
          <w:iCs/>
          <w:szCs w:val="20"/>
        </w:rPr>
      </w:pPr>
      <w:r w:rsidRPr="00755F5D">
        <w:rPr>
          <w:rFonts w:ascii="Arial" w:eastAsia="Cambria" w:hAnsi="Arial" w:cs="Times"/>
          <w:b/>
          <w:iCs/>
          <w:szCs w:val="20"/>
        </w:rPr>
        <w:t>Détail des agents en CFP en 2013</w:t>
      </w:r>
    </w:p>
    <w:p w:rsidR="0079770C" w:rsidRPr="001D30C7" w:rsidRDefault="0079770C" w:rsidP="0079770C">
      <w:pPr>
        <w:rPr>
          <w:rFonts w:ascii="Cambria" w:eastAsia="Cambria" w:hAnsi="Cambria" w:cs="Times New Roman"/>
        </w:rPr>
      </w:pPr>
      <w:r w:rsidRPr="00755F5D">
        <w:rPr>
          <w:noProof/>
          <w:lang w:eastAsia="fr-FR"/>
        </w:rPr>
        <w:drawing>
          <wp:anchor distT="0" distB="0" distL="114300" distR="114300" simplePos="0" relativeHeight="251853824" behindDoc="1" locked="0" layoutInCell="1" allowOverlap="1" wp14:anchorId="08774A55" wp14:editId="636B4949">
            <wp:simplePos x="0" y="0"/>
            <wp:positionH relativeFrom="margin">
              <wp:posOffset>-457835</wp:posOffset>
            </wp:positionH>
            <wp:positionV relativeFrom="paragraph">
              <wp:posOffset>159385</wp:posOffset>
            </wp:positionV>
            <wp:extent cx="6757670" cy="944880"/>
            <wp:effectExtent l="0" t="0" r="5080" b="7620"/>
            <wp:wrapTight wrapText="bothSides">
              <wp:wrapPolygon edited="0">
                <wp:start x="3410" y="0"/>
                <wp:lineTo x="0" y="6532"/>
                <wp:lineTo x="0" y="21339"/>
                <wp:lineTo x="21555" y="21339"/>
                <wp:lineTo x="21555" y="0"/>
                <wp:lineTo x="3410" y="0"/>
              </wp:wrapPolygon>
            </wp:wrapTight>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757670" cy="94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770C" w:rsidRPr="003542E0" w:rsidRDefault="0079770C" w:rsidP="003542E0">
      <w:pPr>
        <w:pStyle w:val="western"/>
        <w:jc w:val="both"/>
        <w:rPr>
          <w:rFonts w:ascii="Cambria" w:eastAsia="Cambria" w:hAnsi="Cambria"/>
          <w:sz w:val="22"/>
          <w:szCs w:val="22"/>
        </w:rPr>
      </w:pPr>
      <w:r w:rsidRPr="003542E0">
        <w:rPr>
          <w:sz w:val="22"/>
          <w:szCs w:val="22"/>
        </w:rPr>
        <w:t>On retrouve ici aussi la même tendance d'une baisse du nombre d'agents bénéficiant de ce dispositif, mais d'une augmentation de la durée cumulée.</w:t>
      </w:r>
      <w:r w:rsidRPr="003542E0">
        <w:rPr>
          <w:rFonts w:ascii="Cambria" w:eastAsia="Cambria" w:hAnsi="Cambria"/>
          <w:sz w:val="22"/>
          <w:szCs w:val="22"/>
        </w:rPr>
        <w:br w:type="page"/>
      </w:r>
    </w:p>
    <w:p w:rsidR="0079770C" w:rsidRPr="001D30C7" w:rsidRDefault="0079770C" w:rsidP="0079770C">
      <w:pPr>
        <w:widowControl w:val="0"/>
        <w:autoSpaceDE w:val="0"/>
        <w:autoSpaceDN w:val="0"/>
        <w:adjustRightInd w:val="0"/>
        <w:jc w:val="both"/>
        <w:rPr>
          <w:rFonts w:ascii="BlairMdITC TT-Medium" w:eastAsia="Cambria" w:hAnsi="BlairMdITC TT-Medium" w:cs="Times New Roman"/>
          <w:b/>
          <w:color w:val="CC66FF"/>
          <w:sz w:val="28"/>
        </w:rPr>
      </w:pPr>
    </w:p>
    <w:p w:rsidR="0079770C" w:rsidRPr="009F6D4E" w:rsidRDefault="0079770C" w:rsidP="0079770C">
      <w:pPr>
        <w:widowControl w:val="0"/>
        <w:autoSpaceDE w:val="0"/>
        <w:autoSpaceDN w:val="0"/>
        <w:adjustRightInd w:val="0"/>
        <w:ind w:left="1134" w:hanging="1134"/>
        <w:jc w:val="both"/>
        <w:rPr>
          <w:rFonts w:ascii="Florencesans Exp" w:eastAsia="Cambria" w:hAnsi="Florencesans Exp" w:cs="Times New Roman"/>
          <w:b/>
          <w:color w:val="CC66FF"/>
          <w:sz w:val="28"/>
        </w:rPr>
      </w:pPr>
      <w:r w:rsidRPr="009F6D4E">
        <w:rPr>
          <w:rFonts w:ascii="Florencesans Exp" w:eastAsia="Cambria" w:hAnsi="Florencesans Exp" w:cs="Times New Roman"/>
          <w:b/>
          <w:color w:val="CC66FF"/>
          <w:sz w:val="28"/>
        </w:rPr>
        <w:t>6. D. LES DEPENSES DIRECTES DE FORMATION (DONNEES T2 ET T3)</w:t>
      </w:r>
    </w:p>
    <w:p w:rsidR="0079770C" w:rsidRPr="001D30C7" w:rsidRDefault="0079770C" w:rsidP="0079770C">
      <w:pPr>
        <w:rPr>
          <w:rFonts w:ascii="Cambria" w:eastAsia="Cambria" w:hAnsi="Cambria" w:cs="Times New Roman"/>
          <w:sz w:val="32"/>
        </w:rPr>
      </w:pPr>
    </w:p>
    <w:p w:rsidR="0079770C" w:rsidRPr="009F6D4E" w:rsidRDefault="0079770C" w:rsidP="0079770C">
      <w:pPr>
        <w:ind w:left="1134" w:hanging="1134"/>
        <w:rPr>
          <w:rFonts w:ascii="Florencesans Exp" w:eastAsia="Cambria" w:hAnsi="Florencesans Exp" w:cs="Times New Roman"/>
        </w:rPr>
      </w:pPr>
      <w:r w:rsidRPr="009F6D4E">
        <w:rPr>
          <w:rFonts w:ascii="Florencesans Exp" w:eastAsia="Cambria" w:hAnsi="Florencesans Exp" w:cs="Times New Roman"/>
        </w:rPr>
        <w:t>6. D. 1. EVOLUTION EN EUROS DES DEPENSES DIRECTES DE FORMATION</w:t>
      </w:r>
    </w:p>
    <w:p w:rsidR="0079770C" w:rsidRPr="001D30C7" w:rsidRDefault="0079770C" w:rsidP="0079770C">
      <w:pPr>
        <w:rPr>
          <w:rFonts w:ascii="BlairMdITC TT-Medium" w:eastAsia="Cambria" w:hAnsi="BlairMdITC TT-Medium" w:cs="Times New Roman"/>
        </w:rPr>
      </w:pPr>
    </w:p>
    <w:p w:rsidR="0079770C" w:rsidRPr="003542E0" w:rsidRDefault="0079770C" w:rsidP="003542E0">
      <w:pPr>
        <w:pStyle w:val="western"/>
        <w:jc w:val="both"/>
        <w:rPr>
          <w:sz w:val="22"/>
          <w:szCs w:val="22"/>
        </w:rPr>
      </w:pPr>
      <w:r w:rsidRPr="003542E0">
        <w:rPr>
          <w:sz w:val="22"/>
          <w:szCs w:val="22"/>
        </w:rPr>
        <w:t>Les dépenses directes de formation comprennent les dépenses pédagogiques et les frais de mission des stagiaires (remboursement des frais d’hébergement et de déplacement) ;</w:t>
      </w:r>
    </w:p>
    <w:p w:rsidR="0079770C" w:rsidRPr="001D30C7" w:rsidRDefault="0079770C" w:rsidP="0079770C">
      <w:pPr>
        <w:widowControl w:val="0"/>
        <w:autoSpaceDE w:val="0"/>
        <w:autoSpaceDN w:val="0"/>
        <w:adjustRightInd w:val="0"/>
        <w:jc w:val="both"/>
        <w:rPr>
          <w:rFonts w:ascii="Arial" w:eastAsia="Cambria" w:hAnsi="Arial" w:cs="Times New Roman"/>
        </w:rPr>
      </w:pPr>
    </w:p>
    <w:p w:rsidR="0079770C" w:rsidRPr="00F64920" w:rsidRDefault="0079770C" w:rsidP="0079770C">
      <w:pPr>
        <w:jc w:val="center"/>
        <w:rPr>
          <w:rFonts w:ascii="Arial" w:eastAsia="Cambria" w:hAnsi="Arial" w:cs="Times"/>
          <w:b/>
          <w:iCs/>
          <w:szCs w:val="20"/>
        </w:rPr>
      </w:pPr>
      <w:r w:rsidRPr="00F64920">
        <w:rPr>
          <w:rFonts w:ascii="Arial" w:eastAsia="Cambria" w:hAnsi="Arial" w:cs="Times"/>
          <w:b/>
          <w:iCs/>
          <w:szCs w:val="20"/>
        </w:rPr>
        <w:t>Evolution des dépenses directes de formation depuis 2011 sur l'ensemble du ministère</w:t>
      </w:r>
    </w:p>
    <w:p w:rsidR="0079770C" w:rsidRPr="006E4ACB" w:rsidRDefault="0079770C" w:rsidP="0079770C">
      <w:pPr>
        <w:jc w:val="center"/>
        <w:rPr>
          <w:rFonts w:ascii="Cambria" w:eastAsia="Cambria" w:hAnsi="Cambria" w:cs="Times"/>
          <w:i/>
          <w:iCs/>
          <w:szCs w:val="20"/>
          <w:highlight w:val="yellow"/>
        </w:rPr>
      </w:pPr>
    </w:p>
    <w:tbl>
      <w:tblPr>
        <w:tblW w:w="6440" w:type="dxa"/>
        <w:jc w:val="center"/>
        <w:tblCellMar>
          <w:left w:w="70" w:type="dxa"/>
          <w:right w:w="70" w:type="dxa"/>
        </w:tblCellMar>
        <w:tblLook w:val="04A0" w:firstRow="1" w:lastRow="0" w:firstColumn="1" w:lastColumn="0" w:noHBand="0" w:noVBand="1"/>
      </w:tblPr>
      <w:tblGrid>
        <w:gridCol w:w="1880"/>
        <w:gridCol w:w="1520"/>
        <w:gridCol w:w="1520"/>
        <w:gridCol w:w="1520"/>
      </w:tblGrid>
      <w:tr w:rsidR="0079770C" w:rsidRPr="00F64920" w:rsidTr="0079770C">
        <w:trPr>
          <w:trHeight w:val="280"/>
          <w:jc w:val="center"/>
        </w:trPr>
        <w:tc>
          <w:tcPr>
            <w:tcW w:w="1880" w:type="dxa"/>
            <w:tcBorders>
              <w:top w:val="nil"/>
              <w:left w:val="nil"/>
              <w:bottom w:val="single" w:sz="4" w:space="0" w:color="A6A6A6"/>
              <w:right w:val="single" w:sz="4" w:space="0" w:color="A6A6A6"/>
            </w:tcBorders>
            <w:shd w:val="clear" w:color="auto" w:fill="auto"/>
            <w:noWrap/>
            <w:vAlign w:val="center"/>
            <w:hideMark/>
          </w:tcPr>
          <w:p w:rsidR="0079770C" w:rsidRPr="00F64920" w:rsidRDefault="0079770C" w:rsidP="0079770C">
            <w:pPr>
              <w:rPr>
                <w:rFonts w:ascii="Arial" w:eastAsia="Times New Roman" w:hAnsi="Arial" w:cs="Arial"/>
                <w:lang w:eastAsia="fr-FR"/>
              </w:rPr>
            </w:pPr>
            <w:r w:rsidRPr="00F64920">
              <w:rPr>
                <w:rFonts w:ascii="Arial" w:eastAsia="Times New Roman" w:hAnsi="Arial" w:cs="Arial"/>
                <w:lang w:eastAsia="fr-FR"/>
              </w:rPr>
              <w:t> </w:t>
            </w:r>
          </w:p>
        </w:tc>
        <w:tc>
          <w:tcPr>
            <w:tcW w:w="152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F64920" w:rsidRDefault="0079770C" w:rsidP="0079770C">
            <w:pPr>
              <w:jc w:val="center"/>
              <w:rPr>
                <w:rFonts w:ascii="Arial" w:eastAsia="Times New Roman" w:hAnsi="Arial" w:cs="Arial"/>
                <w:b/>
                <w:bCs/>
                <w:color w:val="FFFFFF"/>
                <w:lang w:eastAsia="fr-FR"/>
              </w:rPr>
            </w:pPr>
            <w:r w:rsidRPr="00F64920">
              <w:rPr>
                <w:rFonts w:ascii="Arial" w:eastAsia="Times New Roman" w:hAnsi="Arial" w:cs="Arial"/>
                <w:b/>
                <w:bCs/>
                <w:color w:val="FFFFFF"/>
                <w:lang w:eastAsia="fr-FR"/>
              </w:rPr>
              <w:t>2011</w:t>
            </w:r>
          </w:p>
        </w:tc>
        <w:tc>
          <w:tcPr>
            <w:tcW w:w="152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F64920" w:rsidRDefault="0079770C" w:rsidP="0079770C">
            <w:pPr>
              <w:jc w:val="center"/>
              <w:rPr>
                <w:rFonts w:ascii="Arial" w:eastAsia="Times New Roman" w:hAnsi="Arial" w:cs="Arial"/>
                <w:b/>
                <w:bCs/>
                <w:color w:val="FFFFFF"/>
                <w:lang w:eastAsia="fr-FR"/>
              </w:rPr>
            </w:pPr>
            <w:r w:rsidRPr="00F64920">
              <w:rPr>
                <w:rFonts w:ascii="Arial" w:eastAsia="Times New Roman" w:hAnsi="Arial" w:cs="Arial"/>
                <w:b/>
                <w:bCs/>
                <w:color w:val="FFFFFF"/>
                <w:lang w:eastAsia="fr-FR"/>
              </w:rPr>
              <w:t>2012</w:t>
            </w:r>
          </w:p>
        </w:tc>
        <w:tc>
          <w:tcPr>
            <w:tcW w:w="1520" w:type="dxa"/>
            <w:tcBorders>
              <w:top w:val="single" w:sz="4" w:space="0" w:color="A6A6A6"/>
              <w:left w:val="nil"/>
              <w:bottom w:val="single" w:sz="4" w:space="0" w:color="A6A6A6"/>
              <w:right w:val="single" w:sz="4" w:space="0" w:color="A6A6A6"/>
            </w:tcBorders>
            <w:shd w:val="clear" w:color="FFFFCC" w:fill="C066D8"/>
            <w:noWrap/>
            <w:vAlign w:val="center"/>
            <w:hideMark/>
          </w:tcPr>
          <w:p w:rsidR="0079770C" w:rsidRPr="00F64920" w:rsidRDefault="0079770C" w:rsidP="0079770C">
            <w:pPr>
              <w:jc w:val="center"/>
              <w:rPr>
                <w:rFonts w:ascii="Arial" w:eastAsia="Times New Roman" w:hAnsi="Arial" w:cs="Arial"/>
                <w:b/>
                <w:bCs/>
                <w:color w:val="FFFFFF"/>
                <w:lang w:eastAsia="fr-FR"/>
              </w:rPr>
            </w:pPr>
            <w:r w:rsidRPr="00F64920">
              <w:rPr>
                <w:rFonts w:ascii="Arial" w:eastAsia="Times New Roman" w:hAnsi="Arial" w:cs="Arial"/>
                <w:b/>
                <w:bCs/>
                <w:color w:val="FFFFFF"/>
                <w:lang w:eastAsia="fr-FR"/>
              </w:rPr>
              <w:t>2013</w:t>
            </w:r>
          </w:p>
        </w:tc>
      </w:tr>
      <w:tr w:rsidR="0079770C" w:rsidRPr="00F64920" w:rsidTr="0079770C">
        <w:trPr>
          <w:trHeight w:val="280"/>
          <w:jc w:val="center"/>
        </w:trPr>
        <w:tc>
          <w:tcPr>
            <w:tcW w:w="188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F64920" w:rsidRDefault="0079770C" w:rsidP="0079770C">
            <w:pPr>
              <w:rPr>
                <w:rFonts w:ascii="Arial" w:eastAsia="Times New Roman" w:hAnsi="Arial" w:cs="Arial"/>
                <w:lang w:eastAsia="fr-FR"/>
              </w:rPr>
            </w:pPr>
            <w:r w:rsidRPr="00F64920">
              <w:rPr>
                <w:rFonts w:ascii="Arial" w:eastAsia="Times New Roman" w:hAnsi="Arial" w:cs="Arial"/>
                <w:lang w:eastAsia="fr-FR"/>
              </w:rPr>
              <w:t>Dépenses (en €)</w:t>
            </w:r>
          </w:p>
        </w:tc>
        <w:tc>
          <w:tcPr>
            <w:tcW w:w="1520" w:type="dxa"/>
            <w:tcBorders>
              <w:top w:val="nil"/>
              <w:left w:val="nil"/>
              <w:bottom w:val="single" w:sz="4" w:space="0" w:color="A6A6A6"/>
              <w:right w:val="single" w:sz="4" w:space="0" w:color="A6A6A6"/>
            </w:tcBorders>
            <w:shd w:val="clear" w:color="auto" w:fill="auto"/>
            <w:noWrap/>
            <w:vAlign w:val="center"/>
            <w:hideMark/>
          </w:tcPr>
          <w:p w:rsidR="0079770C" w:rsidRPr="00F64920" w:rsidRDefault="0079770C" w:rsidP="0079770C">
            <w:pPr>
              <w:jc w:val="center"/>
              <w:rPr>
                <w:rFonts w:ascii="Arial" w:eastAsia="Times New Roman" w:hAnsi="Arial" w:cs="Arial"/>
                <w:lang w:eastAsia="fr-FR"/>
              </w:rPr>
            </w:pPr>
            <w:r w:rsidRPr="00F64920">
              <w:rPr>
                <w:rFonts w:ascii="Arial" w:eastAsia="Times New Roman" w:hAnsi="Arial" w:cs="Arial"/>
                <w:lang w:eastAsia="fr-FR"/>
              </w:rPr>
              <w:t>9 639 074 €</w:t>
            </w:r>
          </w:p>
        </w:tc>
        <w:tc>
          <w:tcPr>
            <w:tcW w:w="1520" w:type="dxa"/>
            <w:tcBorders>
              <w:top w:val="nil"/>
              <w:left w:val="nil"/>
              <w:bottom w:val="single" w:sz="4" w:space="0" w:color="A6A6A6"/>
              <w:right w:val="single" w:sz="4" w:space="0" w:color="A6A6A6"/>
            </w:tcBorders>
            <w:shd w:val="clear" w:color="auto" w:fill="auto"/>
            <w:noWrap/>
            <w:vAlign w:val="center"/>
            <w:hideMark/>
          </w:tcPr>
          <w:p w:rsidR="0079770C" w:rsidRPr="00F64920" w:rsidRDefault="0079770C" w:rsidP="0079770C">
            <w:pPr>
              <w:jc w:val="center"/>
              <w:rPr>
                <w:rFonts w:ascii="Arial" w:eastAsia="Times New Roman" w:hAnsi="Arial" w:cs="Arial"/>
                <w:lang w:eastAsia="fr-FR"/>
              </w:rPr>
            </w:pPr>
            <w:r w:rsidRPr="00F64920">
              <w:rPr>
                <w:rFonts w:ascii="Arial" w:eastAsia="Times New Roman" w:hAnsi="Arial" w:cs="Arial"/>
                <w:lang w:eastAsia="fr-FR"/>
              </w:rPr>
              <w:t>9 356 957 €</w:t>
            </w:r>
          </w:p>
        </w:tc>
        <w:tc>
          <w:tcPr>
            <w:tcW w:w="1520" w:type="dxa"/>
            <w:tcBorders>
              <w:top w:val="nil"/>
              <w:left w:val="nil"/>
              <w:bottom w:val="single" w:sz="4" w:space="0" w:color="A6A6A6"/>
              <w:right w:val="single" w:sz="4" w:space="0" w:color="A6A6A6"/>
            </w:tcBorders>
            <w:shd w:val="clear" w:color="auto" w:fill="auto"/>
            <w:noWrap/>
            <w:vAlign w:val="center"/>
            <w:hideMark/>
          </w:tcPr>
          <w:p w:rsidR="0079770C" w:rsidRPr="00F64920" w:rsidRDefault="0079770C" w:rsidP="0079770C">
            <w:pPr>
              <w:jc w:val="center"/>
              <w:rPr>
                <w:rFonts w:ascii="Arial" w:eastAsia="Times New Roman" w:hAnsi="Arial" w:cs="Arial"/>
                <w:lang w:eastAsia="fr-FR"/>
              </w:rPr>
            </w:pPr>
            <w:r w:rsidRPr="00F64920">
              <w:rPr>
                <w:rFonts w:ascii="Arial" w:eastAsia="Times New Roman" w:hAnsi="Arial" w:cs="Arial"/>
                <w:lang w:eastAsia="fr-FR"/>
              </w:rPr>
              <w:t>9 411 677 €</w:t>
            </w:r>
          </w:p>
        </w:tc>
      </w:tr>
      <w:tr w:rsidR="0079770C" w:rsidRPr="00F64920" w:rsidTr="0079770C">
        <w:trPr>
          <w:trHeight w:val="280"/>
          <w:jc w:val="center"/>
        </w:trPr>
        <w:tc>
          <w:tcPr>
            <w:tcW w:w="1880" w:type="dxa"/>
            <w:tcBorders>
              <w:top w:val="nil"/>
              <w:left w:val="single" w:sz="4" w:space="0" w:color="A6A6A6"/>
              <w:bottom w:val="single" w:sz="4" w:space="0" w:color="A6A6A6"/>
              <w:right w:val="single" w:sz="4" w:space="0" w:color="A6A6A6"/>
            </w:tcBorders>
            <w:shd w:val="clear" w:color="FFFFCC" w:fill="D9D9D9"/>
            <w:noWrap/>
            <w:vAlign w:val="center"/>
            <w:hideMark/>
          </w:tcPr>
          <w:p w:rsidR="0079770C" w:rsidRPr="00F64920" w:rsidRDefault="0079770C" w:rsidP="0079770C">
            <w:pPr>
              <w:rPr>
                <w:rFonts w:ascii="Arial" w:eastAsia="Times New Roman" w:hAnsi="Arial" w:cs="Arial"/>
                <w:lang w:eastAsia="fr-FR"/>
              </w:rPr>
            </w:pPr>
            <w:r w:rsidRPr="00F64920">
              <w:rPr>
                <w:rFonts w:ascii="Arial" w:eastAsia="Times New Roman" w:hAnsi="Arial" w:cs="Arial"/>
                <w:lang w:eastAsia="fr-FR"/>
              </w:rPr>
              <w:t>Variation</w:t>
            </w:r>
          </w:p>
        </w:tc>
        <w:tc>
          <w:tcPr>
            <w:tcW w:w="1520" w:type="dxa"/>
            <w:tcBorders>
              <w:top w:val="nil"/>
              <w:left w:val="nil"/>
              <w:bottom w:val="single" w:sz="4" w:space="0" w:color="A6A6A6"/>
              <w:right w:val="single" w:sz="4" w:space="0" w:color="A6A6A6"/>
            </w:tcBorders>
            <w:shd w:val="clear" w:color="auto" w:fill="auto"/>
            <w:noWrap/>
            <w:vAlign w:val="center"/>
            <w:hideMark/>
          </w:tcPr>
          <w:p w:rsidR="0079770C" w:rsidRPr="00F64920" w:rsidRDefault="0079770C" w:rsidP="0079770C">
            <w:pPr>
              <w:jc w:val="center"/>
              <w:rPr>
                <w:rFonts w:ascii="Arial" w:eastAsia="Times New Roman" w:hAnsi="Arial" w:cs="Arial"/>
                <w:lang w:eastAsia="fr-FR"/>
              </w:rPr>
            </w:pPr>
            <w:r w:rsidRPr="00F64920">
              <w:rPr>
                <w:rFonts w:ascii="Arial" w:eastAsia="Times New Roman" w:hAnsi="Arial" w:cs="Arial"/>
                <w:lang w:eastAsia="fr-FR"/>
              </w:rPr>
              <w:t> </w:t>
            </w:r>
          </w:p>
        </w:tc>
        <w:tc>
          <w:tcPr>
            <w:tcW w:w="1520" w:type="dxa"/>
            <w:tcBorders>
              <w:top w:val="nil"/>
              <w:left w:val="nil"/>
              <w:bottom w:val="single" w:sz="4" w:space="0" w:color="A6A6A6"/>
              <w:right w:val="single" w:sz="4" w:space="0" w:color="A6A6A6"/>
            </w:tcBorders>
            <w:shd w:val="clear" w:color="auto" w:fill="auto"/>
            <w:noWrap/>
            <w:vAlign w:val="center"/>
            <w:hideMark/>
          </w:tcPr>
          <w:p w:rsidR="0079770C" w:rsidRPr="00F64920" w:rsidRDefault="0079770C" w:rsidP="0079770C">
            <w:pPr>
              <w:jc w:val="center"/>
              <w:rPr>
                <w:rFonts w:ascii="Arial" w:eastAsia="Times New Roman" w:hAnsi="Arial" w:cs="Arial"/>
                <w:lang w:eastAsia="fr-FR"/>
              </w:rPr>
            </w:pPr>
            <w:r w:rsidRPr="00F64920">
              <w:rPr>
                <w:rFonts w:ascii="Arial" w:eastAsia="Times New Roman" w:hAnsi="Arial" w:cs="Arial"/>
                <w:lang w:eastAsia="fr-FR"/>
              </w:rPr>
              <w:t>-3%</w:t>
            </w:r>
          </w:p>
        </w:tc>
        <w:tc>
          <w:tcPr>
            <w:tcW w:w="1520" w:type="dxa"/>
            <w:tcBorders>
              <w:top w:val="nil"/>
              <w:left w:val="nil"/>
              <w:bottom w:val="single" w:sz="4" w:space="0" w:color="A6A6A6"/>
              <w:right w:val="single" w:sz="4" w:space="0" w:color="A6A6A6"/>
            </w:tcBorders>
            <w:shd w:val="clear" w:color="auto" w:fill="auto"/>
            <w:noWrap/>
            <w:vAlign w:val="center"/>
            <w:hideMark/>
          </w:tcPr>
          <w:p w:rsidR="0079770C" w:rsidRPr="00F64920" w:rsidRDefault="0079770C" w:rsidP="0079770C">
            <w:pPr>
              <w:jc w:val="center"/>
              <w:rPr>
                <w:rFonts w:ascii="Arial" w:eastAsia="Times New Roman" w:hAnsi="Arial" w:cs="Arial"/>
                <w:lang w:eastAsia="fr-FR"/>
              </w:rPr>
            </w:pPr>
            <w:r w:rsidRPr="00F64920">
              <w:rPr>
                <w:rFonts w:ascii="Arial" w:eastAsia="Times New Roman" w:hAnsi="Arial" w:cs="Arial"/>
                <w:lang w:eastAsia="fr-FR"/>
              </w:rPr>
              <w:t>1%</w:t>
            </w:r>
          </w:p>
        </w:tc>
      </w:tr>
    </w:tbl>
    <w:p w:rsidR="0079770C" w:rsidRPr="006E4ACB" w:rsidRDefault="0079770C" w:rsidP="0079770C">
      <w:pPr>
        <w:widowControl w:val="0"/>
        <w:autoSpaceDE w:val="0"/>
        <w:autoSpaceDN w:val="0"/>
        <w:adjustRightInd w:val="0"/>
        <w:jc w:val="both"/>
        <w:rPr>
          <w:rFonts w:ascii="Cambria" w:eastAsia="Cambria" w:hAnsi="Cambria" w:cs="Times New Roman"/>
          <w:highlight w:val="yellow"/>
        </w:rPr>
      </w:pPr>
    </w:p>
    <w:p w:rsidR="0079770C" w:rsidRPr="006E4ACB" w:rsidRDefault="0079770C" w:rsidP="0079770C">
      <w:pPr>
        <w:widowControl w:val="0"/>
        <w:autoSpaceDE w:val="0"/>
        <w:autoSpaceDN w:val="0"/>
        <w:adjustRightInd w:val="0"/>
        <w:jc w:val="both"/>
        <w:rPr>
          <w:rFonts w:ascii="Cambria" w:eastAsia="Cambria" w:hAnsi="Cambria" w:cs="Times New Roman"/>
          <w:highlight w:val="yellow"/>
        </w:rPr>
      </w:pPr>
    </w:p>
    <w:p w:rsidR="0079770C" w:rsidRPr="00F64920" w:rsidRDefault="0079770C" w:rsidP="0079770C">
      <w:pPr>
        <w:jc w:val="center"/>
        <w:rPr>
          <w:rFonts w:ascii="Arial" w:eastAsia="Cambria" w:hAnsi="Arial" w:cs="Times"/>
          <w:b/>
          <w:iCs/>
          <w:szCs w:val="20"/>
        </w:rPr>
      </w:pPr>
      <w:r w:rsidRPr="00F64920">
        <w:rPr>
          <w:rFonts w:ascii="Arial" w:eastAsia="Cambria" w:hAnsi="Arial" w:cs="Times"/>
          <w:b/>
          <w:iCs/>
          <w:szCs w:val="20"/>
        </w:rPr>
        <w:t>Evolution 2012/2013 des dépenses directes de formation par type de structure</w:t>
      </w:r>
    </w:p>
    <w:p w:rsidR="0079770C" w:rsidRPr="006E4ACB" w:rsidRDefault="0079770C" w:rsidP="0079770C">
      <w:pPr>
        <w:jc w:val="center"/>
        <w:rPr>
          <w:rFonts w:ascii="Cambria" w:eastAsia="Cambria" w:hAnsi="Cambria" w:cs="Times"/>
          <w:i/>
          <w:iCs/>
          <w:szCs w:val="20"/>
          <w:highlight w:val="yellow"/>
        </w:rPr>
      </w:pPr>
      <w:r w:rsidRPr="00F64920">
        <w:rPr>
          <w:noProof/>
          <w:lang w:eastAsia="fr-FR"/>
        </w:rPr>
        <w:drawing>
          <wp:anchor distT="0" distB="0" distL="114300" distR="114300" simplePos="0" relativeHeight="251848704" behindDoc="1" locked="0" layoutInCell="1" allowOverlap="1" wp14:anchorId="25E76E61" wp14:editId="3A82588E">
            <wp:simplePos x="0" y="0"/>
            <wp:positionH relativeFrom="margin">
              <wp:align>center</wp:align>
            </wp:positionH>
            <wp:positionV relativeFrom="paragraph">
              <wp:posOffset>194310</wp:posOffset>
            </wp:positionV>
            <wp:extent cx="6601460" cy="2552700"/>
            <wp:effectExtent l="0" t="0" r="8890" b="0"/>
            <wp:wrapTight wrapText="bothSides">
              <wp:wrapPolygon edited="0">
                <wp:start x="0" y="0"/>
                <wp:lineTo x="0" y="21439"/>
                <wp:lineTo x="21567" y="21439"/>
                <wp:lineTo x="21567" y="18537"/>
                <wp:lineTo x="21442" y="18376"/>
                <wp:lineTo x="20632" y="18054"/>
                <wp:lineTo x="21567" y="17248"/>
                <wp:lineTo x="21567" y="14024"/>
                <wp:lineTo x="21442" y="13701"/>
                <wp:lineTo x="20382" y="12896"/>
                <wp:lineTo x="21567" y="12412"/>
                <wp:lineTo x="21567" y="10639"/>
                <wp:lineTo x="21130" y="10316"/>
                <wp:lineTo x="21567" y="9188"/>
                <wp:lineTo x="21567" y="5964"/>
                <wp:lineTo x="21442" y="5803"/>
                <wp:lineTo x="18762" y="5158"/>
                <wp:lineTo x="21567" y="4675"/>
                <wp:lineTo x="21567" y="0"/>
                <wp:lineTo x="0" y="0"/>
              </wp:wrapPolygon>
            </wp:wrapTight>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601460"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3542E0" w:rsidRDefault="0079770C" w:rsidP="003542E0">
      <w:pPr>
        <w:pStyle w:val="western"/>
        <w:spacing w:before="0" w:after="0"/>
        <w:jc w:val="both"/>
        <w:rPr>
          <w:sz w:val="22"/>
          <w:szCs w:val="22"/>
        </w:rPr>
      </w:pPr>
      <w:r w:rsidRPr="003542E0">
        <w:rPr>
          <w:sz w:val="22"/>
          <w:szCs w:val="22"/>
        </w:rPr>
        <w:t>Ces dépenses connaissent une augmentation globale de 1 % par rapport à 2012. Cette tendance d'ensemble se vérifie au sein des établissements publics et des directions générales, alors que les dépenses des DRAC connaissent une diminution notable (-10 %).</w:t>
      </w:r>
    </w:p>
    <w:p w:rsidR="0079770C" w:rsidRPr="001D30C7" w:rsidRDefault="0079770C" w:rsidP="0079770C">
      <w:pPr>
        <w:widowControl w:val="0"/>
        <w:autoSpaceDE w:val="0"/>
        <w:autoSpaceDN w:val="0"/>
        <w:adjustRightInd w:val="0"/>
        <w:jc w:val="both"/>
        <w:rPr>
          <w:rFonts w:ascii="Arial" w:eastAsia="Cambria" w:hAnsi="Arial" w:cs="Times New Roman"/>
        </w:rPr>
      </w:pP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Default="0079770C" w:rsidP="0079770C">
      <w:pPr>
        <w:rPr>
          <w:rFonts w:ascii="Cambria" w:eastAsia="Cambria" w:hAnsi="Cambria" w:cs="Times New Roman"/>
        </w:rPr>
      </w:pPr>
      <w:r>
        <w:rPr>
          <w:rFonts w:ascii="Cambria" w:eastAsia="Cambria" w:hAnsi="Cambria" w:cs="Times New Roman"/>
        </w:rPr>
        <w:br w:type="page"/>
      </w:r>
    </w:p>
    <w:p w:rsidR="0079770C" w:rsidRPr="001D30C7" w:rsidRDefault="0079770C" w:rsidP="0079770C">
      <w:pPr>
        <w:widowControl w:val="0"/>
        <w:autoSpaceDE w:val="0"/>
        <w:autoSpaceDN w:val="0"/>
        <w:adjustRightInd w:val="0"/>
        <w:jc w:val="both"/>
        <w:rPr>
          <w:rFonts w:ascii="Cambria" w:eastAsia="Cambria" w:hAnsi="Cambria" w:cs="Times New Roman"/>
        </w:rPr>
      </w:pPr>
    </w:p>
    <w:p w:rsidR="0079770C" w:rsidRPr="009F6D4E" w:rsidRDefault="0079770C" w:rsidP="0079770C">
      <w:pPr>
        <w:widowControl w:val="0"/>
        <w:autoSpaceDE w:val="0"/>
        <w:autoSpaceDN w:val="0"/>
        <w:adjustRightInd w:val="0"/>
        <w:ind w:left="1276" w:hanging="1276"/>
        <w:jc w:val="both"/>
        <w:rPr>
          <w:rFonts w:ascii="Florencesans Exp" w:eastAsia="Cambria" w:hAnsi="Florencesans Exp" w:cs="Times New Roman"/>
        </w:rPr>
      </w:pPr>
      <w:r w:rsidRPr="009F6D4E">
        <w:rPr>
          <w:rFonts w:ascii="Florencesans Exp" w:eastAsia="Cambria" w:hAnsi="Florencesans Exp" w:cs="Times New Roman"/>
        </w:rPr>
        <w:t>6. D. 2. REPARTITION DES DEPENSES DIRECTES ENTRE FRAIS PEDAGOGIQUES ET FRAIS DE MISSIONS</w:t>
      </w:r>
    </w:p>
    <w:p w:rsidR="0079770C" w:rsidRDefault="0079770C" w:rsidP="0079770C">
      <w:pPr>
        <w:widowControl w:val="0"/>
        <w:autoSpaceDE w:val="0"/>
        <w:autoSpaceDN w:val="0"/>
        <w:adjustRightInd w:val="0"/>
        <w:jc w:val="both"/>
        <w:rPr>
          <w:rFonts w:ascii="BlairMdITC TT-Medium" w:eastAsia="Cambria" w:hAnsi="BlairMdITC TT-Medium" w:cs="Times New Roman"/>
          <w:sz w:val="32"/>
        </w:rPr>
      </w:pPr>
    </w:p>
    <w:p w:rsidR="0079770C" w:rsidRPr="001D30C7" w:rsidRDefault="0079770C" w:rsidP="0079770C">
      <w:pPr>
        <w:widowControl w:val="0"/>
        <w:autoSpaceDE w:val="0"/>
        <w:autoSpaceDN w:val="0"/>
        <w:adjustRightInd w:val="0"/>
        <w:jc w:val="both"/>
        <w:rPr>
          <w:rFonts w:ascii="BlairMdITC TT-Medium" w:eastAsia="Cambria" w:hAnsi="BlairMdITC TT-Medium" w:cs="Times New Roman"/>
          <w:sz w:val="32"/>
        </w:rPr>
      </w:pPr>
    </w:p>
    <w:p w:rsidR="0079770C" w:rsidRPr="00C25D69" w:rsidRDefault="0079770C" w:rsidP="0079770C">
      <w:pPr>
        <w:widowControl w:val="0"/>
        <w:autoSpaceDE w:val="0"/>
        <w:autoSpaceDN w:val="0"/>
        <w:adjustRightInd w:val="0"/>
        <w:ind w:right="-142"/>
        <w:rPr>
          <w:rFonts w:ascii="Arial" w:eastAsia="Cambria" w:hAnsi="Arial" w:cs="Times"/>
          <w:b/>
          <w:iCs/>
          <w:szCs w:val="20"/>
        </w:rPr>
      </w:pPr>
      <w:r w:rsidRPr="00C25D69">
        <w:rPr>
          <w:noProof/>
          <w:lang w:eastAsia="fr-FR"/>
        </w:rPr>
        <w:drawing>
          <wp:anchor distT="0" distB="0" distL="114300" distR="114300" simplePos="0" relativeHeight="251849728" behindDoc="1" locked="0" layoutInCell="1" allowOverlap="1" wp14:anchorId="358C06D8" wp14:editId="57EF5C57">
            <wp:simplePos x="0" y="0"/>
            <wp:positionH relativeFrom="margin">
              <wp:align>center</wp:align>
            </wp:positionH>
            <wp:positionV relativeFrom="paragraph">
              <wp:posOffset>494665</wp:posOffset>
            </wp:positionV>
            <wp:extent cx="6811010" cy="2349500"/>
            <wp:effectExtent l="0" t="0" r="8890" b="0"/>
            <wp:wrapTight wrapText="bothSides">
              <wp:wrapPolygon edited="0">
                <wp:start x="0" y="0"/>
                <wp:lineTo x="0" y="21366"/>
                <wp:lineTo x="21568" y="21366"/>
                <wp:lineTo x="21568" y="20141"/>
                <wp:lineTo x="21447" y="19965"/>
                <wp:lineTo x="20601" y="19615"/>
                <wp:lineTo x="21568" y="18915"/>
                <wp:lineTo x="21568" y="8757"/>
                <wp:lineTo x="21507" y="8582"/>
                <wp:lineTo x="20601" y="8406"/>
                <wp:lineTo x="21568" y="7706"/>
                <wp:lineTo x="21568"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811010" cy="234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D69">
        <w:rPr>
          <w:rFonts w:ascii="Arial" w:eastAsia="Cambria" w:hAnsi="Arial" w:cs="Times"/>
          <w:b/>
          <w:iCs/>
          <w:szCs w:val="20"/>
        </w:rPr>
        <w:t xml:space="preserve">Répartition des dépenses directes entre frais pédagogiques et frais de </w:t>
      </w:r>
      <w:r>
        <w:rPr>
          <w:rFonts w:ascii="Arial" w:eastAsia="Cambria" w:hAnsi="Arial" w:cs="Times"/>
          <w:b/>
          <w:iCs/>
          <w:szCs w:val="20"/>
        </w:rPr>
        <w:t>m</w:t>
      </w:r>
      <w:r w:rsidRPr="00C25D69">
        <w:rPr>
          <w:rFonts w:ascii="Arial" w:eastAsia="Cambria" w:hAnsi="Arial" w:cs="Times"/>
          <w:b/>
          <w:iCs/>
          <w:szCs w:val="20"/>
        </w:rPr>
        <w:t>issions</w:t>
      </w:r>
    </w:p>
    <w:p w:rsidR="0079770C" w:rsidRPr="001D30C7" w:rsidRDefault="0079770C" w:rsidP="0079770C">
      <w:pPr>
        <w:widowControl w:val="0"/>
        <w:autoSpaceDE w:val="0"/>
        <w:autoSpaceDN w:val="0"/>
        <w:adjustRightInd w:val="0"/>
        <w:jc w:val="center"/>
        <w:rPr>
          <w:rFonts w:ascii="Cambria" w:eastAsia="Cambria" w:hAnsi="Cambria" w:cs="Times New Roman"/>
        </w:rPr>
      </w:pPr>
    </w:p>
    <w:p w:rsidR="0079770C" w:rsidRPr="003542E0" w:rsidRDefault="0079770C" w:rsidP="003542E0">
      <w:pPr>
        <w:pStyle w:val="western"/>
        <w:jc w:val="both"/>
        <w:rPr>
          <w:sz w:val="22"/>
          <w:szCs w:val="22"/>
        </w:rPr>
      </w:pPr>
      <w:r w:rsidRPr="003542E0">
        <w:rPr>
          <w:sz w:val="22"/>
          <w:szCs w:val="22"/>
        </w:rPr>
        <w:t>La part des frais de mission est surtout significative dans le budget des DRAC où elle atteint plus de la moitié (56 %) de l’ensemble du budget formation.</w:t>
      </w:r>
    </w:p>
    <w:p w:rsidR="0079770C" w:rsidRPr="001D30C7" w:rsidRDefault="0079770C" w:rsidP="0079770C">
      <w:pPr>
        <w:widowControl w:val="0"/>
        <w:autoSpaceDE w:val="0"/>
        <w:autoSpaceDN w:val="0"/>
        <w:adjustRightInd w:val="0"/>
        <w:jc w:val="both"/>
        <w:rPr>
          <w:rFonts w:ascii="Arial" w:eastAsia="Cambria" w:hAnsi="Arial" w:cs="Times New Roman"/>
        </w:rPr>
      </w:pPr>
    </w:p>
    <w:p w:rsidR="0079770C" w:rsidRPr="00B61291" w:rsidRDefault="0079770C" w:rsidP="0079770C">
      <w:pPr>
        <w:widowControl w:val="0"/>
        <w:autoSpaceDE w:val="0"/>
        <w:autoSpaceDN w:val="0"/>
        <w:adjustRightInd w:val="0"/>
        <w:spacing w:before="113" w:after="113"/>
        <w:jc w:val="both"/>
        <w:rPr>
          <w:rFonts w:ascii="Cambria" w:eastAsia="Cambria" w:hAnsi="Cambria" w:cs="Times"/>
          <w:iCs/>
        </w:rPr>
      </w:pPr>
    </w:p>
    <w:p w:rsidR="0079770C" w:rsidRDefault="0079770C" w:rsidP="0079770C">
      <w:pPr>
        <w:rPr>
          <w:rFonts w:ascii="Cambria" w:eastAsia="Cambria" w:hAnsi="Cambria" w:cs="Times"/>
          <w:iCs/>
        </w:rPr>
      </w:pPr>
      <w:r>
        <w:rPr>
          <w:rFonts w:ascii="Cambria" w:eastAsia="Cambria" w:hAnsi="Cambria" w:cs="Times"/>
          <w:iCs/>
        </w:rPr>
        <w:br w:type="page"/>
      </w:r>
    </w:p>
    <w:p w:rsidR="0079770C" w:rsidRPr="00B61291" w:rsidRDefault="0079770C" w:rsidP="0079770C">
      <w:pPr>
        <w:widowControl w:val="0"/>
        <w:autoSpaceDE w:val="0"/>
        <w:autoSpaceDN w:val="0"/>
        <w:adjustRightInd w:val="0"/>
        <w:spacing w:before="113" w:after="113"/>
        <w:jc w:val="both"/>
        <w:rPr>
          <w:rFonts w:ascii="Cambria" w:eastAsia="Cambria" w:hAnsi="Cambria" w:cs="Times"/>
          <w:iCs/>
        </w:rPr>
      </w:pPr>
    </w:p>
    <w:p w:rsidR="0079770C" w:rsidRPr="009F6D4E" w:rsidRDefault="0079770C" w:rsidP="0079770C">
      <w:pPr>
        <w:widowControl w:val="0"/>
        <w:autoSpaceDE w:val="0"/>
        <w:autoSpaceDN w:val="0"/>
        <w:adjustRightInd w:val="0"/>
        <w:ind w:left="1134" w:hanging="1134"/>
        <w:jc w:val="both"/>
        <w:rPr>
          <w:rFonts w:ascii="Florencesans Exp" w:eastAsia="Cambria" w:hAnsi="Florencesans Exp" w:cs="Times New Roman"/>
        </w:rPr>
      </w:pPr>
      <w:r w:rsidRPr="009F6D4E">
        <w:rPr>
          <w:rFonts w:ascii="Florencesans Exp" w:eastAsia="Cambria" w:hAnsi="Florencesans Exp" w:cs="Times New Roman"/>
        </w:rPr>
        <w:t>6. D. 3. REPARTITION DES DEPENSES DE FORMATION PAR TYPE DE STRUCTURE ET PAR CATEGORIE</w:t>
      </w: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1767F9" w:rsidRDefault="0079770C" w:rsidP="0079770C">
      <w:pPr>
        <w:widowControl w:val="0"/>
        <w:autoSpaceDE w:val="0"/>
        <w:autoSpaceDN w:val="0"/>
        <w:adjustRightInd w:val="0"/>
        <w:jc w:val="center"/>
        <w:rPr>
          <w:rFonts w:ascii="Arial" w:eastAsia="Cambria" w:hAnsi="Arial" w:cs="Times"/>
          <w:b/>
          <w:iCs/>
          <w:szCs w:val="20"/>
        </w:rPr>
      </w:pPr>
      <w:r w:rsidRPr="001767F9">
        <w:rPr>
          <w:rFonts w:ascii="Arial" w:eastAsia="Cambria" w:hAnsi="Arial" w:cs="Times"/>
          <w:b/>
          <w:iCs/>
          <w:szCs w:val="20"/>
        </w:rPr>
        <w:t>Répartition des dépenses de formation par type de structure et par catégorie</w:t>
      </w:r>
    </w:p>
    <w:p w:rsidR="0079770C" w:rsidRPr="00962DA0" w:rsidRDefault="0079770C" w:rsidP="0079770C">
      <w:pPr>
        <w:widowControl w:val="0"/>
        <w:autoSpaceDE w:val="0"/>
        <w:autoSpaceDN w:val="0"/>
        <w:adjustRightInd w:val="0"/>
        <w:jc w:val="both"/>
        <w:rPr>
          <w:rFonts w:ascii="Cambria" w:eastAsia="Cambria" w:hAnsi="Cambria" w:cs="Times"/>
          <w:highlight w:val="yellow"/>
        </w:rPr>
      </w:pPr>
      <w:r w:rsidRPr="001767F9">
        <w:rPr>
          <w:noProof/>
          <w:lang w:eastAsia="fr-FR"/>
        </w:rPr>
        <w:drawing>
          <wp:anchor distT="0" distB="0" distL="114300" distR="114300" simplePos="0" relativeHeight="251850752" behindDoc="1" locked="0" layoutInCell="1" allowOverlap="1" wp14:anchorId="14B66793" wp14:editId="34B03072">
            <wp:simplePos x="0" y="0"/>
            <wp:positionH relativeFrom="margin">
              <wp:align>center</wp:align>
            </wp:positionH>
            <wp:positionV relativeFrom="paragraph">
              <wp:posOffset>190500</wp:posOffset>
            </wp:positionV>
            <wp:extent cx="6452870" cy="2647950"/>
            <wp:effectExtent l="0" t="0" r="5080" b="0"/>
            <wp:wrapTight wrapText="bothSides">
              <wp:wrapPolygon edited="0">
                <wp:start x="0" y="0"/>
                <wp:lineTo x="0" y="21445"/>
                <wp:lineTo x="18747" y="21445"/>
                <wp:lineTo x="19576" y="21289"/>
                <wp:lineTo x="21553" y="20357"/>
                <wp:lineTo x="21553" y="0"/>
                <wp:lineTo x="0" y="0"/>
              </wp:wrapPolygon>
            </wp:wrapTight>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45287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770C" w:rsidRPr="001D30C7" w:rsidRDefault="0079770C" w:rsidP="0079770C">
      <w:pPr>
        <w:widowControl w:val="0"/>
        <w:autoSpaceDE w:val="0"/>
        <w:autoSpaceDN w:val="0"/>
        <w:adjustRightInd w:val="0"/>
        <w:jc w:val="both"/>
        <w:rPr>
          <w:rFonts w:ascii="Cambria" w:eastAsia="Cambria" w:hAnsi="Cambria" w:cs="Times"/>
        </w:rPr>
      </w:pPr>
    </w:p>
    <w:p w:rsidR="0079770C" w:rsidRPr="003542E0" w:rsidRDefault="0079770C" w:rsidP="003542E0">
      <w:pPr>
        <w:pStyle w:val="western"/>
        <w:jc w:val="both"/>
        <w:rPr>
          <w:sz w:val="22"/>
          <w:szCs w:val="22"/>
        </w:rPr>
      </w:pPr>
      <w:r w:rsidRPr="003542E0">
        <w:rPr>
          <w:sz w:val="22"/>
          <w:szCs w:val="22"/>
        </w:rPr>
        <w:t>La majeure partie de l'activité formation du ministère de la culture est réalisée dans les établissements publics, qui concentrent deux tiers des stagiaires et 58 % des dépenses.</w:t>
      </w:r>
    </w:p>
    <w:p w:rsidR="0079770C" w:rsidRPr="003542E0" w:rsidRDefault="0079770C" w:rsidP="003542E0">
      <w:pPr>
        <w:pStyle w:val="western"/>
        <w:jc w:val="both"/>
        <w:rPr>
          <w:sz w:val="22"/>
          <w:szCs w:val="22"/>
        </w:rPr>
      </w:pPr>
      <w:r w:rsidRPr="003542E0">
        <w:rPr>
          <w:sz w:val="22"/>
          <w:szCs w:val="22"/>
        </w:rPr>
        <w:t>La part importante dévolue au financement des actions en faveur des catégories A+ pour les directions générales s'explique par le décompte des formations statutaires de l'INP en faveur des conservateurs du patrimoine.</w:t>
      </w:r>
    </w:p>
    <w:p w:rsidR="0079770C" w:rsidRPr="001D30C7" w:rsidRDefault="0079770C" w:rsidP="0079770C">
      <w:pPr>
        <w:widowControl w:val="0"/>
        <w:autoSpaceDE w:val="0"/>
        <w:autoSpaceDN w:val="0"/>
        <w:adjustRightInd w:val="0"/>
        <w:jc w:val="both"/>
        <w:rPr>
          <w:rFonts w:ascii="Arial" w:eastAsia="Cambria" w:hAnsi="Arial" w:cs="Times New Roman"/>
        </w:rPr>
      </w:pP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Default="0079770C" w:rsidP="0079770C">
      <w:pPr>
        <w:rPr>
          <w:rFonts w:ascii="BlairMdITC TT-Medium" w:eastAsia="Cambria" w:hAnsi="BlairMdITC TT-Medium" w:cs="Times New Roman"/>
        </w:rPr>
      </w:pPr>
      <w:r>
        <w:rPr>
          <w:rFonts w:ascii="BlairMdITC TT-Medium" w:eastAsia="Cambria" w:hAnsi="BlairMdITC TT-Medium" w:cs="Times New Roman"/>
        </w:rPr>
        <w:br w:type="page"/>
      </w:r>
    </w:p>
    <w:p w:rsidR="0079770C" w:rsidRPr="001D30C7" w:rsidRDefault="0079770C" w:rsidP="0079770C">
      <w:pPr>
        <w:widowControl w:val="0"/>
        <w:autoSpaceDE w:val="0"/>
        <w:autoSpaceDN w:val="0"/>
        <w:adjustRightInd w:val="0"/>
        <w:rPr>
          <w:rFonts w:ascii="BlairMdITC TT-Medium" w:eastAsia="Cambria" w:hAnsi="BlairMdITC TT-Medium" w:cs="Times New Roman"/>
        </w:rPr>
      </w:pPr>
    </w:p>
    <w:p w:rsidR="0079770C" w:rsidRPr="009F6D4E" w:rsidRDefault="0079770C" w:rsidP="0079770C">
      <w:pPr>
        <w:widowControl w:val="0"/>
        <w:autoSpaceDE w:val="0"/>
        <w:autoSpaceDN w:val="0"/>
        <w:adjustRightInd w:val="0"/>
        <w:ind w:left="1134" w:hanging="1134"/>
        <w:rPr>
          <w:rFonts w:ascii="Florencesans Exp" w:eastAsia="Cambria" w:hAnsi="Florencesans Exp" w:cs="Times"/>
          <w:i/>
          <w:iCs/>
        </w:rPr>
      </w:pPr>
      <w:r w:rsidRPr="009F6D4E">
        <w:rPr>
          <w:rFonts w:ascii="Florencesans Exp" w:eastAsia="Cambria" w:hAnsi="Florencesans Exp" w:cs="Times New Roman"/>
        </w:rPr>
        <w:t>6. D. 4. REPARTITION DES DEPENSES DE FORMATION PAR DOMAINE</w:t>
      </w:r>
    </w:p>
    <w:p w:rsidR="0079770C" w:rsidRPr="001D30C7" w:rsidRDefault="0079770C" w:rsidP="0079770C">
      <w:pPr>
        <w:widowControl w:val="0"/>
        <w:autoSpaceDE w:val="0"/>
        <w:autoSpaceDN w:val="0"/>
        <w:adjustRightInd w:val="0"/>
        <w:jc w:val="both"/>
        <w:rPr>
          <w:rFonts w:ascii="Cambria" w:eastAsia="Cambria" w:hAnsi="Cambria" w:cs="Times"/>
        </w:rPr>
      </w:pPr>
      <w:r w:rsidRPr="00C92A8D">
        <w:rPr>
          <w:noProof/>
          <w:lang w:eastAsia="fr-FR"/>
        </w:rPr>
        <w:drawing>
          <wp:anchor distT="0" distB="0" distL="114300" distR="114300" simplePos="0" relativeHeight="251851776" behindDoc="1" locked="0" layoutInCell="1" allowOverlap="1" wp14:anchorId="663F482C" wp14:editId="24C0BA1F">
            <wp:simplePos x="0" y="0"/>
            <wp:positionH relativeFrom="margin">
              <wp:align>center</wp:align>
            </wp:positionH>
            <wp:positionV relativeFrom="paragraph">
              <wp:posOffset>208915</wp:posOffset>
            </wp:positionV>
            <wp:extent cx="5760720" cy="4351787"/>
            <wp:effectExtent l="0" t="0" r="0" b="0"/>
            <wp:wrapTight wrapText="bothSides">
              <wp:wrapPolygon edited="0">
                <wp:start x="0" y="0"/>
                <wp:lineTo x="0" y="21464"/>
                <wp:lineTo x="21500" y="21464"/>
                <wp:lineTo x="21500" y="18628"/>
                <wp:lineTo x="21357" y="18533"/>
                <wp:lineTo x="20286" y="18155"/>
                <wp:lineTo x="21071" y="18155"/>
                <wp:lineTo x="21500" y="17588"/>
                <wp:lineTo x="21500" y="15602"/>
                <wp:lineTo x="21357" y="15507"/>
                <wp:lineTo x="20286" y="15129"/>
                <wp:lineTo x="21071" y="15129"/>
                <wp:lineTo x="21500" y="14562"/>
                <wp:lineTo x="21500" y="12576"/>
                <wp:lineTo x="21357" y="12482"/>
                <wp:lineTo x="20286" y="12103"/>
                <wp:lineTo x="21071" y="12103"/>
                <wp:lineTo x="21500" y="11536"/>
                <wp:lineTo x="21500" y="9550"/>
                <wp:lineTo x="21357" y="9456"/>
                <wp:lineTo x="20286" y="9077"/>
                <wp:lineTo x="21071" y="9077"/>
                <wp:lineTo x="21500" y="8510"/>
                <wp:lineTo x="21500" y="6524"/>
                <wp:lineTo x="21357" y="6430"/>
                <wp:lineTo x="20286" y="6052"/>
                <wp:lineTo x="21071" y="6052"/>
                <wp:lineTo x="21500" y="5484"/>
                <wp:lineTo x="21500" y="3499"/>
                <wp:lineTo x="21429" y="3404"/>
                <wp:lineTo x="20429" y="3026"/>
                <wp:lineTo x="21071" y="3026"/>
                <wp:lineTo x="21500" y="2458"/>
                <wp:lineTo x="21500" y="0"/>
                <wp:lineTo x="0" y="0"/>
              </wp:wrapPolygon>
            </wp:wrapTight>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60720" cy="4351787"/>
                    </a:xfrm>
                    <a:prstGeom prst="rect">
                      <a:avLst/>
                    </a:prstGeom>
                    <a:noFill/>
                    <a:ln>
                      <a:noFill/>
                    </a:ln>
                  </pic:spPr>
                </pic:pic>
              </a:graphicData>
            </a:graphic>
          </wp:anchor>
        </w:drawing>
      </w:r>
    </w:p>
    <w:p w:rsidR="0079770C" w:rsidRPr="001D30C7" w:rsidRDefault="0079770C" w:rsidP="0079770C">
      <w:pPr>
        <w:widowControl w:val="0"/>
        <w:autoSpaceDE w:val="0"/>
        <w:autoSpaceDN w:val="0"/>
        <w:adjustRightInd w:val="0"/>
        <w:jc w:val="both"/>
        <w:rPr>
          <w:rFonts w:ascii="Cambria" w:eastAsia="Cambria" w:hAnsi="Cambria" w:cs="Times"/>
        </w:rPr>
      </w:pPr>
    </w:p>
    <w:p w:rsidR="0079770C" w:rsidRPr="003542E0" w:rsidRDefault="0079770C" w:rsidP="003542E0">
      <w:pPr>
        <w:spacing w:before="113" w:after="113"/>
        <w:jc w:val="both"/>
        <w:rPr>
          <w:rFonts w:ascii="Arial" w:eastAsia="Times New Roman" w:hAnsi="Arial" w:cs="Arial"/>
          <w:sz w:val="22"/>
          <w:szCs w:val="22"/>
          <w:lang w:eastAsia="fr-FR"/>
        </w:rPr>
      </w:pPr>
      <w:r w:rsidRPr="003542E0">
        <w:rPr>
          <w:rFonts w:ascii="Arial" w:eastAsia="Times New Roman" w:hAnsi="Arial" w:cs="Arial"/>
          <w:sz w:val="22"/>
          <w:szCs w:val="22"/>
          <w:lang w:eastAsia="fr-FR"/>
        </w:rPr>
        <w:t>La majeure partie des dépenses de formation est réalisée dans les domaines suivants :</w:t>
      </w:r>
    </w:p>
    <w:p w:rsidR="0079770C" w:rsidRPr="003542E0" w:rsidRDefault="0079770C" w:rsidP="0034289D">
      <w:pPr>
        <w:numPr>
          <w:ilvl w:val="0"/>
          <w:numId w:val="21"/>
        </w:numPr>
        <w:spacing w:after="119"/>
        <w:ind w:left="1440" w:hanging="363"/>
        <w:jc w:val="both"/>
        <w:rPr>
          <w:rFonts w:ascii="Arial" w:eastAsia="Times New Roman" w:hAnsi="Arial" w:cs="Arial"/>
          <w:i/>
          <w:iCs/>
          <w:sz w:val="22"/>
          <w:szCs w:val="22"/>
          <w:lang w:eastAsia="fr-FR"/>
        </w:rPr>
      </w:pPr>
      <w:r w:rsidRPr="003542E0">
        <w:rPr>
          <w:rFonts w:ascii="Arial" w:eastAsia="Times New Roman" w:hAnsi="Arial" w:cs="Arial"/>
          <w:i/>
          <w:iCs/>
          <w:sz w:val="22"/>
          <w:szCs w:val="22"/>
          <w:lang w:eastAsia="fr-FR"/>
        </w:rPr>
        <w:t>métiers de la culture (22 % du total des dépenses directes),</w:t>
      </w:r>
    </w:p>
    <w:p w:rsidR="0079770C" w:rsidRPr="003542E0" w:rsidRDefault="0079770C" w:rsidP="0034289D">
      <w:pPr>
        <w:numPr>
          <w:ilvl w:val="0"/>
          <w:numId w:val="21"/>
        </w:numPr>
        <w:spacing w:after="119"/>
        <w:ind w:left="1440" w:hanging="363"/>
        <w:jc w:val="both"/>
        <w:rPr>
          <w:rFonts w:ascii="Arial" w:eastAsia="Times New Roman" w:hAnsi="Arial" w:cs="Arial"/>
          <w:i/>
          <w:iCs/>
          <w:sz w:val="22"/>
          <w:szCs w:val="22"/>
          <w:lang w:eastAsia="fr-FR"/>
        </w:rPr>
      </w:pPr>
      <w:r w:rsidRPr="003542E0">
        <w:rPr>
          <w:rFonts w:ascii="Arial" w:eastAsia="Times New Roman" w:hAnsi="Arial" w:cs="Arial"/>
          <w:i/>
          <w:iCs/>
          <w:sz w:val="22"/>
          <w:szCs w:val="22"/>
          <w:lang w:eastAsia="fr-FR"/>
        </w:rPr>
        <w:t>bureautique-informatique (14 %),</w:t>
      </w:r>
    </w:p>
    <w:p w:rsidR="0079770C" w:rsidRPr="003542E0" w:rsidRDefault="0079770C" w:rsidP="0034289D">
      <w:pPr>
        <w:numPr>
          <w:ilvl w:val="0"/>
          <w:numId w:val="21"/>
        </w:numPr>
        <w:spacing w:after="119"/>
        <w:ind w:left="1440" w:hanging="363"/>
        <w:jc w:val="both"/>
        <w:rPr>
          <w:rFonts w:ascii="Arial" w:eastAsia="Times New Roman" w:hAnsi="Arial" w:cs="Arial"/>
          <w:i/>
          <w:iCs/>
          <w:sz w:val="22"/>
          <w:szCs w:val="22"/>
          <w:lang w:eastAsia="fr-FR"/>
        </w:rPr>
      </w:pPr>
      <w:r w:rsidRPr="003542E0">
        <w:rPr>
          <w:rFonts w:ascii="Arial" w:eastAsia="Times New Roman" w:hAnsi="Arial" w:cs="Arial"/>
          <w:i/>
          <w:iCs/>
          <w:sz w:val="22"/>
          <w:szCs w:val="22"/>
          <w:lang w:eastAsia="fr-FR"/>
        </w:rPr>
        <w:t>hygiène et sécurité (13 %),</w:t>
      </w:r>
    </w:p>
    <w:p w:rsidR="0079770C" w:rsidRPr="003542E0" w:rsidRDefault="0079770C" w:rsidP="0034289D">
      <w:pPr>
        <w:numPr>
          <w:ilvl w:val="0"/>
          <w:numId w:val="21"/>
        </w:numPr>
        <w:spacing w:after="119"/>
        <w:ind w:left="1440" w:hanging="363"/>
        <w:jc w:val="both"/>
        <w:rPr>
          <w:rFonts w:ascii="Arial" w:eastAsia="Times New Roman" w:hAnsi="Arial" w:cs="Arial"/>
          <w:i/>
          <w:iCs/>
          <w:sz w:val="22"/>
          <w:szCs w:val="22"/>
          <w:lang w:eastAsia="fr-FR"/>
        </w:rPr>
      </w:pPr>
      <w:r w:rsidRPr="003542E0">
        <w:rPr>
          <w:rFonts w:ascii="Arial" w:eastAsia="Times New Roman" w:hAnsi="Arial" w:cs="Arial"/>
          <w:i/>
          <w:iCs/>
          <w:sz w:val="22"/>
          <w:szCs w:val="22"/>
          <w:lang w:eastAsia="fr-FR"/>
        </w:rPr>
        <w:t>formations linguistiques (11 %).</w:t>
      </w:r>
    </w:p>
    <w:p w:rsidR="0079770C" w:rsidRPr="003542E0" w:rsidRDefault="0079770C" w:rsidP="003542E0">
      <w:pPr>
        <w:spacing w:before="113" w:after="113"/>
        <w:jc w:val="both"/>
        <w:rPr>
          <w:rFonts w:ascii="Arial" w:eastAsia="Times New Roman" w:hAnsi="Arial" w:cs="Arial"/>
          <w:sz w:val="22"/>
          <w:szCs w:val="22"/>
          <w:lang w:eastAsia="fr-FR"/>
        </w:rPr>
      </w:pPr>
      <w:r w:rsidRPr="003542E0">
        <w:rPr>
          <w:rFonts w:ascii="Arial" w:eastAsia="Times New Roman" w:hAnsi="Arial" w:cs="Arial"/>
          <w:sz w:val="22"/>
          <w:szCs w:val="22"/>
          <w:lang w:eastAsia="fr-FR"/>
        </w:rPr>
        <w:t>Cette répartition des dépenses par domaine est équivalente à la répartition des stagiaires sur ces mêmes domaines, le niveau des dépenses étant corrélé aux effectifs et à la durée des formations.</w:t>
      </w:r>
    </w:p>
    <w:p w:rsidR="0079770C" w:rsidRPr="002452EA" w:rsidRDefault="0079770C" w:rsidP="0079770C">
      <w:pPr>
        <w:widowControl w:val="0"/>
        <w:tabs>
          <w:tab w:val="left" w:pos="220"/>
          <w:tab w:val="left" w:pos="720"/>
        </w:tabs>
        <w:autoSpaceDE w:val="0"/>
        <w:autoSpaceDN w:val="0"/>
        <w:adjustRightInd w:val="0"/>
        <w:spacing w:after="120"/>
        <w:contextualSpacing/>
        <w:jc w:val="both"/>
        <w:rPr>
          <w:rFonts w:ascii="Arial" w:eastAsia="Cambria" w:hAnsi="Arial" w:cs="Times"/>
          <w:iCs/>
        </w:rPr>
      </w:pPr>
    </w:p>
    <w:p w:rsidR="0079770C" w:rsidRPr="001D30C7" w:rsidRDefault="0079770C" w:rsidP="0079770C">
      <w:pPr>
        <w:tabs>
          <w:tab w:val="left" w:pos="1220"/>
        </w:tabs>
        <w:jc w:val="both"/>
        <w:rPr>
          <w:rFonts w:ascii="Cambria" w:eastAsia="Cambria" w:hAnsi="Cambria" w:cs="Times New Roman"/>
        </w:rPr>
      </w:pPr>
    </w:p>
    <w:p w:rsidR="0079770C" w:rsidRPr="001D30C7" w:rsidRDefault="0079770C" w:rsidP="0079770C">
      <w:pPr>
        <w:tabs>
          <w:tab w:val="left" w:pos="1220"/>
        </w:tabs>
        <w:jc w:val="both"/>
        <w:rPr>
          <w:rFonts w:ascii="Cambria" w:eastAsia="Cambria" w:hAnsi="Cambria" w:cs="Times New Roman"/>
        </w:rPr>
      </w:pPr>
    </w:p>
    <w:p w:rsidR="0079770C" w:rsidRPr="001D30C7" w:rsidRDefault="0079770C" w:rsidP="0079770C">
      <w:pPr>
        <w:tabs>
          <w:tab w:val="left" w:pos="1220"/>
        </w:tabs>
        <w:jc w:val="both"/>
        <w:rPr>
          <w:rFonts w:ascii="Cambria" w:eastAsia="Cambria" w:hAnsi="Cambria" w:cs="Times New Roman"/>
        </w:rPr>
      </w:pPr>
    </w:p>
    <w:p w:rsidR="0079770C" w:rsidRDefault="0079770C" w:rsidP="0079770C">
      <w:pPr>
        <w:rPr>
          <w:rFonts w:ascii="Cambria" w:eastAsia="Cambria" w:hAnsi="Cambria" w:cs="Times New Roman"/>
        </w:rPr>
      </w:pPr>
      <w:r>
        <w:rPr>
          <w:rFonts w:ascii="Cambria" w:eastAsia="Cambria" w:hAnsi="Cambria" w:cs="Times New Roman"/>
        </w:rPr>
        <w:br w:type="page"/>
      </w:r>
    </w:p>
    <w:p w:rsidR="0079770C" w:rsidRPr="001D30C7" w:rsidRDefault="0079770C" w:rsidP="0079770C">
      <w:pPr>
        <w:widowControl w:val="0"/>
        <w:autoSpaceDE w:val="0"/>
        <w:autoSpaceDN w:val="0"/>
        <w:adjustRightInd w:val="0"/>
        <w:spacing w:before="170" w:after="119"/>
        <w:jc w:val="both"/>
        <w:rPr>
          <w:rFonts w:ascii="Cambria" w:eastAsia="Cambria" w:hAnsi="Cambria" w:cs="Times New Roman"/>
        </w:rPr>
      </w:pPr>
    </w:p>
    <w:p w:rsidR="0079770C" w:rsidRPr="009F6D4E" w:rsidRDefault="0079770C" w:rsidP="0079770C">
      <w:pPr>
        <w:widowControl w:val="0"/>
        <w:autoSpaceDE w:val="0"/>
        <w:autoSpaceDN w:val="0"/>
        <w:adjustRightInd w:val="0"/>
        <w:jc w:val="both"/>
        <w:rPr>
          <w:rFonts w:ascii="Florencesans Exp" w:eastAsia="Cambria" w:hAnsi="Florencesans Exp" w:cs="Times New Roman"/>
          <w:b/>
          <w:color w:val="CC66FF"/>
          <w:sz w:val="28"/>
        </w:rPr>
      </w:pPr>
      <w:r w:rsidRPr="009F6D4E">
        <w:rPr>
          <w:rFonts w:ascii="Florencesans Exp" w:eastAsia="Cambria" w:hAnsi="Florencesans Exp" w:cs="Times New Roman"/>
          <w:b/>
          <w:color w:val="CC66FF"/>
          <w:sz w:val="28"/>
        </w:rPr>
        <w:t>6. E. RECAPITULATIF FINANCIER (DONNEES T2 ET T3)</w:t>
      </w:r>
    </w:p>
    <w:p w:rsidR="0079770C" w:rsidRDefault="0079770C" w:rsidP="0079770C">
      <w:pPr>
        <w:widowControl w:val="0"/>
        <w:autoSpaceDE w:val="0"/>
        <w:autoSpaceDN w:val="0"/>
        <w:adjustRightInd w:val="0"/>
        <w:jc w:val="both"/>
        <w:rPr>
          <w:rFonts w:ascii="BlairMdITC TT-Medium" w:eastAsia="Cambria" w:hAnsi="BlairMdITC TT-Medium" w:cs="Times New Roman"/>
          <w:b/>
          <w:color w:val="CC66FF"/>
          <w:sz w:val="32"/>
        </w:rPr>
      </w:pPr>
    </w:p>
    <w:p w:rsidR="0079770C" w:rsidRPr="003542E0" w:rsidRDefault="0079770C" w:rsidP="003542E0">
      <w:pPr>
        <w:pStyle w:val="western"/>
        <w:jc w:val="both"/>
        <w:rPr>
          <w:sz w:val="22"/>
          <w:szCs w:val="22"/>
        </w:rPr>
      </w:pPr>
      <w:r w:rsidRPr="003542E0">
        <w:rPr>
          <w:rFonts w:eastAsia="Cambria"/>
          <w:noProof/>
          <w:sz w:val="22"/>
          <w:szCs w:val="22"/>
        </w:rPr>
        <w:drawing>
          <wp:anchor distT="0" distB="0" distL="114300" distR="114300" simplePos="0" relativeHeight="251852800" behindDoc="1" locked="0" layoutInCell="1" allowOverlap="1" wp14:anchorId="10B0ED97" wp14:editId="6E97616A">
            <wp:simplePos x="0" y="0"/>
            <wp:positionH relativeFrom="margin">
              <wp:align>center</wp:align>
            </wp:positionH>
            <wp:positionV relativeFrom="paragraph">
              <wp:posOffset>778510</wp:posOffset>
            </wp:positionV>
            <wp:extent cx="7219315" cy="1172210"/>
            <wp:effectExtent l="0" t="0" r="635" b="8890"/>
            <wp:wrapTight wrapText="bothSides">
              <wp:wrapPolygon edited="0">
                <wp:start x="0" y="0"/>
                <wp:lineTo x="0" y="21413"/>
                <wp:lineTo x="18353" y="21413"/>
                <wp:lineTo x="20348" y="18605"/>
                <wp:lineTo x="20348" y="16849"/>
                <wp:lineTo x="18353" y="16849"/>
                <wp:lineTo x="21545" y="14743"/>
                <wp:lineTo x="21545" y="14041"/>
                <wp:lineTo x="20405" y="11233"/>
                <wp:lineTo x="21545" y="7723"/>
                <wp:lineTo x="21545" y="0"/>
                <wp:lineTo x="0" y="0"/>
              </wp:wrapPolygon>
            </wp:wrapTight>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7219315" cy="1172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42E0">
        <w:rPr>
          <w:sz w:val="22"/>
          <w:szCs w:val="22"/>
        </w:rPr>
        <w:t>Le bilan complet du coût de la formation professionnelle prend en compte, outre les dépenses directes évoquées ci-dessus, la rémunération des stagiaires pendant la durée des formations, ainsi que celle des personnels en charge de l'organisation et du suivi de l'activité de formation.</w:t>
      </w:r>
    </w:p>
    <w:p w:rsidR="0079770C" w:rsidRPr="001D30C7" w:rsidRDefault="0079770C" w:rsidP="0079770C">
      <w:pPr>
        <w:widowControl w:val="0"/>
        <w:autoSpaceDE w:val="0"/>
        <w:autoSpaceDN w:val="0"/>
        <w:adjustRightInd w:val="0"/>
        <w:jc w:val="both"/>
        <w:rPr>
          <w:rFonts w:ascii="BlairMdITC TT-Medium" w:eastAsia="Cambria" w:hAnsi="BlairMdITC TT-Medium" w:cs="Times New Roman"/>
          <w:b/>
          <w:color w:val="CC66FF"/>
          <w:sz w:val="28"/>
        </w:rPr>
      </w:pPr>
    </w:p>
    <w:p w:rsidR="0079770C" w:rsidRPr="003542E0" w:rsidRDefault="0079770C" w:rsidP="003542E0">
      <w:pPr>
        <w:spacing w:before="113" w:after="113"/>
        <w:jc w:val="both"/>
        <w:rPr>
          <w:rFonts w:ascii="Arial" w:eastAsia="Times New Roman" w:hAnsi="Arial" w:cs="Arial"/>
          <w:sz w:val="22"/>
          <w:szCs w:val="22"/>
          <w:lang w:eastAsia="fr-FR"/>
        </w:rPr>
      </w:pPr>
      <w:r w:rsidRPr="003542E0">
        <w:rPr>
          <w:rFonts w:ascii="Arial" w:eastAsia="Times New Roman" w:hAnsi="Arial" w:cs="Arial"/>
          <w:sz w:val="22"/>
          <w:szCs w:val="22"/>
          <w:lang w:eastAsia="fr-FR"/>
        </w:rPr>
        <w:t>Sur la base de barèmes de rémunérations établis par la DGAFP:</w:t>
      </w:r>
    </w:p>
    <w:p w:rsidR="0079770C" w:rsidRPr="003542E0" w:rsidRDefault="0079770C" w:rsidP="0034289D">
      <w:pPr>
        <w:numPr>
          <w:ilvl w:val="0"/>
          <w:numId w:val="22"/>
        </w:numPr>
        <w:spacing w:after="119"/>
        <w:ind w:left="1440" w:hanging="363"/>
        <w:jc w:val="both"/>
        <w:rPr>
          <w:rFonts w:ascii="Arial" w:eastAsia="Times New Roman" w:hAnsi="Arial" w:cs="Arial"/>
          <w:sz w:val="22"/>
          <w:szCs w:val="22"/>
          <w:lang w:eastAsia="fr-FR"/>
        </w:rPr>
      </w:pPr>
      <w:r w:rsidRPr="003542E0">
        <w:rPr>
          <w:rFonts w:ascii="Arial" w:eastAsia="Times New Roman" w:hAnsi="Arial" w:cs="Arial"/>
          <w:sz w:val="22"/>
          <w:szCs w:val="22"/>
          <w:lang w:eastAsia="fr-FR"/>
        </w:rPr>
        <w:t>le traitement des stagiaires est obtenu en multipliant le nombre de jours de formation par le coût salarial journalier de la formation ;</w:t>
      </w:r>
    </w:p>
    <w:p w:rsidR="0079770C" w:rsidRPr="003542E0" w:rsidRDefault="0079770C" w:rsidP="0034289D">
      <w:pPr>
        <w:numPr>
          <w:ilvl w:val="0"/>
          <w:numId w:val="22"/>
        </w:numPr>
        <w:spacing w:after="119"/>
        <w:ind w:left="1440" w:hanging="363"/>
        <w:jc w:val="both"/>
        <w:rPr>
          <w:rFonts w:ascii="Arial" w:eastAsia="Times New Roman" w:hAnsi="Arial" w:cs="Arial"/>
          <w:sz w:val="22"/>
          <w:szCs w:val="22"/>
          <w:lang w:eastAsia="fr-FR"/>
        </w:rPr>
      </w:pPr>
      <w:r w:rsidRPr="003542E0">
        <w:rPr>
          <w:rFonts w:ascii="Arial" w:eastAsia="Times New Roman" w:hAnsi="Arial" w:cs="Arial"/>
          <w:sz w:val="22"/>
          <w:szCs w:val="22"/>
          <w:lang w:eastAsia="fr-FR"/>
        </w:rPr>
        <w:t>la masse salariale est calculée en multipliant les effectifs en fonction de chaque catégorie par un coût forfaitaire annuel.</w:t>
      </w:r>
    </w:p>
    <w:p w:rsidR="0079770C" w:rsidRPr="003542E0" w:rsidRDefault="0079770C" w:rsidP="003542E0">
      <w:pPr>
        <w:spacing w:before="113" w:after="113"/>
        <w:jc w:val="both"/>
        <w:rPr>
          <w:rFonts w:ascii="Arial" w:eastAsia="Times New Roman" w:hAnsi="Arial" w:cs="Arial"/>
          <w:sz w:val="22"/>
          <w:szCs w:val="22"/>
          <w:lang w:eastAsia="fr-FR"/>
        </w:rPr>
      </w:pPr>
      <w:r w:rsidRPr="003542E0">
        <w:rPr>
          <w:rFonts w:ascii="Arial" w:eastAsia="Times New Roman" w:hAnsi="Arial" w:cs="Arial"/>
          <w:sz w:val="22"/>
          <w:szCs w:val="22"/>
          <w:lang w:eastAsia="fr-FR"/>
        </w:rPr>
        <w:t>En 2013, les dépenses de formation au ministère de la culture et de la communication s'élèvent à 36 079 873 €, représentant ainsi 4,5 % de la masse salariale contre 4,3 % en 2012.</w:t>
      </w:r>
    </w:p>
    <w:p w:rsidR="0079770C" w:rsidRPr="003542E0" w:rsidRDefault="0079770C" w:rsidP="003542E0">
      <w:pPr>
        <w:jc w:val="both"/>
        <w:rPr>
          <w:sz w:val="22"/>
          <w:szCs w:val="22"/>
        </w:rPr>
        <w:sectPr w:rsidR="0079770C" w:rsidRPr="003542E0" w:rsidSect="0079770C">
          <w:headerReference w:type="default" r:id="rId230"/>
          <w:headerReference w:type="first" r:id="rId231"/>
          <w:footerReference w:type="first" r:id="rId232"/>
          <w:pgSz w:w="11906" w:h="16838"/>
          <w:pgMar w:top="1417" w:right="1417" w:bottom="1417" w:left="1417" w:header="708" w:footer="708" w:gutter="0"/>
          <w:cols w:space="708"/>
          <w:titlePg/>
          <w:docGrid w:linePitch="360"/>
        </w:sectPr>
      </w:pPr>
    </w:p>
    <w:p w:rsidR="0079770C" w:rsidRPr="003542E0" w:rsidRDefault="0079770C" w:rsidP="0079770C">
      <w:pPr>
        <w:rPr>
          <w:rFonts w:ascii="Arial" w:hAnsi="Arial" w:cs="Arial"/>
          <w:sz w:val="22"/>
          <w:szCs w:val="22"/>
        </w:rPr>
      </w:pPr>
    </w:p>
    <w:p w:rsidR="00FA54CF" w:rsidRPr="00FA54CF" w:rsidRDefault="00FA54CF" w:rsidP="00FA54CF">
      <w:pPr>
        <w:tabs>
          <w:tab w:val="left" w:pos="1220"/>
        </w:tabs>
        <w:rPr>
          <w:rFonts w:ascii="BlairMdITC TT-Medium" w:eastAsia="Cambria" w:hAnsi="BlairMdITC TT-Medium" w:cs="Times New Roman"/>
          <w:b/>
          <w:color w:val="800000"/>
          <w:sz w:val="48"/>
        </w:rPr>
      </w:pPr>
      <w:r w:rsidRPr="00FA54CF">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57920" behindDoc="0" locked="0" layoutInCell="1" allowOverlap="1" wp14:anchorId="3331ADB3" wp14:editId="13E1826C">
                <wp:simplePos x="0" y="0"/>
                <wp:positionH relativeFrom="column">
                  <wp:posOffset>228600</wp:posOffset>
                </wp:positionH>
                <wp:positionV relativeFrom="paragraph">
                  <wp:posOffset>0</wp:posOffset>
                </wp:positionV>
                <wp:extent cx="457200" cy="457200"/>
                <wp:effectExtent l="0" t="0" r="3810" b="1905"/>
                <wp:wrapNone/>
                <wp:docPr id="276" name="Zone de texte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4971EB" w:rsidRDefault="007B1397" w:rsidP="00FA54CF">
                            <w:pPr>
                              <w:jc w:val="center"/>
                              <w:rPr>
                                <w:rFonts w:ascii="Apple Casual" w:eastAsia="GB18030 Bitmap" w:hAnsi="Apple Casual"/>
                                <w:b/>
                                <w:color w:val="FFFFFF"/>
                                <w:sz w:val="48"/>
                              </w:rPr>
                            </w:pPr>
                            <w:r w:rsidRPr="004971EB">
                              <w:rPr>
                                <w:rFonts w:ascii="Apple Casual" w:eastAsia="GB18030 Bitmap" w:hAnsi="Apple Casual"/>
                                <w:b/>
                                <w:color w:val="FFFFFF"/>
                                <w:sz w:val="48"/>
                              </w:rPr>
                              <w:t>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1ADB3" id="Zone de texte 276" o:spid="_x0000_s1090" type="#_x0000_t202" style="position:absolute;margin-left:18pt;margin-top:0;width:36pt;height:3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" filled="f" stroked="f">
                <v:textbox inset=",7.2pt,,7.2pt">
                  <w:txbxContent>
                    <w:p w:rsidR="007B1397" w:rsidRPr="004971EB" w:rsidRDefault="007B1397" w:rsidP="00FA54CF">
                      <w:pPr>
                        <w:jc w:val="center"/>
                        <w:rPr>
                          <w:rFonts w:ascii="Apple Casual" w:eastAsia="GB18030 Bitmap" w:hAnsi="Apple Casual"/>
                          <w:b/>
                          <w:color w:val="FFFFFF"/>
                          <w:sz w:val="48"/>
                        </w:rPr>
                      </w:pPr>
                      <w:r w:rsidRPr="004971EB">
                        <w:rPr>
                          <w:rFonts w:ascii="Apple Casual" w:eastAsia="GB18030 Bitmap" w:hAnsi="Apple Casual"/>
                          <w:b/>
                          <w:color w:val="FFFFFF"/>
                          <w:sz w:val="48"/>
                        </w:rPr>
                        <w:t>7</w:t>
                      </w:r>
                    </w:p>
                  </w:txbxContent>
                </v:textbox>
              </v:shape>
            </w:pict>
          </mc:Fallback>
        </mc:AlternateContent>
      </w:r>
      <w:r w:rsidRPr="00FA54CF">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56896" behindDoc="0" locked="0" layoutInCell="1" allowOverlap="1" wp14:anchorId="4D552D45" wp14:editId="57B68735">
                <wp:simplePos x="0" y="0"/>
                <wp:positionH relativeFrom="column">
                  <wp:posOffset>0</wp:posOffset>
                </wp:positionH>
                <wp:positionV relativeFrom="paragraph">
                  <wp:posOffset>-228600</wp:posOffset>
                </wp:positionV>
                <wp:extent cx="904875" cy="904875"/>
                <wp:effectExtent l="5715" t="7620" r="3810" b="1905"/>
                <wp:wrapNone/>
                <wp:docPr id="277" name="Ellips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904875"/>
                        </a:xfrm>
                        <a:prstGeom prst="ellipse">
                          <a:avLst/>
                        </a:prstGeom>
                        <a:solidFill>
                          <a:srgbClr val="008080"/>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2F3AAA" id="Ellipse 277" o:spid="_x0000_s1026" style="position:absolute;margin-left:0;margin-top:-18pt;width:71.25pt;height:71.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" fillcolor="teal" stroked="f" strokecolor="#4a7ebb" strokeweight="1.5pt">
                <v:shadow opacity="22938f" offset="0"/>
                <v:textbox inset=",7.2pt,,7.2pt"/>
              </v:oval>
            </w:pict>
          </mc:Fallback>
        </mc:AlternateContent>
      </w: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28"/>
        </w:rPr>
      </w:pPr>
    </w:p>
    <w:p w:rsidR="00FA54CF" w:rsidRPr="00FA54CF" w:rsidRDefault="00FA54CF" w:rsidP="00FA54CF">
      <w:pPr>
        <w:tabs>
          <w:tab w:val="left" w:pos="1220"/>
        </w:tabs>
        <w:rPr>
          <w:rFonts w:ascii="Florencesans Exp" w:eastAsia="Cambria" w:hAnsi="Florencesans Exp" w:cs="Times New Roman"/>
          <w:b/>
          <w:color w:val="008080"/>
          <w:sz w:val="48"/>
        </w:rPr>
      </w:pPr>
      <w:r w:rsidRPr="00FA54CF">
        <w:rPr>
          <w:rFonts w:ascii="Florencesans Exp" w:eastAsia="Cambria" w:hAnsi="Florencesans Exp" w:cs="Times New Roman"/>
          <w:b/>
          <w:color w:val="008080"/>
          <w:sz w:val="48"/>
        </w:rPr>
        <w:t>RELATIONS SOCIALES</w:t>
      </w: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r w:rsidRPr="00FA54CF">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58944" behindDoc="0" locked="0" layoutInCell="1" allowOverlap="1" wp14:anchorId="106DDF9D" wp14:editId="622837F7">
                <wp:simplePos x="0" y="0"/>
                <wp:positionH relativeFrom="column">
                  <wp:posOffset>3195955</wp:posOffset>
                </wp:positionH>
                <wp:positionV relativeFrom="paragraph">
                  <wp:posOffset>29845</wp:posOffset>
                </wp:positionV>
                <wp:extent cx="2943225" cy="5975350"/>
                <wp:effectExtent l="0" t="0" r="28575" b="25400"/>
                <wp:wrapTight wrapText="bothSides">
                  <wp:wrapPolygon edited="0">
                    <wp:start x="0" y="0"/>
                    <wp:lineTo x="0" y="21623"/>
                    <wp:lineTo x="21670" y="21623"/>
                    <wp:lineTo x="21670" y="0"/>
                    <wp:lineTo x="0" y="0"/>
                  </wp:wrapPolygon>
                </wp:wrapTight>
                <wp:docPr id="278"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5975350"/>
                        </a:xfrm>
                        <a:prstGeom prst="rect">
                          <a:avLst/>
                        </a:prstGeom>
                        <a:noFill/>
                        <a:ln w="19050">
                          <a:solidFill>
                            <a:srgbClr val="808080"/>
                          </a:solidFill>
                          <a:miter lim="800000"/>
                          <a:headEnd/>
                          <a:tailEnd/>
                        </a:ln>
                        <a:effectLst/>
                        <a:extLst>
                          <a:ext uri="{909E8E84-426E-40DD-AFC4-6F175D3DCCD1}">
                            <a14:hiddenFill xmlns:a14="http://schemas.microsoft.com/office/drawing/2010/main">
                              <a:solidFill>
                                <a:srgbClr val="008080">
                                  <a:alpha val="39999"/>
                                </a:srgbClr>
                              </a:soli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7B1397" w:rsidRDefault="007B1397" w:rsidP="00FA54CF">
                            <w:pPr>
                              <w:jc w:val="center"/>
                              <w:rPr>
                                <w:b/>
                              </w:rPr>
                            </w:pPr>
                          </w:p>
                          <w:p w:rsidR="007B1397" w:rsidRDefault="007B1397" w:rsidP="00FA54CF">
                            <w:pPr>
                              <w:jc w:val="center"/>
                              <w:rPr>
                                <w:rFonts w:ascii="Arial" w:hAnsi="Arial"/>
                                <w:b/>
                                <w:sz w:val="28"/>
                              </w:rPr>
                            </w:pPr>
                            <w:r w:rsidRPr="00405757">
                              <w:rPr>
                                <w:rFonts w:ascii="Arial" w:hAnsi="Arial"/>
                                <w:b/>
                                <w:sz w:val="28"/>
                              </w:rPr>
                              <w:t>Chiffres clés</w:t>
                            </w:r>
                          </w:p>
                          <w:p w:rsidR="007B1397" w:rsidRPr="00CB5F30" w:rsidRDefault="007B1397" w:rsidP="00FA54CF">
                            <w:pPr>
                              <w:jc w:val="center"/>
                              <w:rPr>
                                <w:rFonts w:ascii="Arial" w:hAnsi="Arial"/>
                                <w:b/>
                                <w:sz w:val="28"/>
                              </w:rPr>
                            </w:pPr>
                          </w:p>
                          <w:p w:rsidR="007B1397" w:rsidRDefault="007B1397" w:rsidP="00FA54CF">
                            <w:pPr>
                              <w:jc w:val="center"/>
                              <w:rPr>
                                <w:rFonts w:ascii="Arial" w:hAnsi="Arial"/>
                                <w:b/>
                                <w:u w:val="single"/>
                              </w:rPr>
                            </w:pPr>
                            <w:r w:rsidRPr="002576B1">
                              <w:rPr>
                                <w:rFonts w:ascii="Arial" w:hAnsi="Arial"/>
                                <w:b/>
                                <w:u w:val="single"/>
                              </w:rPr>
                              <w:t>Les instances tenues en 201</w:t>
                            </w:r>
                            <w:r>
                              <w:rPr>
                                <w:rFonts w:ascii="Arial" w:hAnsi="Arial"/>
                                <w:b/>
                                <w:u w:val="single"/>
                              </w:rPr>
                              <w:t>3</w:t>
                            </w:r>
                            <w:r w:rsidRPr="002576B1">
                              <w:rPr>
                                <w:rFonts w:ascii="Arial" w:hAnsi="Arial"/>
                                <w:b/>
                                <w:u w:val="single"/>
                              </w:rPr>
                              <w:t> :</w:t>
                            </w:r>
                          </w:p>
                          <w:p w:rsidR="007B1397" w:rsidRPr="002576B1" w:rsidRDefault="007B1397" w:rsidP="00FA54CF">
                            <w:pPr>
                              <w:jc w:val="center"/>
                              <w:rPr>
                                <w:rFonts w:ascii="Arial" w:hAnsi="Arial"/>
                                <w:b/>
                                <w:u w:val="single"/>
                              </w:rPr>
                            </w:pPr>
                          </w:p>
                          <w:p w:rsidR="007B1397" w:rsidRDefault="007B1397" w:rsidP="00FA54CF">
                            <w:pPr>
                              <w:jc w:val="center"/>
                              <w:rPr>
                                <w:rFonts w:ascii="Arial" w:hAnsi="Arial"/>
                                <w:b/>
                              </w:rPr>
                            </w:pPr>
                            <w:r>
                              <w:rPr>
                                <w:rFonts w:ascii="Arial" w:hAnsi="Arial"/>
                                <w:b/>
                                <w:color w:val="008080"/>
                                <w:sz w:val="32"/>
                              </w:rPr>
                              <w:t>4</w:t>
                            </w:r>
                            <w:r w:rsidRPr="002576B1">
                              <w:rPr>
                                <w:rFonts w:ascii="Arial" w:hAnsi="Arial"/>
                                <w:b/>
                                <w:color w:val="008080"/>
                                <w:sz w:val="32"/>
                              </w:rPr>
                              <w:t xml:space="preserve"> CT ministériels</w:t>
                            </w:r>
                            <w:r>
                              <w:rPr>
                                <w:rFonts w:ascii="Arial" w:hAnsi="Arial"/>
                                <w:b/>
                                <w:color w:val="008080"/>
                              </w:rPr>
                              <w:t xml:space="preserve"> </w:t>
                            </w:r>
                            <w:r w:rsidRPr="002576B1">
                              <w:rPr>
                                <w:rFonts w:ascii="Arial" w:hAnsi="Arial"/>
                                <w:b/>
                              </w:rPr>
                              <w:t xml:space="preserve">dont </w:t>
                            </w:r>
                            <w:r>
                              <w:rPr>
                                <w:rFonts w:ascii="Arial" w:hAnsi="Arial"/>
                                <w:b/>
                              </w:rPr>
                              <w:t>2</w:t>
                            </w:r>
                            <w:r w:rsidRPr="002576B1">
                              <w:rPr>
                                <w:rFonts w:ascii="Arial" w:hAnsi="Arial"/>
                                <w:b/>
                              </w:rPr>
                              <w:t xml:space="preserve"> présidé</w:t>
                            </w:r>
                            <w:r>
                              <w:rPr>
                                <w:rFonts w:ascii="Arial" w:hAnsi="Arial"/>
                                <w:b/>
                              </w:rPr>
                              <w:t>s</w:t>
                            </w:r>
                            <w:r w:rsidRPr="002576B1">
                              <w:rPr>
                                <w:rFonts w:ascii="Arial" w:hAnsi="Arial"/>
                                <w:b/>
                              </w:rPr>
                              <w:t xml:space="preserve"> par la Ministre de la Culture et de la Communication</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1</w:t>
                            </w:r>
                            <w:r w:rsidRPr="002576B1">
                              <w:rPr>
                                <w:rFonts w:ascii="Arial" w:hAnsi="Arial"/>
                                <w:b/>
                                <w:color w:val="008080"/>
                                <w:sz w:val="32"/>
                              </w:rPr>
                              <w:t xml:space="preserve"> CT</w:t>
                            </w:r>
                            <w:r>
                              <w:rPr>
                                <w:rFonts w:ascii="Arial" w:hAnsi="Arial"/>
                                <w:b/>
                              </w:rPr>
                              <w:t xml:space="preserve"> d’administration centrale</w:t>
                            </w:r>
                          </w:p>
                          <w:p w:rsidR="007B1397" w:rsidRDefault="007B1397" w:rsidP="00FA54CF">
                            <w:pPr>
                              <w:jc w:val="center"/>
                              <w:rPr>
                                <w:rFonts w:ascii="Arial" w:hAnsi="Arial"/>
                                <w:b/>
                                <w:color w:val="008080"/>
                                <w:sz w:val="32"/>
                              </w:rPr>
                            </w:pPr>
                          </w:p>
                          <w:p w:rsidR="007B1397" w:rsidRPr="00405757" w:rsidRDefault="007B1397" w:rsidP="00FA54CF">
                            <w:pPr>
                              <w:jc w:val="center"/>
                              <w:rPr>
                                <w:rFonts w:ascii="Arial" w:hAnsi="Arial"/>
                                <w:b/>
                              </w:rPr>
                            </w:pPr>
                            <w:r w:rsidRPr="00405757">
                              <w:rPr>
                                <w:rFonts w:ascii="Arial" w:hAnsi="Arial"/>
                                <w:b/>
                                <w:color w:val="008080"/>
                                <w:sz w:val="32"/>
                              </w:rPr>
                              <w:t xml:space="preserve">1 CT </w:t>
                            </w:r>
                            <w:r w:rsidRPr="00405757">
                              <w:rPr>
                                <w:rFonts w:ascii="Arial" w:hAnsi="Arial"/>
                                <w:b/>
                              </w:rPr>
                              <w:t>de la DGMIC</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7</w:t>
                            </w:r>
                            <w:r w:rsidRPr="002576B1">
                              <w:rPr>
                                <w:rFonts w:ascii="Arial" w:hAnsi="Arial"/>
                                <w:b/>
                                <w:color w:val="008080"/>
                                <w:sz w:val="32"/>
                              </w:rPr>
                              <w:t xml:space="preserve"> CT</w:t>
                            </w:r>
                            <w:r>
                              <w:rPr>
                                <w:rFonts w:ascii="Arial" w:hAnsi="Arial"/>
                                <w:b/>
                              </w:rPr>
                              <w:t xml:space="preserve"> de la DGP</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3</w:t>
                            </w:r>
                            <w:r w:rsidRPr="002576B1">
                              <w:rPr>
                                <w:rFonts w:ascii="Arial" w:hAnsi="Arial"/>
                                <w:b/>
                                <w:color w:val="008080"/>
                                <w:sz w:val="32"/>
                              </w:rPr>
                              <w:t xml:space="preserve"> CT</w:t>
                            </w:r>
                            <w:r>
                              <w:rPr>
                                <w:rFonts w:ascii="Arial" w:hAnsi="Arial"/>
                                <w:b/>
                              </w:rPr>
                              <w:t xml:space="preserve"> communs des écoles nationales supérieures d’architecture</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5</w:t>
                            </w:r>
                            <w:r w:rsidRPr="002576B1">
                              <w:rPr>
                                <w:rFonts w:ascii="Arial" w:hAnsi="Arial"/>
                                <w:b/>
                                <w:color w:val="008080"/>
                                <w:sz w:val="32"/>
                              </w:rPr>
                              <w:t xml:space="preserve"> CHSCT ministériels</w:t>
                            </w:r>
                            <w:r>
                              <w:rPr>
                                <w:rFonts w:ascii="Arial" w:hAnsi="Arial"/>
                                <w:b/>
                              </w:rPr>
                              <w:t xml:space="preserve"> </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5</w:t>
                            </w:r>
                            <w:r w:rsidRPr="002576B1">
                              <w:rPr>
                                <w:rFonts w:ascii="Arial" w:hAnsi="Arial"/>
                                <w:b/>
                                <w:color w:val="008080"/>
                                <w:sz w:val="32"/>
                              </w:rPr>
                              <w:t xml:space="preserve"> CHSCT</w:t>
                            </w:r>
                            <w:r>
                              <w:rPr>
                                <w:rFonts w:ascii="Arial" w:hAnsi="Arial"/>
                              </w:rPr>
                              <w:t xml:space="preserve"> </w:t>
                            </w:r>
                            <w:r w:rsidRPr="002576B1">
                              <w:rPr>
                                <w:rFonts w:ascii="Arial" w:hAnsi="Arial"/>
                                <w:b/>
                              </w:rPr>
                              <w:t>d’administration centrale</w:t>
                            </w:r>
                          </w:p>
                          <w:p w:rsidR="007B1397" w:rsidRDefault="007B1397" w:rsidP="00FA54CF">
                            <w:pPr>
                              <w:jc w:val="center"/>
                              <w:rPr>
                                <w:rFonts w:ascii="Arial" w:hAnsi="Arial"/>
                                <w:b/>
                                <w:u w:val="single"/>
                              </w:rPr>
                            </w:pPr>
                          </w:p>
                          <w:p w:rsidR="007B1397" w:rsidRDefault="007B1397" w:rsidP="00FA54CF">
                            <w:pPr>
                              <w:jc w:val="center"/>
                              <w:rPr>
                                <w:rFonts w:ascii="Arial" w:hAnsi="Arial"/>
                                <w:b/>
                                <w:u w:val="single"/>
                              </w:rPr>
                            </w:pPr>
                            <w:r w:rsidRPr="002576B1">
                              <w:rPr>
                                <w:rFonts w:ascii="Arial" w:hAnsi="Arial"/>
                                <w:b/>
                                <w:u w:val="single"/>
                              </w:rPr>
                              <w:t>Préavis de grèves déposés en 201</w:t>
                            </w:r>
                            <w:r>
                              <w:rPr>
                                <w:rFonts w:ascii="Arial" w:hAnsi="Arial"/>
                                <w:b/>
                                <w:u w:val="single"/>
                              </w:rPr>
                              <w:t>3</w:t>
                            </w:r>
                            <w:r w:rsidRPr="002576B1">
                              <w:rPr>
                                <w:rFonts w:ascii="Arial" w:hAnsi="Arial"/>
                                <w:b/>
                                <w:u w:val="single"/>
                              </w:rPr>
                              <w:t> :</w:t>
                            </w:r>
                          </w:p>
                          <w:p w:rsidR="007B1397" w:rsidRPr="003D4319" w:rsidRDefault="007B1397" w:rsidP="00FA54CF">
                            <w:pPr>
                              <w:jc w:val="center"/>
                              <w:rPr>
                                <w:rFonts w:ascii="Arial" w:hAnsi="Arial"/>
                                <w:b/>
                              </w:rPr>
                            </w:pPr>
                            <w:r>
                              <w:rPr>
                                <w:rFonts w:ascii="Arial" w:hAnsi="Arial"/>
                                <w:b/>
                                <w:color w:val="008080"/>
                                <w:sz w:val="32"/>
                              </w:rPr>
                              <w:t>7</w:t>
                            </w:r>
                            <w:r w:rsidRPr="003D4319">
                              <w:rPr>
                                <w:rFonts w:ascii="Arial" w:hAnsi="Arial"/>
                                <w:b/>
                              </w:rPr>
                              <w:t xml:space="preserve"> relevant de grèves nationales</w:t>
                            </w:r>
                          </w:p>
                          <w:p w:rsidR="007B1397" w:rsidRPr="003D4319" w:rsidRDefault="007B1397" w:rsidP="00FA54CF">
                            <w:pPr>
                              <w:jc w:val="center"/>
                              <w:rPr>
                                <w:rFonts w:ascii="Arial" w:hAnsi="Arial"/>
                              </w:rPr>
                            </w:pPr>
                            <w:r>
                              <w:rPr>
                                <w:rFonts w:ascii="Arial" w:hAnsi="Arial"/>
                                <w:b/>
                                <w:color w:val="008080"/>
                                <w:sz w:val="32"/>
                              </w:rPr>
                              <w:t>8</w:t>
                            </w:r>
                            <w:r w:rsidRPr="003D4319">
                              <w:rPr>
                                <w:rFonts w:ascii="Arial" w:hAnsi="Arial"/>
                                <w:b/>
                              </w:rPr>
                              <w:t xml:space="preserve"> relevant de mouvements locaux</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6DDF9D" id="Rectangle 278" o:spid="_x0000_s1091" style="position:absolute;margin-left:251.65pt;margin-top:2.35pt;width:231.75pt;height:470.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" filled="f" fillcolor="teal" strokecolor="gray" strokeweight="1.5pt">
                <v:fill opacity="26214f"/>
                <v:shadow opacity="22938f" offset="0"/>
                <v:textbox inset=",7.2pt,,7.2pt">
                  <w:txbxContent>
                    <w:p w:rsidR="007B1397" w:rsidRDefault="007B1397" w:rsidP="00FA54CF">
                      <w:pPr>
                        <w:jc w:val="center"/>
                        <w:rPr>
                          <w:b/>
                        </w:rPr>
                      </w:pPr>
                    </w:p>
                    <w:p w:rsidR="007B1397" w:rsidRDefault="007B1397" w:rsidP="00FA54CF">
                      <w:pPr>
                        <w:jc w:val="center"/>
                        <w:rPr>
                          <w:rFonts w:ascii="Arial" w:hAnsi="Arial"/>
                          <w:b/>
                          <w:sz w:val="28"/>
                        </w:rPr>
                      </w:pPr>
                      <w:r w:rsidRPr="00405757">
                        <w:rPr>
                          <w:rFonts w:ascii="Arial" w:hAnsi="Arial"/>
                          <w:b/>
                          <w:sz w:val="28"/>
                        </w:rPr>
                        <w:t>Chiffres clés</w:t>
                      </w:r>
                    </w:p>
                    <w:p w:rsidR="007B1397" w:rsidRPr="00CB5F30" w:rsidRDefault="007B1397" w:rsidP="00FA54CF">
                      <w:pPr>
                        <w:jc w:val="center"/>
                        <w:rPr>
                          <w:rFonts w:ascii="Arial" w:hAnsi="Arial"/>
                          <w:b/>
                          <w:sz w:val="28"/>
                        </w:rPr>
                      </w:pPr>
                    </w:p>
                    <w:p w:rsidR="007B1397" w:rsidRDefault="007B1397" w:rsidP="00FA54CF">
                      <w:pPr>
                        <w:jc w:val="center"/>
                        <w:rPr>
                          <w:rFonts w:ascii="Arial" w:hAnsi="Arial"/>
                          <w:b/>
                          <w:u w:val="single"/>
                        </w:rPr>
                      </w:pPr>
                      <w:r w:rsidRPr="002576B1">
                        <w:rPr>
                          <w:rFonts w:ascii="Arial" w:hAnsi="Arial"/>
                          <w:b/>
                          <w:u w:val="single"/>
                        </w:rPr>
                        <w:t>Les instances tenues en 201</w:t>
                      </w:r>
                      <w:r>
                        <w:rPr>
                          <w:rFonts w:ascii="Arial" w:hAnsi="Arial"/>
                          <w:b/>
                          <w:u w:val="single"/>
                        </w:rPr>
                        <w:t>3</w:t>
                      </w:r>
                      <w:r w:rsidRPr="002576B1">
                        <w:rPr>
                          <w:rFonts w:ascii="Arial" w:hAnsi="Arial"/>
                          <w:b/>
                          <w:u w:val="single"/>
                        </w:rPr>
                        <w:t> :</w:t>
                      </w:r>
                    </w:p>
                    <w:p w:rsidR="007B1397" w:rsidRPr="002576B1" w:rsidRDefault="007B1397" w:rsidP="00FA54CF">
                      <w:pPr>
                        <w:jc w:val="center"/>
                        <w:rPr>
                          <w:rFonts w:ascii="Arial" w:hAnsi="Arial"/>
                          <w:b/>
                          <w:u w:val="single"/>
                        </w:rPr>
                      </w:pPr>
                    </w:p>
                    <w:p w:rsidR="007B1397" w:rsidRDefault="007B1397" w:rsidP="00FA54CF">
                      <w:pPr>
                        <w:jc w:val="center"/>
                        <w:rPr>
                          <w:rFonts w:ascii="Arial" w:hAnsi="Arial"/>
                          <w:b/>
                        </w:rPr>
                      </w:pPr>
                      <w:r>
                        <w:rPr>
                          <w:rFonts w:ascii="Arial" w:hAnsi="Arial"/>
                          <w:b/>
                          <w:color w:val="008080"/>
                          <w:sz w:val="32"/>
                        </w:rPr>
                        <w:t>4</w:t>
                      </w:r>
                      <w:r w:rsidRPr="002576B1">
                        <w:rPr>
                          <w:rFonts w:ascii="Arial" w:hAnsi="Arial"/>
                          <w:b/>
                          <w:color w:val="008080"/>
                          <w:sz w:val="32"/>
                        </w:rPr>
                        <w:t xml:space="preserve"> CT ministériels</w:t>
                      </w:r>
                      <w:r>
                        <w:rPr>
                          <w:rFonts w:ascii="Arial" w:hAnsi="Arial"/>
                          <w:b/>
                          <w:color w:val="008080"/>
                        </w:rPr>
                        <w:t xml:space="preserve"> </w:t>
                      </w:r>
                      <w:r w:rsidRPr="002576B1">
                        <w:rPr>
                          <w:rFonts w:ascii="Arial" w:hAnsi="Arial"/>
                          <w:b/>
                        </w:rPr>
                        <w:t xml:space="preserve">dont </w:t>
                      </w:r>
                      <w:r>
                        <w:rPr>
                          <w:rFonts w:ascii="Arial" w:hAnsi="Arial"/>
                          <w:b/>
                        </w:rPr>
                        <w:t>2</w:t>
                      </w:r>
                      <w:r w:rsidRPr="002576B1">
                        <w:rPr>
                          <w:rFonts w:ascii="Arial" w:hAnsi="Arial"/>
                          <w:b/>
                        </w:rPr>
                        <w:t xml:space="preserve"> présidé</w:t>
                      </w:r>
                      <w:r>
                        <w:rPr>
                          <w:rFonts w:ascii="Arial" w:hAnsi="Arial"/>
                          <w:b/>
                        </w:rPr>
                        <w:t>s</w:t>
                      </w:r>
                      <w:r w:rsidRPr="002576B1">
                        <w:rPr>
                          <w:rFonts w:ascii="Arial" w:hAnsi="Arial"/>
                          <w:b/>
                        </w:rPr>
                        <w:t xml:space="preserve"> par la Ministre de la Culture et de la Communication</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1</w:t>
                      </w:r>
                      <w:r w:rsidRPr="002576B1">
                        <w:rPr>
                          <w:rFonts w:ascii="Arial" w:hAnsi="Arial"/>
                          <w:b/>
                          <w:color w:val="008080"/>
                          <w:sz w:val="32"/>
                        </w:rPr>
                        <w:t xml:space="preserve"> CT</w:t>
                      </w:r>
                      <w:r>
                        <w:rPr>
                          <w:rFonts w:ascii="Arial" w:hAnsi="Arial"/>
                          <w:b/>
                        </w:rPr>
                        <w:t xml:space="preserve"> d’administration centrale</w:t>
                      </w:r>
                    </w:p>
                    <w:p w:rsidR="007B1397" w:rsidRDefault="007B1397" w:rsidP="00FA54CF">
                      <w:pPr>
                        <w:jc w:val="center"/>
                        <w:rPr>
                          <w:rFonts w:ascii="Arial" w:hAnsi="Arial"/>
                          <w:b/>
                          <w:color w:val="008080"/>
                          <w:sz w:val="32"/>
                        </w:rPr>
                      </w:pPr>
                    </w:p>
                    <w:p w:rsidR="007B1397" w:rsidRPr="00405757" w:rsidRDefault="007B1397" w:rsidP="00FA54CF">
                      <w:pPr>
                        <w:jc w:val="center"/>
                        <w:rPr>
                          <w:rFonts w:ascii="Arial" w:hAnsi="Arial"/>
                          <w:b/>
                        </w:rPr>
                      </w:pPr>
                      <w:r w:rsidRPr="00405757">
                        <w:rPr>
                          <w:rFonts w:ascii="Arial" w:hAnsi="Arial"/>
                          <w:b/>
                          <w:color w:val="008080"/>
                          <w:sz w:val="32"/>
                        </w:rPr>
                        <w:t xml:space="preserve">1 CT </w:t>
                      </w:r>
                      <w:r w:rsidRPr="00405757">
                        <w:rPr>
                          <w:rFonts w:ascii="Arial" w:hAnsi="Arial"/>
                          <w:b/>
                        </w:rPr>
                        <w:t>de la DGMIC</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7</w:t>
                      </w:r>
                      <w:r w:rsidRPr="002576B1">
                        <w:rPr>
                          <w:rFonts w:ascii="Arial" w:hAnsi="Arial"/>
                          <w:b/>
                          <w:color w:val="008080"/>
                          <w:sz w:val="32"/>
                        </w:rPr>
                        <w:t xml:space="preserve"> CT</w:t>
                      </w:r>
                      <w:r>
                        <w:rPr>
                          <w:rFonts w:ascii="Arial" w:hAnsi="Arial"/>
                          <w:b/>
                        </w:rPr>
                        <w:t xml:space="preserve"> de la DGP</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3</w:t>
                      </w:r>
                      <w:r w:rsidRPr="002576B1">
                        <w:rPr>
                          <w:rFonts w:ascii="Arial" w:hAnsi="Arial"/>
                          <w:b/>
                          <w:color w:val="008080"/>
                          <w:sz w:val="32"/>
                        </w:rPr>
                        <w:t xml:space="preserve"> CT</w:t>
                      </w:r>
                      <w:r>
                        <w:rPr>
                          <w:rFonts w:ascii="Arial" w:hAnsi="Arial"/>
                          <w:b/>
                        </w:rPr>
                        <w:t xml:space="preserve"> communs des écoles nationales supérieures d’architecture</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5</w:t>
                      </w:r>
                      <w:r w:rsidRPr="002576B1">
                        <w:rPr>
                          <w:rFonts w:ascii="Arial" w:hAnsi="Arial"/>
                          <w:b/>
                          <w:color w:val="008080"/>
                          <w:sz w:val="32"/>
                        </w:rPr>
                        <w:t xml:space="preserve"> CHSCT ministériels</w:t>
                      </w:r>
                      <w:r>
                        <w:rPr>
                          <w:rFonts w:ascii="Arial" w:hAnsi="Arial"/>
                          <w:b/>
                        </w:rPr>
                        <w:t xml:space="preserve"> </w:t>
                      </w:r>
                    </w:p>
                    <w:p w:rsidR="007B1397" w:rsidRDefault="007B1397" w:rsidP="00FA54CF">
                      <w:pPr>
                        <w:jc w:val="center"/>
                        <w:rPr>
                          <w:rFonts w:ascii="Arial" w:hAnsi="Arial"/>
                          <w:b/>
                          <w:color w:val="008080"/>
                          <w:sz w:val="32"/>
                        </w:rPr>
                      </w:pPr>
                    </w:p>
                    <w:p w:rsidR="007B1397" w:rsidRDefault="007B1397" w:rsidP="00FA54CF">
                      <w:pPr>
                        <w:jc w:val="center"/>
                        <w:rPr>
                          <w:rFonts w:ascii="Arial" w:hAnsi="Arial"/>
                          <w:b/>
                        </w:rPr>
                      </w:pPr>
                      <w:r>
                        <w:rPr>
                          <w:rFonts w:ascii="Arial" w:hAnsi="Arial"/>
                          <w:b/>
                          <w:color w:val="008080"/>
                          <w:sz w:val="32"/>
                        </w:rPr>
                        <w:t>5</w:t>
                      </w:r>
                      <w:r w:rsidRPr="002576B1">
                        <w:rPr>
                          <w:rFonts w:ascii="Arial" w:hAnsi="Arial"/>
                          <w:b/>
                          <w:color w:val="008080"/>
                          <w:sz w:val="32"/>
                        </w:rPr>
                        <w:t xml:space="preserve"> CHSCT</w:t>
                      </w:r>
                      <w:r>
                        <w:rPr>
                          <w:rFonts w:ascii="Arial" w:hAnsi="Arial"/>
                        </w:rPr>
                        <w:t xml:space="preserve"> </w:t>
                      </w:r>
                      <w:r w:rsidRPr="002576B1">
                        <w:rPr>
                          <w:rFonts w:ascii="Arial" w:hAnsi="Arial"/>
                          <w:b/>
                        </w:rPr>
                        <w:t>d’administration centrale</w:t>
                      </w:r>
                    </w:p>
                    <w:p w:rsidR="007B1397" w:rsidRDefault="007B1397" w:rsidP="00FA54CF">
                      <w:pPr>
                        <w:jc w:val="center"/>
                        <w:rPr>
                          <w:rFonts w:ascii="Arial" w:hAnsi="Arial"/>
                          <w:b/>
                          <w:u w:val="single"/>
                        </w:rPr>
                      </w:pPr>
                    </w:p>
                    <w:p w:rsidR="007B1397" w:rsidRDefault="007B1397" w:rsidP="00FA54CF">
                      <w:pPr>
                        <w:jc w:val="center"/>
                        <w:rPr>
                          <w:rFonts w:ascii="Arial" w:hAnsi="Arial"/>
                          <w:b/>
                          <w:u w:val="single"/>
                        </w:rPr>
                      </w:pPr>
                      <w:r w:rsidRPr="002576B1">
                        <w:rPr>
                          <w:rFonts w:ascii="Arial" w:hAnsi="Arial"/>
                          <w:b/>
                          <w:u w:val="single"/>
                        </w:rPr>
                        <w:t>Préavis de grèves déposés en 201</w:t>
                      </w:r>
                      <w:r>
                        <w:rPr>
                          <w:rFonts w:ascii="Arial" w:hAnsi="Arial"/>
                          <w:b/>
                          <w:u w:val="single"/>
                        </w:rPr>
                        <w:t>3</w:t>
                      </w:r>
                      <w:r w:rsidRPr="002576B1">
                        <w:rPr>
                          <w:rFonts w:ascii="Arial" w:hAnsi="Arial"/>
                          <w:b/>
                          <w:u w:val="single"/>
                        </w:rPr>
                        <w:t> :</w:t>
                      </w:r>
                    </w:p>
                    <w:p w:rsidR="007B1397" w:rsidRPr="003D4319" w:rsidRDefault="007B1397" w:rsidP="00FA54CF">
                      <w:pPr>
                        <w:jc w:val="center"/>
                        <w:rPr>
                          <w:rFonts w:ascii="Arial" w:hAnsi="Arial"/>
                          <w:b/>
                        </w:rPr>
                      </w:pPr>
                      <w:r>
                        <w:rPr>
                          <w:rFonts w:ascii="Arial" w:hAnsi="Arial"/>
                          <w:b/>
                          <w:color w:val="008080"/>
                          <w:sz w:val="32"/>
                        </w:rPr>
                        <w:t>7</w:t>
                      </w:r>
                      <w:r w:rsidRPr="003D4319">
                        <w:rPr>
                          <w:rFonts w:ascii="Arial" w:hAnsi="Arial"/>
                          <w:b/>
                        </w:rPr>
                        <w:t xml:space="preserve"> relevant de grèves nationales</w:t>
                      </w:r>
                    </w:p>
                    <w:p w:rsidR="007B1397" w:rsidRPr="003D4319" w:rsidRDefault="007B1397" w:rsidP="00FA54CF">
                      <w:pPr>
                        <w:jc w:val="center"/>
                        <w:rPr>
                          <w:rFonts w:ascii="Arial" w:hAnsi="Arial"/>
                        </w:rPr>
                      </w:pPr>
                      <w:r>
                        <w:rPr>
                          <w:rFonts w:ascii="Arial" w:hAnsi="Arial"/>
                          <w:b/>
                          <w:color w:val="008080"/>
                          <w:sz w:val="32"/>
                        </w:rPr>
                        <w:t>8</w:t>
                      </w:r>
                      <w:r w:rsidRPr="003D4319">
                        <w:rPr>
                          <w:rFonts w:ascii="Arial" w:hAnsi="Arial"/>
                          <w:b/>
                        </w:rPr>
                        <w:t xml:space="preserve"> relevant de mouvements locaux</w:t>
                      </w:r>
                    </w:p>
                  </w:txbxContent>
                </v:textbox>
                <w10:wrap type="tight"/>
              </v:rect>
            </w:pict>
          </mc:Fallback>
        </mc:AlternateContent>
      </w:r>
      <w:r w:rsidRPr="00FA54CF">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59968" behindDoc="0" locked="0" layoutInCell="1" allowOverlap="1" wp14:anchorId="3BF7E5D5" wp14:editId="3038F3D2">
                <wp:simplePos x="0" y="0"/>
                <wp:positionH relativeFrom="column">
                  <wp:posOffset>0</wp:posOffset>
                </wp:positionH>
                <wp:positionV relativeFrom="paragraph">
                  <wp:posOffset>243840</wp:posOffset>
                </wp:positionV>
                <wp:extent cx="2743200" cy="4572000"/>
                <wp:effectExtent l="0" t="0" r="3810" b="1905"/>
                <wp:wrapTight wrapText="bothSides">
                  <wp:wrapPolygon edited="0">
                    <wp:start x="0" y="0"/>
                    <wp:lineTo x="21600" y="0"/>
                    <wp:lineTo x="21600" y="21600"/>
                    <wp:lineTo x="0" y="21600"/>
                    <wp:lineTo x="0" y="0"/>
                  </wp:wrapPolygon>
                </wp:wrapTight>
                <wp:docPr id="279" name="Zone de texte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FA54CF" w:rsidRDefault="007B1397" w:rsidP="00FA54CF">
                            <w:pPr>
                              <w:spacing w:line="288" w:lineRule="auto"/>
                              <w:jc w:val="both"/>
                              <w:rPr>
                                <w:rFonts w:ascii="Arial" w:hAnsi="Arial"/>
                                <w:sz w:val="22"/>
                                <w:szCs w:val="22"/>
                              </w:rPr>
                            </w:pPr>
                            <w:r w:rsidRPr="00FA54CF">
                              <w:rPr>
                                <w:rFonts w:ascii="Arial" w:hAnsi="Arial"/>
                                <w:sz w:val="22"/>
                                <w:szCs w:val="22"/>
                              </w:rPr>
                              <w:t>Cette partie présente les instances de dialogue social réunies au cours de l’année 2013, dans le périmètre relevant de l’administration centrale :</w:t>
                            </w:r>
                          </w:p>
                          <w:p w:rsidR="007B1397" w:rsidRPr="00FA54CF" w:rsidRDefault="007B1397" w:rsidP="0034289D">
                            <w:pPr>
                              <w:pStyle w:val="Paragraphedeliste"/>
                              <w:numPr>
                                <w:ilvl w:val="0"/>
                                <w:numId w:val="24"/>
                              </w:numPr>
                              <w:jc w:val="both"/>
                              <w:rPr>
                                <w:rFonts w:ascii="Arial" w:hAnsi="Arial"/>
                                <w:sz w:val="22"/>
                                <w:szCs w:val="22"/>
                              </w:rPr>
                            </w:pPr>
                            <w:r w:rsidRPr="00FA54CF">
                              <w:rPr>
                                <w:rFonts w:ascii="Arial" w:hAnsi="Arial"/>
                                <w:sz w:val="22"/>
                                <w:szCs w:val="22"/>
                              </w:rPr>
                              <w:t>CTM et CTAC</w:t>
                            </w:r>
                          </w:p>
                          <w:p w:rsidR="007B1397" w:rsidRPr="00FA54CF" w:rsidRDefault="007B1397" w:rsidP="0034289D">
                            <w:pPr>
                              <w:pStyle w:val="Paragraphedeliste"/>
                              <w:numPr>
                                <w:ilvl w:val="0"/>
                                <w:numId w:val="24"/>
                              </w:numPr>
                              <w:jc w:val="both"/>
                              <w:rPr>
                                <w:rFonts w:ascii="Arial" w:hAnsi="Arial"/>
                                <w:sz w:val="22"/>
                                <w:szCs w:val="22"/>
                              </w:rPr>
                            </w:pPr>
                            <w:r w:rsidRPr="00FA54CF">
                              <w:rPr>
                                <w:rFonts w:ascii="Arial" w:hAnsi="Arial"/>
                                <w:sz w:val="22"/>
                                <w:szCs w:val="22"/>
                              </w:rPr>
                              <w:t>CHSCTM et CHSCTAC</w:t>
                            </w:r>
                          </w:p>
                          <w:p w:rsidR="007B1397" w:rsidRPr="00FA54CF" w:rsidRDefault="007B1397" w:rsidP="0034289D">
                            <w:pPr>
                              <w:pStyle w:val="Paragraphedeliste"/>
                              <w:numPr>
                                <w:ilvl w:val="0"/>
                                <w:numId w:val="24"/>
                              </w:numPr>
                              <w:jc w:val="both"/>
                              <w:rPr>
                                <w:rFonts w:ascii="Arial" w:hAnsi="Arial"/>
                                <w:sz w:val="22"/>
                                <w:szCs w:val="22"/>
                              </w:rPr>
                            </w:pPr>
                            <w:r w:rsidRPr="00FA54CF">
                              <w:rPr>
                                <w:rFonts w:ascii="Arial" w:hAnsi="Arial"/>
                                <w:sz w:val="22"/>
                                <w:szCs w:val="22"/>
                              </w:rPr>
                              <w:t>CAP</w:t>
                            </w:r>
                          </w:p>
                          <w:p w:rsidR="007B1397" w:rsidRDefault="007B1397" w:rsidP="0034289D">
                            <w:pPr>
                              <w:pStyle w:val="Paragraphedeliste"/>
                              <w:numPr>
                                <w:ilvl w:val="0"/>
                                <w:numId w:val="24"/>
                              </w:numPr>
                              <w:jc w:val="both"/>
                              <w:rPr>
                                <w:rFonts w:ascii="Arial" w:hAnsi="Arial"/>
                                <w:sz w:val="22"/>
                                <w:szCs w:val="22"/>
                              </w:rPr>
                            </w:pPr>
                            <w:r w:rsidRPr="00FA54CF">
                              <w:rPr>
                                <w:rFonts w:ascii="Arial" w:hAnsi="Arial"/>
                                <w:sz w:val="22"/>
                                <w:szCs w:val="22"/>
                              </w:rPr>
                              <w:t>CCP transversales</w:t>
                            </w:r>
                          </w:p>
                          <w:p w:rsidR="007B1397" w:rsidRPr="00FA54CF" w:rsidRDefault="007B1397" w:rsidP="0034289D">
                            <w:pPr>
                              <w:pStyle w:val="Paragraphedeliste"/>
                              <w:numPr>
                                <w:ilvl w:val="0"/>
                                <w:numId w:val="24"/>
                              </w:numPr>
                              <w:jc w:val="both"/>
                              <w:rPr>
                                <w:rFonts w:ascii="Arial" w:hAnsi="Arial"/>
                                <w:sz w:val="22"/>
                                <w:szCs w:val="22"/>
                              </w:rPr>
                            </w:pPr>
                            <w:r>
                              <w:rPr>
                                <w:rFonts w:ascii="Arial" w:hAnsi="Arial"/>
                                <w:sz w:val="22"/>
                                <w:szCs w:val="22"/>
                              </w:rPr>
                              <w:t>CNAS</w:t>
                            </w:r>
                          </w:p>
                          <w:p w:rsidR="007B1397" w:rsidRPr="00FA54CF" w:rsidRDefault="007B1397" w:rsidP="00FA54CF">
                            <w:pPr>
                              <w:jc w:val="both"/>
                              <w:rPr>
                                <w:rFonts w:ascii="Arial" w:hAnsi="Arial"/>
                                <w:sz w:val="22"/>
                                <w:szCs w:val="22"/>
                              </w:rPr>
                            </w:pPr>
                          </w:p>
                          <w:p w:rsidR="007B1397" w:rsidRPr="00FA54CF" w:rsidRDefault="007B1397" w:rsidP="00FA54CF">
                            <w:pPr>
                              <w:spacing w:line="288" w:lineRule="auto"/>
                              <w:jc w:val="both"/>
                              <w:rPr>
                                <w:rFonts w:ascii="Arial" w:hAnsi="Arial"/>
                                <w:sz w:val="22"/>
                                <w:szCs w:val="22"/>
                              </w:rPr>
                            </w:pPr>
                            <w:r w:rsidRPr="00FA54CF">
                              <w:rPr>
                                <w:rFonts w:ascii="Arial" w:hAnsi="Arial"/>
                                <w:sz w:val="22"/>
                                <w:szCs w:val="22"/>
                              </w:rPr>
                              <w:t>Toutefois, bien que très exhaustive cette partie ne reflète pas l’intégralité du dialogue social formel (instances) et informel (groupes de travail, comité de suivi...) et ne couvre pas le champ des établissements publics et des DRAC.</w:t>
                            </w:r>
                          </w:p>
                          <w:p w:rsidR="007B1397" w:rsidRPr="00FA54CF" w:rsidRDefault="007B1397" w:rsidP="00FA54CF">
                            <w:pPr>
                              <w:jc w:val="both"/>
                              <w:rPr>
                                <w:rFonts w:ascii="Arial" w:hAnsi="Arial"/>
                                <w:sz w:val="22"/>
                                <w:szCs w:val="22"/>
                              </w:rPr>
                            </w:pPr>
                          </w:p>
                          <w:p w:rsidR="007B1397" w:rsidRPr="00FA54CF" w:rsidRDefault="007B1397" w:rsidP="00FA54CF">
                            <w:pPr>
                              <w:spacing w:line="288" w:lineRule="auto"/>
                              <w:jc w:val="both"/>
                              <w:rPr>
                                <w:rFonts w:ascii="Arial" w:hAnsi="Arial"/>
                                <w:sz w:val="22"/>
                                <w:szCs w:val="22"/>
                              </w:rPr>
                            </w:pPr>
                            <w:r w:rsidRPr="00FA54CF">
                              <w:rPr>
                                <w:rFonts w:ascii="Arial" w:hAnsi="Arial"/>
                                <w:sz w:val="22"/>
                                <w:szCs w:val="22"/>
                              </w:rPr>
                              <w:t>Il est fait état des mouvements sociaux nationaux et locaux ayant donné lieu à dépôt d’un préavis de grève.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7E5D5" id="Zone de texte 279" o:spid="_x0000_s1092" type="#_x0000_t202" style="position:absolute;margin-left:0;margin-top:19.2pt;width:3in;height:5in;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" filled="f" stroked="f">
                <v:textbox inset=",7.2pt,,7.2pt">
                  <w:txbxContent>
                    <w:p w:rsidR="007B1397" w:rsidRPr="00FA54CF" w:rsidRDefault="007B1397" w:rsidP="00FA54CF">
                      <w:pPr>
                        <w:spacing w:line="288" w:lineRule="auto"/>
                        <w:jc w:val="both"/>
                        <w:rPr>
                          <w:rFonts w:ascii="Arial" w:hAnsi="Arial"/>
                          <w:sz w:val="22"/>
                          <w:szCs w:val="22"/>
                        </w:rPr>
                      </w:pPr>
                      <w:r w:rsidRPr="00FA54CF">
                        <w:rPr>
                          <w:rFonts w:ascii="Arial" w:hAnsi="Arial"/>
                          <w:sz w:val="22"/>
                          <w:szCs w:val="22"/>
                        </w:rPr>
                        <w:t>Cette partie présente les instances de dialogue social réunies au cours de l’année 2013, dans le périmètre relevant de l’administration centrale :</w:t>
                      </w:r>
                    </w:p>
                    <w:p w:rsidR="007B1397" w:rsidRPr="00FA54CF" w:rsidRDefault="007B1397" w:rsidP="0034289D">
                      <w:pPr>
                        <w:pStyle w:val="Paragraphedeliste"/>
                        <w:numPr>
                          <w:ilvl w:val="0"/>
                          <w:numId w:val="24"/>
                        </w:numPr>
                        <w:jc w:val="both"/>
                        <w:rPr>
                          <w:rFonts w:ascii="Arial" w:hAnsi="Arial"/>
                          <w:sz w:val="22"/>
                          <w:szCs w:val="22"/>
                        </w:rPr>
                      </w:pPr>
                      <w:r w:rsidRPr="00FA54CF">
                        <w:rPr>
                          <w:rFonts w:ascii="Arial" w:hAnsi="Arial"/>
                          <w:sz w:val="22"/>
                          <w:szCs w:val="22"/>
                        </w:rPr>
                        <w:t>CTM et CTAC</w:t>
                      </w:r>
                    </w:p>
                    <w:p w:rsidR="007B1397" w:rsidRPr="00FA54CF" w:rsidRDefault="007B1397" w:rsidP="0034289D">
                      <w:pPr>
                        <w:pStyle w:val="Paragraphedeliste"/>
                        <w:numPr>
                          <w:ilvl w:val="0"/>
                          <w:numId w:val="24"/>
                        </w:numPr>
                        <w:jc w:val="both"/>
                        <w:rPr>
                          <w:rFonts w:ascii="Arial" w:hAnsi="Arial"/>
                          <w:sz w:val="22"/>
                          <w:szCs w:val="22"/>
                        </w:rPr>
                      </w:pPr>
                      <w:r w:rsidRPr="00FA54CF">
                        <w:rPr>
                          <w:rFonts w:ascii="Arial" w:hAnsi="Arial"/>
                          <w:sz w:val="22"/>
                          <w:szCs w:val="22"/>
                        </w:rPr>
                        <w:t>CHSCTM et CHSCTAC</w:t>
                      </w:r>
                    </w:p>
                    <w:p w:rsidR="007B1397" w:rsidRPr="00FA54CF" w:rsidRDefault="007B1397" w:rsidP="0034289D">
                      <w:pPr>
                        <w:pStyle w:val="Paragraphedeliste"/>
                        <w:numPr>
                          <w:ilvl w:val="0"/>
                          <w:numId w:val="24"/>
                        </w:numPr>
                        <w:jc w:val="both"/>
                        <w:rPr>
                          <w:rFonts w:ascii="Arial" w:hAnsi="Arial"/>
                          <w:sz w:val="22"/>
                          <w:szCs w:val="22"/>
                        </w:rPr>
                      </w:pPr>
                      <w:r w:rsidRPr="00FA54CF">
                        <w:rPr>
                          <w:rFonts w:ascii="Arial" w:hAnsi="Arial"/>
                          <w:sz w:val="22"/>
                          <w:szCs w:val="22"/>
                        </w:rPr>
                        <w:t>CAP</w:t>
                      </w:r>
                    </w:p>
                    <w:p w:rsidR="007B1397" w:rsidRDefault="007B1397" w:rsidP="0034289D">
                      <w:pPr>
                        <w:pStyle w:val="Paragraphedeliste"/>
                        <w:numPr>
                          <w:ilvl w:val="0"/>
                          <w:numId w:val="24"/>
                        </w:numPr>
                        <w:jc w:val="both"/>
                        <w:rPr>
                          <w:rFonts w:ascii="Arial" w:hAnsi="Arial"/>
                          <w:sz w:val="22"/>
                          <w:szCs w:val="22"/>
                        </w:rPr>
                      </w:pPr>
                      <w:r w:rsidRPr="00FA54CF">
                        <w:rPr>
                          <w:rFonts w:ascii="Arial" w:hAnsi="Arial"/>
                          <w:sz w:val="22"/>
                          <w:szCs w:val="22"/>
                        </w:rPr>
                        <w:t>CCP transversales</w:t>
                      </w:r>
                    </w:p>
                    <w:p w:rsidR="007B1397" w:rsidRPr="00FA54CF" w:rsidRDefault="007B1397" w:rsidP="0034289D">
                      <w:pPr>
                        <w:pStyle w:val="Paragraphedeliste"/>
                        <w:numPr>
                          <w:ilvl w:val="0"/>
                          <w:numId w:val="24"/>
                        </w:numPr>
                        <w:jc w:val="both"/>
                        <w:rPr>
                          <w:rFonts w:ascii="Arial" w:hAnsi="Arial"/>
                          <w:sz w:val="22"/>
                          <w:szCs w:val="22"/>
                        </w:rPr>
                      </w:pPr>
                      <w:r>
                        <w:rPr>
                          <w:rFonts w:ascii="Arial" w:hAnsi="Arial"/>
                          <w:sz w:val="22"/>
                          <w:szCs w:val="22"/>
                        </w:rPr>
                        <w:t>CNAS</w:t>
                      </w:r>
                    </w:p>
                    <w:p w:rsidR="007B1397" w:rsidRPr="00FA54CF" w:rsidRDefault="007B1397" w:rsidP="00FA54CF">
                      <w:pPr>
                        <w:jc w:val="both"/>
                        <w:rPr>
                          <w:rFonts w:ascii="Arial" w:hAnsi="Arial"/>
                          <w:sz w:val="22"/>
                          <w:szCs w:val="22"/>
                        </w:rPr>
                      </w:pPr>
                    </w:p>
                    <w:p w:rsidR="007B1397" w:rsidRPr="00FA54CF" w:rsidRDefault="007B1397" w:rsidP="00FA54CF">
                      <w:pPr>
                        <w:spacing w:line="288" w:lineRule="auto"/>
                        <w:jc w:val="both"/>
                        <w:rPr>
                          <w:rFonts w:ascii="Arial" w:hAnsi="Arial"/>
                          <w:sz w:val="22"/>
                          <w:szCs w:val="22"/>
                        </w:rPr>
                      </w:pPr>
                      <w:r w:rsidRPr="00FA54CF">
                        <w:rPr>
                          <w:rFonts w:ascii="Arial" w:hAnsi="Arial"/>
                          <w:sz w:val="22"/>
                          <w:szCs w:val="22"/>
                        </w:rPr>
                        <w:t>Toutefois, bien que très exhaustive cette partie ne reflète pas l’intégralité du dialogue social formel (instances) et informel (groupes de travail, comité de suivi...) et ne couvre pas le champ des établissements publics et des DRAC.</w:t>
                      </w:r>
                    </w:p>
                    <w:p w:rsidR="007B1397" w:rsidRPr="00FA54CF" w:rsidRDefault="007B1397" w:rsidP="00FA54CF">
                      <w:pPr>
                        <w:jc w:val="both"/>
                        <w:rPr>
                          <w:rFonts w:ascii="Arial" w:hAnsi="Arial"/>
                          <w:sz w:val="22"/>
                          <w:szCs w:val="22"/>
                        </w:rPr>
                      </w:pPr>
                    </w:p>
                    <w:p w:rsidR="007B1397" w:rsidRPr="00FA54CF" w:rsidRDefault="007B1397" w:rsidP="00FA54CF">
                      <w:pPr>
                        <w:spacing w:line="288" w:lineRule="auto"/>
                        <w:jc w:val="both"/>
                        <w:rPr>
                          <w:rFonts w:ascii="Arial" w:hAnsi="Arial"/>
                          <w:sz w:val="22"/>
                          <w:szCs w:val="22"/>
                        </w:rPr>
                      </w:pPr>
                      <w:r w:rsidRPr="00FA54CF">
                        <w:rPr>
                          <w:rFonts w:ascii="Arial" w:hAnsi="Arial"/>
                          <w:sz w:val="22"/>
                          <w:szCs w:val="22"/>
                        </w:rPr>
                        <w:t>Il est fait état des mouvements sociaux nationaux et locaux ayant donné lieu à dépôt d’un préavis de grève.</w:t>
                      </w:r>
                    </w:p>
                  </w:txbxContent>
                </v:textbox>
                <w10:wrap type="tight"/>
              </v:shape>
            </w:pict>
          </mc:Fallback>
        </mc:AlternateContent>
      </w: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48"/>
        </w:rPr>
      </w:pPr>
    </w:p>
    <w:p w:rsidR="00FA54CF" w:rsidRPr="00FA54CF" w:rsidRDefault="00FA54CF" w:rsidP="00FA54CF">
      <w:pPr>
        <w:tabs>
          <w:tab w:val="left" w:pos="1220"/>
        </w:tabs>
        <w:rPr>
          <w:rFonts w:ascii="BlairMdITC TT-Medium" w:eastAsia="Cambria" w:hAnsi="BlairMdITC TT-Medium" w:cs="Times New Roman"/>
          <w:b/>
          <w:color w:val="800000"/>
          <w:sz w:val="32"/>
        </w:rPr>
      </w:pPr>
    </w:p>
    <w:p w:rsidR="00FA54CF" w:rsidRPr="00FA54CF" w:rsidRDefault="00FA54CF" w:rsidP="00FA54CF">
      <w:pPr>
        <w:tabs>
          <w:tab w:val="left" w:pos="1220"/>
        </w:tabs>
        <w:rPr>
          <w:rFonts w:ascii="Florencesans Exp" w:eastAsia="Cambria" w:hAnsi="Florencesans Exp" w:cs="Times New Roman"/>
          <w:b/>
          <w:color w:val="008080"/>
          <w:sz w:val="28"/>
        </w:rPr>
      </w:pPr>
      <w:r w:rsidRPr="00FA54CF">
        <w:rPr>
          <w:rFonts w:ascii="Florencesans Exp" w:eastAsia="Cambria" w:hAnsi="Florencesans Exp" w:cs="Times New Roman"/>
          <w:b/>
          <w:color w:val="008080"/>
          <w:sz w:val="28"/>
        </w:rPr>
        <w:lastRenderedPageBreak/>
        <w:t>7. A. LES INSTANCES CONSULTATIVES</w:t>
      </w:r>
    </w:p>
    <w:p w:rsidR="00FA54CF" w:rsidRPr="00FA54CF" w:rsidRDefault="00FA54CF" w:rsidP="00FA54CF">
      <w:pPr>
        <w:widowControl w:val="0"/>
        <w:autoSpaceDE w:val="0"/>
        <w:autoSpaceDN w:val="0"/>
        <w:adjustRightInd w:val="0"/>
        <w:jc w:val="both"/>
        <w:rPr>
          <w:rFonts w:ascii="BlairMdITC TT-Medium" w:eastAsia="Cambria" w:hAnsi="BlairMdITC TT-Medium" w:cs="Times New Roman"/>
          <w:b/>
          <w:bCs/>
          <w:sz w:val="28"/>
          <w:szCs w:val="28"/>
        </w:rPr>
      </w:pPr>
    </w:p>
    <w:p w:rsidR="00FA54CF" w:rsidRPr="00FA54CF" w:rsidRDefault="00FA54CF" w:rsidP="00FA54CF">
      <w:pPr>
        <w:widowControl w:val="0"/>
        <w:autoSpaceDE w:val="0"/>
        <w:autoSpaceDN w:val="0"/>
        <w:adjustRightInd w:val="0"/>
        <w:jc w:val="both"/>
        <w:rPr>
          <w:rFonts w:ascii="Florencesans Exp" w:eastAsia="Cambria" w:hAnsi="Florencesans Exp" w:cs="Times New Roman"/>
        </w:rPr>
      </w:pPr>
      <w:r w:rsidRPr="00FA54CF">
        <w:rPr>
          <w:rFonts w:ascii="Florencesans Exp" w:eastAsia="Cambria" w:hAnsi="Florencesans Exp" w:cs="Times New Roman"/>
        </w:rPr>
        <w:t>7. A. 1. LES COMITES TECHNIQUES (CT)</w:t>
      </w:r>
    </w:p>
    <w:p w:rsidR="00FA54CF" w:rsidRPr="00FA54CF" w:rsidRDefault="00FA54CF" w:rsidP="00FA54CF">
      <w:pPr>
        <w:widowControl w:val="0"/>
        <w:autoSpaceDE w:val="0"/>
        <w:autoSpaceDN w:val="0"/>
        <w:adjustRightInd w:val="0"/>
        <w:jc w:val="both"/>
        <w:rPr>
          <w:rFonts w:ascii="BlairMdITC TT-Medium" w:eastAsia="Cambria" w:hAnsi="BlairMdITC TT-Medium" w:cs="Times New Roman"/>
        </w:rPr>
      </w:pPr>
    </w:p>
    <w:p w:rsidR="00FA54CF" w:rsidRPr="00FA54CF" w:rsidRDefault="00FA54CF" w:rsidP="00FA54CF">
      <w:pPr>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Les réunions des comités techniques ministériels en 2013 (4 effectivement tenues)</w:t>
      </w:r>
    </w:p>
    <w:p w:rsidR="00FA54CF" w:rsidRPr="00FA54CF" w:rsidRDefault="00FA54CF" w:rsidP="0034289D">
      <w:pPr>
        <w:numPr>
          <w:ilvl w:val="0"/>
          <w:numId w:val="25"/>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le 26 février 2013</w:t>
      </w:r>
      <w:r w:rsidRPr="00FA54CF">
        <w:rPr>
          <w:rFonts w:ascii="Arial" w:eastAsia="Times New Roman" w:hAnsi="Arial" w:cs="Arial"/>
          <w:color w:val="000000"/>
          <w:sz w:val="22"/>
          <w:szCs w:val="22"/>
          <w:lang w:eastAsia="fr-FR"/>
        </w:rPr>
        <w:t> : cette réunion, qui s'est tenue sous la présidence de la Directrice de Cabinet, a été consacrée à l'examen de deux projets de textes (</w:t>
      </w:r>
      <w:r w:rsidRPr="00FA54CF">
        <w:rPr>
          <w:rFonts w:ascii="Arial" w:eastAsia="Times New Roman" w:hAnsi="Arial" w:cs="Arial"/>
          <w:sz w:val="22"/>
          <w:szCs w:val="22"/>
          <w:lang w:eastAsia="fr-FR"/>
        </w:rPr>
        <w:t>arrêté relatif à la prorogation des membres des comités techniques, des comités d’hygiène, de sécurité et des conditions de travail, des commissions consultatives paritaires du ministère de la culture et de la communication et le décret relatif à l’ouverture des recrutements réservés pour l’accès aux corps de fonctionnaires de l’État des catégories A, B et C relevant du ministère de la Culture et de la Communication en application de la loi n° 2012-347 du 12 mars 2012).</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De nombreux points ont également été abordés, pour information. Il s'agit, notamment, de la présentation du bilan social ministériel 2011 et d'un état d'avancement de différents projets de loi (et notamment l’acte III de la décentralisation et ses implications pour le MCC ; la loi sur le patrimoine ; la loi sur la création artistique ; la loi sur l’enseignement supérieur et ses conséquences sur les politiques d’enseignement relevant de votre ministère, et sur le périmètre des écoles et des conservatoires). </w:t>
      </w:r>
    </w:p>
    <w:p w:rsidR="00FA54CF" w:rsidRPr="00FA54CF" w:rsidRDefault="00FA54CF" w:rsidP="0034289D">
      <w:pPr>
        <w:numPr>
          <w:ilvl w:val="0"/>
          <w:numId w:val="25"/>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le 19 avril 2013</w:t>
      </w:r>
      <w:r w:rsidRPr="00FA54CF">
        <w:rPr>
          <w:rFonts w:ascii="Arial" w:eastAsia="Times New Roman" w:hAnsi="Arial" w:cs="Arial"/>
          <w:sz w:val="22"/>
          <w:szCs w:val="22"/>
          <w:lang w:eastAsia="fr-FR"/>
        </w:rPr>
        <w:t xml:space="preserve">, le CTM s'est réuni </w:t>
      </w:r>
      <w:r w:rsidRPr="00FA54CF">
        <w:rPr>
          <w:rFonts w:ascii="Arial" w:eastAsia="Times New Roman" w:hAnsi="Arial" w:cs="Arial"/>
          <w:b/>
          <w:bCs/>
          <w:sz w:val="22"/>
          <w:szCs w:val="22"/>
          <w:lang w:eastAsia="fr-FR"/>
        </w:rPr>
        <w:t>sous la présidence de la Ministre</w:t>
      </w:r>
      <w:r w:rsidRPr="00FA54CF">
        <w:rPr>
          <w:rFonts w:ascii="Arial" w:eastAsia="Times New Roman" w:hAnsi="Arial" w:cs="Arial"/>
          <w:sz w:val="22"/>
          <w:szCs w:val="22"/>
          <w:lang w:eastAsia="fr-FR"/>
        </w:rPr>
        <w:t>. Cette séance fut principalement dédiée à la présentation du rapport de l'inspection générale des affaires culturelles relatif à l'évaluation des effets de la mise en œuvre de la révision générale des politiques publiques au ministère de la culture et de la communication (rapport commandé par la Ministre et qu'elle s'était engagée à présenter au CTM). Cela a donné lieu à un échange avec l'ensemble des organisations syndicales présentes (déclarations liminaires de chacune d'entre elles).</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En outre, cette réunion fut également l'occasion d'évoquer la politique muséale au Ministère (création du Mucem ; création d'un GIP-musées ; le dispositif des « agences »), le projet de transfert des activités et des personnels RMN-GP vers certains établissements publics administratifs (Orsay-Orangerie, Fontainebleau, CNHI) et la mise en place du dispositif des emplois d'avenir (ces deux points avaient inscrits lors du précédent CTM à la demande des représentants du personnel, mais non traités en séance).</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i/>
          <w:iCs/>
          <w:sz w:val="22"/>
          <w:szCs w:val="22"/>
          <w:lang w:eastAsia="fr-FR"/>
        </w:rPr>
        <w:t>Remarque</w:t>
      </w:r>
      <w:r w:rsidRPr="00FA54CF">
        <w:rPr>
          <w:rFonts w:ascii="Arial" w:eastAsia="Times New Roman" w:hAnsi="Arial" w:cs="Arial"/>
          <w:sz w:val="22"/>
          <w:szCs w:val="22"/>
          <w:lang w:eastAsia="fr-FR"/>
        </w:rPr>
        <w:t> : d'un point de vue juridique, ces points inscrits à l'ordre du jour ne nécessitaient pas un avis formel de l'instance. Aussi, aucun vote n'a été formalisé lors de cette réunion.</w:t>
      </w:r>
    </w:p>
    <w:p w:rsidR="00FA54CF" w:rsidRPr="00FA54CF" w:rsidRDefault="00FA54CF" w:rsidP="0034289D">
      <w:pPr>
        <w:numPr>
          <w:ilvl w:val="0"/>
          <w:numId w:val="26"/>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le 21 mai 2013</w:t>
      </w:r>
      <w:r w:rsidRPr="00FA54CF">
        <w:rPr>
          <w:rFonts w:ascii="Arial" w:eastAsia="Times New Roman" w:hAnsi="Arial" w:cs="Arial"/>
          <w:sz w:val="22"/>
          <w:szCs w:val="22"/>
          <w:lang w:eastAsia="fr-FR"/>
        </w:rPr>
        <w:t xml:space="preserve"> : le CTM a été présidé par la Directrice de Cabinet. Deux projets de décrets ont été étudiés pour avis (décret portant statut particulier du corps des secrétaires de documentation du ministère de la culture et décret modifiant le décret n° 2009-1393 du 11 novembre 2009 relatif aux missions et à l'organisation de l'administration centrale du ministère de la culture et de la communication : </w:t>
      </w:r>
      <w:r w:rsidRPr="00FA54CF">
        <w:rPr>
          <w:rFonts w:ascii="Arial" w:eastAsia="Times New Roman" w:hAnsi="Arial" w:cs="Arial"/>
          <w:i/>
          <w:iCs/>
          <w:sz w:val="22"/>
          <w:szCs w:val="22"/>
          <w:lang w:eastAsia="fr-FR"/>
        </w:rPr>
        <w:t>texte permettant d'acter le rattachement du DIC au secrétariat général)</w:t>
      </w:r>
      <w:r w:rsidRPr="00FA54CF">
        <w:rPr>
          <w:rFonts w:ascii="Arial" w:eastAsia="Times New Roman" w:hAnsi="Arial" w:cs="Arial"/>
          <w:sz w:val="22"/>
          <w:szCs w:val="22"/>
          <w:lang w:eastAsia="fr-FR"/>
        </w:rPr>
        <w:t>, ainsi que le plan formation 2013.</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Plusieurs points ont également été présentés pour information, tels que l'état d'avancement de la mise en œuvre de la modernisation de l'action publique (MAP) et </w:t>
      </w:r>
      <w:r w:rsidRPr="00FA54CF">
        <w:rPr>
          <w:rFonts w:ascii="Arial" w:eastAsia="Times New Roman" w:hAnsi="Arial" w:cs="Arial"/>
          <w:sz w:val="22"/>
          <w:szCs w:val="22"/>
          <w:lang w:eastAsia="fr-FR"/>
        </w:rPr>
        <w:lastRenderedPageBreak/>
        <w:t>du programme ministériel de modernisation et de simplification (PMMS), le suivi du dispositif des emplois d'avenir au MCC (sujet devant faire l'objet d'un point d'information récurrent lors des CTM sur l'année 2013) ou encore la présentation du bilan formation 2011.</w:t>
      </w:r>
    </w:p>
    <w:p w:rsidR="00FA54CF" w:rsidRPr="00FA54CF" w:rsidRDefault="00FA54CF" w:rsidP="0034289D">
      <w:pPr>
        <w:numPr>
          <w:ilvl w:val="0"/>
          <w:numId w:val="26"/>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le 14 novembre 2013 :</w:t>
      </w:r>
      <w:r w:rsidRPr="00FA54CF">
        <w:rPr>
          <w:rFonts w:ascii="Arial" w:eastAsia="Times New Roman" w:hAnsi="Arial" w:cs="Arial"/>
          <w:b/>
          <w:bCs/>
          <w:sz w:val="22"/>
          <w:szCs w:val="22"/>
          <w:lang w:eastAsia="fr-FR"/>
        </w:rPr>
        <w:t xml:space="preserve"> le CTM a été convoqué mais ne s’est pas tenu </w:t>
      </w:r>
      <w:r w:rsidRPr="00FA54CF">
        <w:rPr>
          <w:rFonts w:ascii="Arial" w:eastAsia="Times New Roman" w:hAnsi="Arial" w:cs="Arial"/>
          <w:sz w:val="22"/>
          <w:szCs w:val="22"/>
          <w:lang w:eastAsia="fr-FR"/>
        </w:rPr>
        <w:t xml:space="preserve">en raison de l’invasion de représentants du personnel. L’ordre du jour était le suivant : </w:t>
      </w:r>
      <w:r w:rsidRPr="00FA54CF">
        <w:rPr>
          <w:rFonts w:ascii="Arial" w:eastAsia="Times New Roman" w:hAnsi="Arial" w:cs="Arial"/>
          <w:sz w:val="22"/>
          <w:szCs w:val="22"/>
          <w:u w:val="single"/>
          <w:lang w:eastAsia="fr-FR"/>
        </w:rPr>
        <w:t>des points pour information</w:t>
      </w:r>
      <w:r w:rsidRPr="00FA54CF">
        <w:rPr>
          <w:rFonts w:ascii="Arial" w:eastAsia="Times New Roman" w:hAnsi="Arial" w:cs="Arial"/>
          <w:sz w:val="22"/>
          <w:szCs w:val="22"/>
          <w:lang w:eastAsia="fr-FR"/>
        </w:rPr>
        <w:t xml:space="preserve"> (présentation du tableau de suivi des précédents comités ministériels ; présentation du projet de loi de finances et Emplois 2014 ; présentation du bilan formation 2012 ; présentation de la note pluriannuelle d'orientation de la formation professionnelle continue 2014-2016) et l</w:t>
      </w:r>
      <w:r w:rsidRPr="00FA54CF">
        <w:rPr>
          <w:rFonts w:ascii="Arial" w:eastAsia="Times New Roman" w:hAnsi="Arial" w:cs="Arial"/>
          <w:sz w:val="22"/>
          <w:szCs w:val="22"/>
          <w:u w:val="single"/>
          <w:lang w:eastAsia="fr-FR"/>
        </w:rPr>
        <w:t>’examen de plusieurs textes réglementaires</w:t>
      </w:r>
      <w:r w:rsidRPr="00FA54CF">
        <w:rPr>
          <w:rFonts w:ascii="Arial" w:eastAsia="Times New Roman" w:hAnsi="Arial" w:cs="Arial"/>
          <w:sz w:val="22"/>
          <w:szCs w:val="22"/>
          <w:lang w:eastAsia="fr-FR"/>
        </w:rPr>
        <w:t xml:space="preserve"> (projet d'arrêté modifiant l'arrêté du 28 mars 2003 portant application au ministère de la culture et de la communication du décret n° 2002-634 du 29 avril 2002 relatif à la création du compte épargne-temps dans la fonction publique de l’État ; projet d’arrêté fixant les montants de référence de la prime de fonctions et de résultats applicables aux membres du corps et au chef du service de l’inspection générale des affaires culturelles ; projet d'arrêté relatif à la prorogation du mandat des membres de la commission administrative paritaire compétente à l'égard du corps des chefs de travaux d'art relevant du ministère de la culture et de la communication ; projet de décret n° 2013-419 du 22 mai 2013 relatif à l’ouverture des recrutements réservés pour l’accès aux corps de fonctionnaires de l’État relevant du ministre chargé de la culture).</w:t>
      </w:r>
    </w:p>
    <w:p w:rsidR="00FA54CF" w:rsidRPr="00FA54CF" w:rsidRDefault="00FA54CF" w:rsidP="0034289D">
      <w:pPr>
        <w:numPr>
          <w:ilvl w:val="0"/>
          <w:numId w:val="26"/>
        </w:numPr>
        <w:spacing w:after="119"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Le 22 novembre 2013 :</w:t>
      </w:r>
      <w:r w:rsidRPr="00FA54CF">
        <w:rPr>
          <w:rFonts w:ascii="Arial" w:eastAsia="Times New Roman" w:hAnsi="Arial" w:cs="Arial"/>
          <w:sz w:val="22"/>
          <w:szCs w:val="22"/>
          <w:lang w:eastAsia="fr-FR"/>
        </w:rPr>
        <w:t xml:space="preserve"> </w:t>
      </w:r>
      <w:r w:rsidRPr="00FA54CF">
        <w:rPr>
          <w:rFonts w:ascii="Arial" w:eastAsia="Times New Roman" w:hAnsi="Arial" w:cs="Arial"/>
          <w:b/>
          <w:bCs/>
          <w:sz w:val="22"/>
          <w:szCs w:val="22"/>
          <w:lang w:eastAsia="fr-FR"/>
        </w:rPr>
        <w:t>le CTM a été convoqué mais ne s’est pas tenu</w:t>
      </w:r>
      <w:r w:rsidRPr="00FA54CF">
        <w:rPr>
          <w:rFonts w:ascii="Arial" w:eastAsia="Times New Roman" w:hAnsi="Arial" w:cs="Arial"/>
          <w:sz w:val="22"/>
          <w:szCs w:val="22"/>
          <w:lang w:eastAsia="fr-FR"/>
        </w:rPr>
        <w:t xml:space="preserve"> suite à un boycott des organisations syndicales.</w:t>
      </w:r>
    </w:p>
    <w:p w:rsidR="00FA54CF" w:rsidRPr="00FA54CF" w:rsidRDefault="00FA54CF" w:rsidP="0034289D">
      <w:pPr>
        <w:numPr>
          <w:ilvl w:val="0"/>
          <w:numId w:val="26"/>
        </w:numPr>
        <w:spacing w:before="240" w:after="160"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le 13 décembre 2013 :</w:t>
      </w:r>
      <w:r w:rsidRPr="00FA54CF">
        <w:rPr>
          <w:rFonts w:ascii="Arial" w:eastAsia="Times New Roman" w:hAnsi="Arial" w:cs="Arial"/>
          <w:sz w:val="22"/>
          <w:szCs w:val="22"/>
          <w:lang w:eastAsia="fr-FR"/>
        </w:rPr>
        <w:t xml:space="preserve"> le CTM s’est réuni </w:t>
      </w:r>
      <w:r w:rsidRPr="00FA54CF">
        <w:rPr>
          <w:rFonts w:ascii="Arial" w:eastAsia="Times New Roman" w:hAnsi="Arial" w:cs="Arial"/>
          <w:b/>
          <w:sz w:val="22"/>
          <w:szCs w:val="22"/>
          <w:lang w:eastAsia="fr-FR"/>
        </w:rPr>
        <w:t>sous la présidence de la Ministre</w:t>
      </w:r>
      <w:r w:rsidRPr="00FA54CF">
        <w:rPr>
          <w:rFonts w:ascii="Arial" w:eastAsia="Times New Roman" w:hAnsi="Arial" w:cs="Arial"/>
          <w:sz w:val="22"/>
          <w:szCs w:val="22"/>
          <w:lang w:eastAsia="fr-FR"/>
        </w:rPr>
        <w:t xml:space="preserve">. L’ordre du jour du CTM qui devait initialement se tenir le 14 novembre 2013 est resté inchangé. Toutefois, l’administration a souhaité ajouter 2 points : </w:t>
      </w:r>
    </w:p>
    <w:p w:rsidR="00FA54CF" w:rsidRPr="00FA54CF" w:rsidRDefault="00FA54CF" w:rsidP="00FA54CF">
      <w:pPr>
        <w:ind w:left="720"/>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Projet de décret abrogeant certains statuts d'emploi des établissements publics du musée du Louvre et du musée et du domaine national de Versailles (</w:t>
      </w:r>
      <w:r w:rsidRPr="00FA54CF">
        <w:rPr>
          <w:rFonts w:ascii="Arial" w:eastAsia="Times New Roman" w:hAnsi="Arial" w:cs="Arial"/>
          <w:i/>
          <w:iCs/>
          <w:sz w:val="22"/>
          <w:szCs w:val="22"/>
          <w:lang w:eastAsia="fr-FR"/>
        </w:rPr>
        <w:t>pour avis</w:t>
      </w:r>
      <w:r w:rsidRPr="00FA54CF">
        <w:rPr>
          <w:rFonts w:ascii="Arial" w:eastAsia="Times New Roman" w:hAnsi="Arial" w:cs="Arial"/>
          <w:sz w:val="22"/>
          <w:szCs w:val="22"/>
          <w:lang w:eastAsia="fr-FR"/>
        </w:rPr>
        <w:t>) ;</w:t>
      </w:r>
      <w:r w:rsidRPr="00FA54CF">
        <w:rPr>
          <w:rFonts w:ascii="Arial" w:eastAsia="Times New Roman" w:hAnsi="Arial" w:cs="Arial"/>
          <w:b/>
          <w:bCs/>
          <w:sz w:val="22"/>
          <w:szCs w:val="22"/>
          <w:lang w:eastAsia="fr-FR"/>
        </w:rPr>
        <w:t xml:space="preserve"> </w:t>
      </w:r>
    </w:p>
    <w:p w:rsidR="00FA54CF" w:rsidRPr="00FA54CF" w:rsidRDefault="00FA54CF" w:rsidP="00FA54CF">
      <w:pPr>
        <w:ind w:left="720"/>
        <w:jc w:val="both"/>
        <w:rPr>
          <w:rFonts w:ascii="Arial" w:eastAsia="Times New Roman" w:hAnsi="Arial" w:cs="Arial"/>
          <w:b/>
          <w:bCs/>
          <w:sz w:val="22"/>
          <w:szCs w:val="22"/>
          <w:lang w:eastAsia="fr-FR"/>
        </w:rPr>
      </w:pPr>
      <w:r w:rsidRPr="00FA54CF">
        <w:rPr>
          <w:rFonts w:ascii="Arial" w:eastAsia="Times New Roman" w:hAnsi="Arial" w:cs="Arial"/>
          <w:sz w:val="22"/>
          <w:szCs w:val="22"/>
          <w:lang w:eastAsia="fr-FR"/>
        </w:rPr>
        <w:t>- Projet de décret abrogeant les dispositions relatives à certains emplois des établissements publics du musée du Louvre et du musée et du domaine national de Versailles (</w:t>
      </w:r>
      <w:r w:rsidRPr="00FA54CF">
        <w:rPr>
          <w:rFonts w:ascii="Arial" w:eastAsia="Times New Roman" w:hAnsi="Arial" w:cs="Arial"/>
          <w:i/>
          <w:iCs/>
          <w:sz w:val="22"/>
          <w:szCs w:val="22"/>
          <w:lang w:eastAsia="fr-FR"/>
        </w:rPr>
        <w:t>pour information</w:t>
      </w:r>
      <w:r w:rsidRPr="00FA54CF">
        <w:rPr>
          <w:rFonts w:ascii="Arial" w:eastAsia="Times New Roman" w:hAnsi="Arial" w:cs="Arial"/>
          <w:sz w:val="22"/>
          <w:szCs w:val="22"/>
          <w:lang w:eastAsia="fr-FR"/>
        </w:rPr>
        <w:t>).</w:t>
      </w:r>
      <w:r w:rsidRPr="00FA54CF">
        <w:rPr>
          <w:rFonts w:ascii="Arial" w:eastAsia="Times New Roman" w:hAnsi="Arial" w:cs="Arial"/>
          <w:b/>
          <w:bCs/>
          <w:sz w:val="22"/>
          <w:szCs w:val="22"/>
          <w:lang w:eastAsia="fr-FR"/>
        </w:rPr>
        <w:t xml:space="preserve"> </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Les réunions des comités techniques d'administration centrale en 2013 (1 réunion effectivement tenue)</w:t>
      </w:r>
    </w:p>
    <w:p w:rsidR="00FA54CF" w:rsidRPr="00FA54CF" w:rsidRDefault="00FA54CF" w:rsidP="0034289D">
      <w:pPr>
        <w:numPr>
          <w:ilvl w:val="0"/>
          <w:numId w:val="27"/>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26 avril 2013</w:t>
      </w:r>
      <w:r w:rsidRPr="00FA54CF">
        <w:rPr>
          <w:rFonts w:ascii="Arial" w:eastAsia="Times New Roman" w:hAnsi="Arial" w:cs="Arial"/>
          <w:color w:val="000000"/>
          <w:sz w:val="22"/>
          <w:szCs w:val="22"/>
          <w:lang w:eastAsia="fr-FR"/>
        </w:rPr>
        <w:t xml:space="preserve"> : ce comité fut principalement consacré à l'examen de l'arrêté modificatif de l'arrêté du 17 novembre 2009 relatif aux missions et à l'organisation du secrétariat général. </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xml:space="preserve">Ce projet de texte avait pour objectif de formaliser plusieurs réorganisations au sein du secrétariat général et notamment : </w:t>
      </w:r>
      <w:r w:rsidRPr="00FA54CF">
        <w:rPr>
          <w:rFonts w:ascii="Arial" w:eastAsia="Times New Roman" w:hAnsi="Arial" w:cs="Arial"/>
          <w:sz w:val="22"/>
          <w:szCs w:val="22"/>
          <w:lang w:eastAsia="fr-FR"/>
        </w:rPr>
        <w:t xml:space="preserve">le rattachement du département de l'information et de la communication auprès du Secrétaire général et sa transformation en « délégation » (ainsi qu'un ajustement de son organisation) ; le regroupement de deux entités documentaires au sein de la Mission de la politique documentaire au service de la coordination des politiques culturelles et de l'innovation (SCPCI), afin de valoriser la politique documentaire au sein du MCC ; la création d'un bureau des affaires transversales dans le cadre de la mise en place de l'Opération National de Paye (ONP) et le rattachement de la mission ONP auprès du chef du service des ressources humaines ; la transformation du « secrétariat général des programmes » en </w:t>
      </w:r>
      <w:r w:rsidRPr="00FA54CF">
        <w:rPr>
          <w:rFonts w:ascii="Arial" w:eastAsia="Times New Roman" w:hAnsi="Arial" w:cs="Arial"/>
          <w:sz w:val="22"/>
          <w:szCs w:val="22"/>
          <w:lang w:eastAsia="fr-FR"/>
        </w:rPr>
        <w:lastRenderedPageBreak/>
        <w:t xml:space="preserve">« département de la programmation et des moyens » et enfin </w:t>
      </w:r>
      <w:r w:rsidRPr="00FA54CF">
        <w:rPr>
          <w:rFonts w:ascii="Arial" w:eastAsia="Times New Roman" w:hAnsi="Arial" w:cs="Arial"/>
          <w:color w:val="000000"/>
          <w:sz w:val="22"/>
          <w:szCs w:val="22"/>
          <w:lang w:eastAsia="fr-FR"/>
        </w:rPr>
        <w:t>la fusion de deux bureaux à la Sous-direction des systèmes d'information (SDSI).</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xml:space="preserve">A noter également qu'un point sur le rapport de l'inspection générale des affaires culturelles relatif à l'évaluation des effets de la mise en œuvre de la révision générale des politiques publiques (RGGP) - et plus particulièrement pour ce qui a trait à l'administration centrale et au secrétariat général - a été inscrit à l'ordre du jour de ce CT AC à la demande de la délégation de la CGT-Culture (composée de 5 membres titulaires, soit la moitié des représentants titulaires du personnel). </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En outre, suite à une demande de la CGT-Culture formulée lors du CT AC du 12 décembre 2012, un point d'information sur le coût d'une ré-internalisation de la prestation de service téléphonique (10-10) a également été présenté.</w:t>
      </w:r>
    </w:p>
    <w:p w:rsidR="00FA54CF" w:rsidRPr="00FA54CF" w:rsidRDefault="00FA54CF" w:rsidP="0034289D">
      <w:pPr>
        <w:numPr>
          <w:ilvl w:val="0"/>
          <w:numId w:val="27"/>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le 20 décembre 2013</w:t>
      </w:r>
      <w:r w:rsidRPr="00FA54CF">
        <w:rPr>
          <w:rFonts w:ascii="Arial" w:eastAsia="Times New Roman" w:hAnsi="Arial" w:cs="Arial"/>
          <w:sz w:val="22"/>
          <w:szCs w:val="22"/>
          <w:lang w:eastAsia="fr-FR"/>
        </w:rPr>
        <w:t xml:space="preserve"> avec, à l’ordre du jour, l’arrêté modifiant l’arrêté du 17 novembre 2009 portant organisation et missions de l’administration centrale ; la mise en œuvre du raccordement à l’ONP et ses conséquences sur l’organisation, le fonctionnement des services en administration centrale. </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 xml:space="preserve">L’instance a été reportée </w:t>
      </w:r>
      <w:r w:rsidRPr="00FA54CF">
        <w:rPr>
          <w:rFonts w:ascii="Arial" w:eastAsia="Times New Roman" w:hAnsi="Arial" w:cs="Arial"/>
          <w:color w:val="000000"/>
          <w:sz w:val="22"/>
          <w:szCs w:val="22"/>
          <w:lang w:eastAsia="fr-FR"/>
        </w:rPr>
        <w:t xml:space="preserve">sur demande des représentants du personnel, membres du CT AC compte tenu de son ordre du jour (seul un point de présentation y était inscrit pour information suite au retrait du point relatif aux missions et à l’organisation de l’administration centrale). </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Les réunions des comités techniques de la direction générale des patrimoines (7 réunions effectivement tenues)</w:t>
      </w:r>
    </w:p>
    <w:p w:rsidR="00FA54CF" w:rsidRPr="00FA54CF" w:rsidRDefault="00FA54CF" w:rsidP="0034289D">
      <w:pPr>
        <w:numPr>
          <w:ilvl w:val="0"/>
          <w:numId w:val="28"/>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17 janvier 2013 </w:t>
      </w:r>
      <w:r w:rsidRPr="00FA54CF">
        <w:rPr>
          <w:rFonts w:ascii="Arial" w:eastAsia="Times New Roman" w:hAnsi="Arial" w:cs="Arial"/>
          <w:color w:val="000000"/>
          <w:sz w:val="22"/>
          <w:szCs w:val="22"/>
          <w:lang w:eastAsia="fr-FR"/>
        </w:rPr>
        <w:t xml:space="preserve">: instance convoquée </w:t>
      </w:r>
      <w:r w:rsidRPr="00FA54CF">
        <w:rPr>
          <w:rFonts w:ascii="Arial" w:eastAsia="Times New Roman" w:hAnsi="Arial" w:cs="Arial"/>
          <w:b/>
          <w:bCs/>
          <w:color w:val="000000"/>
          <w:sz w:val="22"/>
          <w:szCs w:val="22"/>
          <w:lang w:eastAsia="fr-FR"/>
        </w:rPr>
        <w:t>suite à un vote unanime défavorable</w:t>
      </w:r>
      <w:r w:rsidRPr="00FA54CF">
        <w:rPr>
          <w:rFonts w:ascii="Arial" w:eastAsia="Times New Roman" w:hAnsi="Arial" w:cs="Arial"/>
          <w:color w:val="000000"/>
          <w:sz w:val="22"/>
          <w:szCs w:val="22"/>
          <w:lang w:eastAsia="fr-FR"/>
        </w:rPr>
        <w:t xml:space="preserve"> au sens de l'article 48 du décret n° 2011-184 relatif aux comités techniques dans les administrations et les établissements publics de l’État sur le projet de décret portant création de l’Établissement public du musée des civilisations de l'Europe et de la Méditerranée (ce dernier avait été inscrit à l'ordre du jour du comité technique du 20 décembre 2012).</w:t>
      </w:r>
    </w:p>
    <w:p w:rsidR="00FA54CF" w:rsidRPr="00FA54CF" w:rsidRDefault="00FA54CF" w:rsidP="0034289D">
      <w:pPr>
        <w:numPr>
          <w:ilvl w:val="0"/>
          <w:numId w:val="28"/>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27 février 2013 :</w:t>
      </w:r>
      <w:r w:rsidRPr="00FA54CF">
        <w:rPr>
          <w:rFonts w:ascii="Arial" w:eastAsia="Times New Roman" w:hAnsi="Arial" w:cs="Arial"/>
          <w:color w:val="000000"/>
          <w:sz w:val="22"/>
          <w:szCs w:val="22"/>
          <w:lang w:eastAsia="fr-FR"/>
        </w:rPr>
        <w:t xml:space="preserve"> le CT de la direction générale des patrimoines a été convoqué mais ne s’est pas tenu : invasion de représentants du personnel, et boycott après la lecture d'une déclaration liminaire. La séance n'a pas été ouverte faute de quorum.</w:t>
      </w:r>
    </w:p>
    <w:p w:rsidR="00FA54CF" w:rsidRPr="00FA54CF" w:rsidRDefault="00FA54CF" w:rsidP="0034289D">
      <w:pPr>
        <w:numPr>
          <w:ilvl w:val="0"/>
          <w:numId w:val="28"/>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24 avril 2013 </w:t>
      </w:r>
      <w:r w:rsidRPr="00FA54CF">
        <w:rPr>
          <w:rFonts w:ascii="Arial" w:eastAsia="Times New Roman" w:hAnsi="Arial" w:cs="Arial"/>
          <w:color w:val="000000"/>
          <w:sz w:val="22"/>
          <w:szCs w:val="22"/>
          <w:lang w:eastAsia="fr-FR"/>
        </w:rPr>
        <w:t>: un p</w:t>
      </w:r>
      <w:r w:rsidRPr="00FA54CF">
        <w:rPr>
          <w:rFonts w:ascii="Arial" w:eastAsia="Times New Roman" w:hAnsi="Arial" w:cs="Arial"/>
          <w:sz w:val="22"/>
          <w:szCs w:val="22"/>
          <w:lang w:eastAsia="fr-FR"/>
        </w:rPr>
        <w:t>oint a été consacré à la formation continue. En outre, deux textes ont été examinés au cours de cette séance (le projet d'arrêté portant création du SCN Musée national et domaine du château de Pau et le projet d'arrêté créant le CT et le CHSCT de l’Établissement public du Mucem)</w:t>
      </w:r>
      <w:r w:rsidRPr="00FA54CF">
        <w:rPr>
          <w:rFonts w:ascii="Arial" w:eastAsia="Times New Roman" w:hAnsi="Arial" w:cs="Arial"/>
          <w:i/>
          <w:iCs/>
          <w:sz w:val="22"/>
          <w:szCs w:val="22"/>
          <w:lang w:eastAsia="fr-FR"/>
        </w:rPr>
        <w:t>.</w:t>
      </w:r>
      <w:r w:rsidRPr="00FA54CF">
        <w:rPr>
          <w:rFonts w:ascii="Arial" w:eastAsia="Times New Roman" w:hAnsi="Arial" w:cs="Arial"/>
          <w:sz w:val="22"/>
          <w:szCs w:val="22"/>
          <w:lang w:eastAsia="fr-FR"/>
        </w:rPr>
        <w:t xml:space="preserve"> Enfin, deux points pour information ont été faits : l'un sur le projet de loi patrimoines (</w:t>
      </w:r>
      <w:r w:rsidRPr="00FA54CF">
        <w:rPr>
          <w:rFonts w:ascii="Arial" w:eastAsia="Times New Roman" w:hAnsi="Arial" w:cs="Arial"/>
          <w:b/>
          <w:bCs/>
          <w:sz w:val="22"/>
          <w:szCs w:val="22"/>
          <w:lang w:eastAsia="fr-FR"/>
        </w:rPr>
        <w:t>point d'information récurrent sur l'ensemble de l'année 2013 et inscrit à l'ordre du jour de toutes les instances convoquées</w:t>
      </w:r>
      <w:r w:rsidRPr="00FA54CF">
        <w:rPr>
          <w:rFonts w:ascii="Arial" w:eastAsia="Times New Roman" w:hAnsi="Arial" w:cs="Arial"/>
          <w:sz w:val="22"/>
          <w:szCs w:val="22"/>
          <w:lang w:eastAsia="fr-FR"/>
        </w:rPr>
        <w:t xml:space="preserve">) et l'autre sur </w:t>
      </w:r>
      <w:r w:rsidRPr="00FA54CF">
        <w:rPr>
          <w:rFonts w:ascii="Arial" w:eastAsia="Times New Roman" w:hAnsi="Arial" w:cs="Arial"/>
          <w:color w:val="000000"/>
          <w:sz w:val="22"/>
          <w:szCs w:val="22"/>
          <w:lang w:eastAsia="fr-FR"/>
        </w:rPr>
        <w:t>les quatre premiers mois de fonctionnement du site des Archives nationales à Pierrefitte-sur-Seine.</w:t>
      </w:r>
    </w:p>
    <w:p w:rsidR="00FA54CF" w:rsidRPr="00FA54CF" w:rsidRDefault="00FA54CF" w:rsidP="0034289D">
      <w:pPr>
        <w:numPr>
          <w:ilvl w:val="0"/>
          <w:numId w:val="28"/>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6 mai 2013</w:t>
      </w:r>
      <w:r w:rsidRPr="00FA54CF">
        <w:rPr>
          <w:rFonts w:ascii="Arial" w:eastAsia="Times New Roman" w:hAnsi="Arial" w:cs="Arial"/>
          <w:sz w:val="22"/>
          <w:szCs w:val="22"/>
          <w:lang w:eastAsia="fr-FR"/>
        </w:rPr>
        <w:t xml:space="preserve"> : cette instance a été convoquée </w:t>
      </w:r>
      <w:r w:rsidRPr="00FA54CF">
        <w:rPr>
          <w:rFonts w:ascii="Arial" w:eastAsia="Times New Roman" w:hAnsi="Arial" w:cs="Arial"/>
          <w:b/>
          <w:bCs/>
          <w:sz w:val="22"/>
          <w:szCs w:val="22"/>
          <w:lang w:eastAsia="fr-FR"/>
        </w:rPr>
        <w:t>suite à un vote unanime défavorable</w:t>
      </w:r>
      <w:r w:rsidRPr="00FA54CF">
        <w:rPr>
          <w:rFonts w:ascii="Arial" w:eastAsia="Times New Roman" w:hAnsi="Arial" w:cs="Arial"/>
          <w:sz w:val="22"/>
          <w:szCs w:val="22"/>
          <w:lang w:eastAsia="fr-FR"/>
        </w:rPr>
        <w:t xml:space="preserve"> sur le projet d'a</w:t>
      </w:r>
      <w:r w:rsidRPr="00FA54CF">
        <w:rPr>
          <w:rFonts w:ascii="Arial" w:eastAsia="Times New Roman" w:hAnsi="Arial" w:cs="Arial"/>
          <w:color w:val="000000"/>
          <w:sz w:val="22"/>
          <w:szCs w:val="22"/>
          <w:lang w:eastAsia="fr-FR"/>
        </w:rPr>
        <w:t>rrêté créant le CT et le CHSCT de l’Établissement public du musée des civilisations de l'Europe et de la Méditerranée inscrit à l'ordre du jour du comité du 24 avril.</w:t>
      </w:r>
    </w:p>
    <w:p w:rsidR="00FA54CF" w:rsidRPr="00FA54CF" w:rsidRDefault="00FA54CF" w:rsidP="0034289D">
      <w:pPr>
        <w:numPr>
          <w:ilvl w:val="0"/>
          <w:numId w:val="28"/>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lastRenderedPageBreak/>
        <w:t>7 juin 2013</w:t>
      </w:r>
      <w:r w:rsidRPr="00FA54CF">
        <w:rPr>
          <w:rFonts w:ascii="Arial" w:eastAsia="Times New Roman" w:hAnsi="Arial" w:cs="Arial"/>
          <w:sz w:val="22"/>
          <w:szCs w:val="22"/>
          <w:lang w:eastAsia="fr-FR"/>
        </w:rPr>
        <w:t> : lors de ce comité, des points d'information ont été fait sur la situation des emplois à la direction générale des patrimoines et le p</w:t>
      </w:r>
      <w:r w:rsidRPr="00FA54CF">
        <w:rPr>
          <w:rFonts w:ascii="Arial" w:eastAsia="Times New Roman" w:hAnsi="Arial" w:cs="Arial"/>
          <w:color w:val="000000"/>
          <w:sz w:val="22"/>
          <w:szCs w:val="22"/>
          <w:lang w:eastAsia="fr-FR"/>
        </w:rPr>
        <w:t>rojet de loi patrimoines (volet archéologie).</w:t>
      </w:r>
    </w:p>
    <w:p w:rsidR="00FA54CF" w:rsidRPr="00FA54CF" w:rsidRDefault="00FA54CF" w:rsidP="0034289D">
      <w:pPr>
        <w:numPr>
          <w:ilvl w:val="0"/>
          <w:numId w:val="28"/>
        </w:numPr>
        <w:spacing w:before="100" w:beforeAutospacing="1" w:after="119" w:line="259" w:lineRule="auto"/>
        <w:jc w:val="both"/>
        <w:rPr>
          <w:rFonts w:ascii="Arial" w:eastAsia="Times New Roman" w:hAnsi="Arial" w:cs="Arial"/>
          <w:color w:val="000000"/>
          <w:sz w:val="22"/>
          <w:szCs w:val="22"/>
          <w:lang w:eastAsia="fr-FR"/>
        </w:rPr>
      </w:pPr>
      <w:r w:rsidRPr="00FA54CF">
        <w:rPr>
          <w:rFonts w:ascii="Arial" w:eastAsia="Times New Roman" w:hAnsi="Arial" w:cs="Arial"/>
          <w:color w:val="000000"/>
          <w:sz w:val="22"/>
          <w:szCs w:val="22"/>
          <w:u w:val="single"/>
          <w:lang w:eastAsia="fr-FR"/>
        </w:rPr>
        <w:t>26 juin 2013</w:t>
      </w:r>
      <w:r w:rsidRPr="00FA54CF">
        <w:rPr>
          <w:rFonts w:ascii="Arial" w:eastAsia="Times New Roman" w:hAnsi="Arial" w:cs="Arial"/>
          <w:color w:val="000000"/>
          <w:sz w:val="22"/>
          <w:szCs w:val="22"/>
          <w:lang w:eastAsia="fr-FR"/>
        </w:rPr>
        <w:t> : le projet d'organigramme du Musée national et domaine du château de Pau devait être examiné pour avis et un point d'information devait être consacré au projet de loi Patrimoines. Cependant, suite à des déclarations préliminaires de la part des organisations syndicales présentes, la séance n'a pas été ouverte faute de quorum.</w:t>
      </w:r>
    </w:p>
    <w:p w:rsidR="00FA54CF" w:rsidRPr="00FA54CF" w:rsidRDefault="00FA54CF" w:rsidP="0034289D">
      <w:pPr>
        <w:numPr>
          <w:ilvl w:val="0"/>
          <w:numId w:val="28"/>
        </w:numPr>
        <w:spacing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27 septembre 2013</w:t>
      </w:r>
      <w:r w:rsidRPr="00FA54CF">
        <w:rPr>
          <w:rFonts w:ascii="Arial" w:eastAsia="Times New Roman" w:hAnsi="Arial" w:cs="Arial"/>
          <w:color w:val="000000"/>
          <w:sz w:val="22"/>
          <w:szCs w:val="22"/>
          <w:lang w:eastAsia="fr-FR"/>
        </w:rPr>
        <w:t> : étaient inscrits à l'ordre du jour, les points suivants : p</w:t>
      </w:r>
      <w:r w:rsidRPr="00FA54CF">
        <w:rPr>
          <w:rFonts w:ascii="Arial" w:eastAsia="Times New Roman" w:hAnsi="Arial" w:cs="Arial"/>
          <w:sz w:val="22"/>
          <w:szCs w:val="22"/>
          <w:lang w:eastAsia="fr-FR"/>
        </w:rPr>
        <w:t>oint sur la réouverture de l'établissement public du Musée national Picasso-Paris (information concernant les effectifs et présentation du projet d'arrêté créant le CT et le CHSCT de cet établissement) ; le projet de modification des horaires d'ouverture du parc du Palais de Compiègne (point reporté) ; le projet d'organigramme du Musée national et domaine du château de Pau et enfin, un point d'information sur le projet de loi Patrimoines.</w:t>
      </w:r>
    </w:p>
    <w:p w:rsidR="00FA54CF" w:rsidRPr="00FA54CF" w:rsidRDefault="00FA54CF" w:rsidP="0034289D">
      <w:pPr>
        <w:numPr>
          <w:ilvl w:val="0"/>
          <w:numId w:val="28"/>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 xml:space="preserve">16 octobre 2013 : </w:t>
      </w:r>
      <w:r w:rsidRPr="00FA54CF">
        <w:rPr>
          <w:rFonts w:ascii="Arial" w:eastAsia="Times New Roman" w:hAnsi="Arial" w:cs="Arial"/>
          <w:sz w:val="22"/>
          <w:szCs w:val="22"/>
          <w:lang w:eastAsia="fr-FR"/>
        </w:rPr>
        <w:t>La réunion de ce CT, programmée sur une demi-journée, fait suite au CT du 27 septembre. Était inscrit à l'ordre du jour, le volet archéologie du projet de loi Patrimoines, qui n'avait pu être examiné lors du CT précédent. En outre, d'autres points ont été présentés pour information, à la demande des organisations syndicales (rapport Feltesse, point sur les archives départementales et sur les archives nationales à 30 ans, point sur le circuit de validation des avis publiés sur la BIEP relevant de la DGPAT).</w:t>
      </w:r>
    </w:p>
    <w:p w:rsidR="00FA54CF" w:rsidRPr="00FA54CF" w:rsidRDefault="00FA54CF" w:rsidP="0034289D">
      <w:pPr>
        <w:numPr>
          <w:ilvl w:val="0"/>
          <w:numId w:val="28"/>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11 décembre 2013</w:t>
      </w:r>
      <w:r w:rsidRPr="00FA54CF">
        <w:rPr>
          <w:rFonts w:ascii="Arial" w:eastAsia="Times New Roman" w:hAnsi="Arial" w:cs="Arial"/>
          <w:sz w:val="22"/>
          <w:szCs w:val="22"/>
          <w:lang w:eastAsia="fr-FR"/>
        </w:rPr>
        <w:t xml:space="preserve"> : </w:t>
      </w:r>
      <w:r w:rsidRPr="00FA54CF">
        <w:rPr>
          <w:rFonts w:ascii="Arial" w:eastAsia="Times New Roman" w:hAnsi="Arial" w:cs="Arial"/>
          <w:b/>
          <w:bCs/>
          <w:sz w:val="22"/>
          <w:szCs w:val="22"/>
          <w:lang w:eastAsia="fr-FR"/>
        </w:rPr>
        <w:t xml:space="preserve">CT de la Direction générale des patrimoines </w:t>
      </w:r>
      <w:r w:rsidRPr="00FA54CF">
        <w:rPr>
          <w:rFonts w:ascii="Arial" w:eastAsia="Times New Roman" w:hAnsi="Arial" w:cs="Arial"/>
          <w:sz w:val="22"/>
          <w:szCs w:val="22"/>
          <w:lang w:eastAsia="fr-FR"/>
        </w:rPr>
        <w:t xml:space="preserve">sur les points suivants : </w:t>
      </w:r>
    </w:p>
    <w:p w:rsidR="00FA54CF" w:rsidRPr="00FA54CF" w:rsidRDefault="00FA54CF" w:rsidP="00FA54CF">
      <w:pPr>
        <w:ind w:left="720"/>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 Point d'actualité sur l'antenne tourangelle du bureau de l'élaboration et de l'utilisation des inventaires archéologiques (ex-Centre national d'archéologie urbaine) ; </w:t>
      </w:r>
    </w:p>
    <w:p w:rsidR="00FA54CF" w:rsidRPr="00FA54CF" w:rsidRDefault="00FA54CF" w:rsidP="00FA54CF">
      <w:pPr>
        <w:ind w:left="720"/>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Point sur la formation continue à la DGP (Pré-bilan 2013 ; Offre de formation 2014) ;</w:t>
      </w:r>
    </w:p>
    <w:p w:rsidR="00FA54CF" w:rsidRPr="00FA54CF" w:rsidRDefault="00FA54CF" w:rsidP="00FA54CF">
      <w:pPr>
        <w:ind w:left="720"/>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Point sur les emplois à la DGP (Situation des effectifs au 30 septembre 2013 ; Schéma d'emploi 2014).</w:t>
      </w:r>
    </w:p>
    <w:p w:rsidR="00FA54CF" w:rsidRPr="00FA54CF" w:rsidRDefault="00FA54CF" w:rsidP="00FA54CF">
      <w:pPr>
        <w:ind w:left="720"/>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Les suites données aux discussions sur le volet archéologie du projet de loi patrimoines lors des précédentes séances du CT.</w:t>
      </w:r>
    </w:p>
    <w:p w:rsidR="00FA54CF" w:rsidRPr="00FA54CF" w:rsidRDefault="00FA54CF" w:rsidP="00FA54CF">
      <w:pPr>
        <w:ind w:left="720"/>
        <w:jc w:val="both"/>
        <w:rPr>
          <w:rFonts w:ascii="Arial" w:eastAsia="Times New Roman" w:hAnsi="Arial" w:cs="Arial"/>
          <w:sz w:val="22"/>
          <w:szCs w:val="22"/>
          <w:lang w:eastAsia="fr-FR"/>
        </w:rPr>
      </w:pP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Les réunions du comité technique de la direction générale de la création artistique (0 réunion effectivement tenue)</w:t>
      </w:r>
    </w:p>
    <w:p w:rsidR="00FA54CF" w:rsidRPr="00FA54CF" w:rsidRDefault="00FA54CF" w:rsidP="0034289D">
      <w:pPr>
        <w:numPr>
          <w:ilvl w:val="0"/>
          <w:numId w:val="29"/>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27 juin 2013</w:t>
      </w:r>
      <w:r w:rsidRPr="00FA54CF">
        <w:rPr>
          <w:rFonts w:ascii="Arial" w:eastAsia="Times New Roman" w:hAnsi="Arial" w:cs="Arial"/>
          <w:color w:val="000000"/>
          <w:sz w:val="22"/>
          <w:szCs w:val="22"/>
          <w:lang w:eastAsia="fr-FR"/>
        </w:rPr>
        <w:t xml:space="preserve"> : un tract des représentants de la CGT-Culture et de la CFDT-Culture a annoncé le boycott de cette instance, qui devait examiner le projet de règlement intérieur, le projet de service, l'implantation du service de l'inspection (danse et théâtre) et le télétravail. </w:t>
      </w:r>
      <w:r w:rsidRPr="00FA54CF">
        <w:rPr>
          <w:rFonts w:ascii="Arial" w:eastAsia="Times New Roman" w:hAnsi="Arial" w:cs="Arial"/>
          <w:b/>
          <w:bCs/>
          <w:color w:val="000000"/>
          <w:sz w:val="22"/>
          <w:szCs w:val="22"/>
          <w:lang w:eastAsia="fr-FR"/>
        </w:rPr>
        <w:t>Ce CT ne s'est finalement pas tenu et il n'a pas été reconvoqué</w:t>
      </w:r>
      <w:r w:rsidRPr="00FA54CF">
        <w:rPr>
          <w:rFonts w:ascii="Arial" w:eastAsia="Times New Roman" w:hAnsi="Arial" w:cs="Arial"/>
          <w:color w:val="000000"/>
          <w:sz w:val="22"/>
          <w:szCs w:val="22"/>
          <w:lang w:eastAsia="fr-FR"/>
        </w:rPr>
        <w:t>.</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Les réunions du comité technique de la direction générale des médias et industries culturelles (1 réunion effectivement tenue)</w:t>
      </w:r>
    </w:p>
    <w:p w:rsid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xml:space="preserve">Cette instance a été convoquée le </w:t>
      </w:r>
      <w:r w:rsidRPr="00FA54CF">
        <w:rPr>
          <w:rFonts w:ascii="Arial" w:eastAsia="Times New Roman" w:hAnsi="Arial" w:cs="Arial"/>
          <w:color w:val="000000"/>
          <w:sz w:val="22"/>
          <w:szCs w:val="22"/>
          <w:u w:val="single"/>
          <w:lang w:eastAsia="fr-FR"/>
        </w:rPr>
        <w:t>18 février 2013</w:t>
      </w:r>
      <w:r w:rsidRPr="00FA54CF">
        <w:rPr>
          <w:rFonts w:ascii="Arial" w:eastAsia="Times New Roman" w:hAnsi="Arial" w:cs="Arial"/>
          <w:color w:val="000000"/>
          <w:sz w:val="22"/>
          <w:szCs w:val="22"/>
          <w:lang w:eastAsia="fr-FR"/>
        </w:rPr>
        <w:t>, afin d'examiner le projet de règlement intérieur du comité</w:t>
      </w:r>
      <w:r w:rsidRPr="00FA54CF">
        <w:rPr>
          <w:rFonts w:ascii="Arial" w:eastAsia="Times New Roman" w:hAnsi="Arial" w:cs="Arial"/>
          <w:b/>
          <w:bCs/>
          <w:color w:val="000000"/>
          <w:sz w:val="22"/>
          <w:szCs w:val="22"/>
          <w:lang w:eastAsia="fr-FR"/>
        </w:rPr>
        <w:t xml:space="preserve"> </w:t>
      </w:r>
      <w:r w:rsidRPr="00FA54CF">
        <w:rPr>
          <w:rFonts w:ascii="Arial" w:eastAsia="Times New Roman" w:hAnsi="Arial" w:cs="Arial"/>
          <w:color w:val="000000"/>
          <w:sz w:val="22"/>
          <w:szCs w:val="22"/>
          <w:lang w:eastAsia="fr-FR"/>
        </w:rPr>
        <w:t>(ne s'étant pas réuni en 2012, le RI issu de la réforme du dialogue social n'avait pu être approuvé), le p</w:t>
      </w:r>
      <w:r w:rsidRPr="00FA54CF">
        <w:rPr>
          <w:rFonts w:ascii="Arial" w:eastAsia="Times New Roman" w:hAnsi="Arial" w:cs="Arial"/>
          <w:sz w:val="22"/>
          <w:szCs w:val="22"/>
          <w:lang w:eastAsia="fr-FR"/>
        </w:rPr>
        <w:t>lan de redéploiement au sein de la direction générale, le programme prévisionnel de formation Métiers 2013 au service du livre et de la lecture et la charte courriels du ministère (présentation, pour information).</w:t>
      </w:r>
    </w:p>
    <w:p w:rsidR="00FA54CF" w:rsidRPr="00FA54CF" w:rsidRDefault="00FA54CF" w:rsidP="00FA54CF">
      <w:pPr>
        <w:spacing w:before="100" w:beforeAutospacing="1"/>
        <w:jc w:val="both"/>
        <w:rPr>
          <w:rFonts w:ascii="Arial" w:eastAsia="Times New Roman" w:hAnsi="Arial" w:cs="Arial"/>
          <w:sz w:val="22"/>
          <w:szCs w:val="22"/>
          <w:lang w:eastAsia="fr-FR"/>
        </w:rPr>
      </w:pP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lastRenderedPageBreak/>
        <w:t>Les réunions du CT commun des ENSA (3 réunions effectivement tenues)</w:t>
      </w:r>
    </w:p>
    <w:p w:rsidR="00FA54CF" w:rsidRPr="00FA54CF" w:rsidRDefault="00FA54CF" w:rsidP="0034289D">
      <w:pPr>
        <w:numPr>
          <w:ilvl w:val="0"/>
          <w:numId w:val="30"/>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 xml:space="preserve">le 28 juin 2013. </w:t>
      </w:r>
      <w:r w:rsidRPr="00FA54CF">
        <w:rPr>
          <w:rFonts w:ascii="Arial" w:eastAsia="Times New Roman" w:hAnsi="Arial" w:cs="Arial"/>
          <w:sz w:val="22"/>
          <w:szCs w:val="22"/>
          <w:lang w:eastAsia="fr-FR"/>
        </w:rPr>
        <w:t>Était inscrit à l'ordre du jour pour avis le projet d'instruction relative au cadre de recrutement des enseignants non titulaires des écoles nationales supérieures d'architecture à compter de la rentrée 2013. En outre, d'autres points ont été présentés pour information tels que : la situation de l'emploi dans les ENSA, la mise en œuvre des contrats doctoraux et la méthode de concertation (organisation des travaux à mener) suite au rapport Feltesse</w:t>
      </w:r>
    </w:p>
    <w:p w:rsidR="00FA54CF" w:rsidRPr="00FA54CF" w:rsidRDefault="00FA54CF" w:rsidP="0034289D">
      <w:pPr>
        <w:numPr>
          <w:ilvl w:val="0"/>
          <w:numId w:val="30"/>
        </w:numPr>
        <w:spacing w:after="119"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le 11 juillet 2013</w:t>
      </w:r>
      <w:r w:rsidRPr="00FA54CF">
        <w:rPr>
          <w:rFonts w:ascii="Arial" w:eastAsia="Times New Roman" w:hAnsi="Arial" w:cs="Arial"/>
          <w:color w:val="000000"/>
          <w:sz w:val="22"/>
          <w:szCs w:val="22"/>
          <w:u w:val="single"/>
          <w:lang w:eastAsia="fr-FR"/>
        </w:rPr>
        <w:t> </w:t>
      </w:r>
      <w:r w:rsidRPr="00FA54CF">
        <w:rPr>
          <w:rFonts w:ascii="Arial" w:eastAsia="Times New Roman" w:hAnsi="Arial" w:cs="Arial"/>
          <w:color w:val="000000"/>
          <w:sz w:val="22"/>
          <w:szCs w:val="22"/>
          <w:lang w:eastAsia="fr-FR"/>
        </w:rPr>
        <w:t xml:space="preserve">: instance convoquée </w:t>
      </w:r>
      <w:r w:rsidRPr="00FA54CF">
        <w:rPr>
          <w:rFonts w:ascii="Arial" w:eastAsia="Times New Roman" w:hAnsi="Arial" w:cs="Arial"/>
          <w:b/>
          <w:bCs/>
          <w:color w:val="000000"/>
          <w:sz w:val="22"/>
          <w:szCs w:val="22"/>
          <w:lang w:eastAsia="fr-FR"/>
        </w:rPr>
        <w:t>suite à un vote unanime défavorable</w:t>
      </w:r>
      <w:r w:rsidRPr="00FA54CF">
        <w:rPr>
          <w:rFonts w:ascii="Arial" w:eastAsia="Times New Roman" w:hAnsi="Arial" w:cs="Arial"/>
          <w:color w:val="000000"/>
          <w:sz w:val="22"/>
          <w:szCs w:val="22"/>
          <w:lang w:eastAsia="fr-FR"/>
        </w:rPr>
        <w:t xml:space="preserve"> au sens de l'article 48 du décret n° 2011-184 relatif aux comités techniques dans les administrations et les établissements publics de l’État sur le projet d'instruction relative au cadre de recrutement des enseignants non titulaires des écoles nationales supérieures d'architecture à compter de la rentrée 2013 lors du CT précédent.</w:t>
      </w:r>
    </w:p>
    <w:p w:rsidR="00FA54CF" w:rsidRPr="00FA54CF" w:rsidRDefault="00FA54CF" w:rsidP="0034289D">
      <w:pPr>
        <w:numPr>
          <w:ilvl w:val="0"/>
          <w:numId w:val="30"/>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le 15 novembre 2013</w:t>
      </w:r>
      <w:r w:rsidRPr="00FA54CF">
        <w:rPr>
          <w:rFonts w:ascii="Arial" w:eastAsia="Times New Roman" w:hAnsi="Arial" w:cs="Arial"/>
          <w:sz w:val="22"/>
          <w:szCs w:val="22"/>
          <w:lang w:eastAsia="fr-FR"/>
        </w:rPr>
        <w:t xml:space="preserve"> avec, entre autres, à l’ordre du jour un point sur la notification 2014 des effectifs T2 et T3, un point d’information sur l’application du cadre de recrutement des enseignants et non-titulaires dans les écoles nationales supérieures d’architecture, un point d’actualité sur les contrats doctoraux passés et à venir, un point d’information sur l’utilisation de TaïGA (logiciel de gestion des personnels propre aux ENSA) et un point sur l’insertion professionnelle des étudiants. </w:t>
      </w:r>
    </w:p>
    <w:p w:rsidR="00FA54CF" w:rsidRPr="00FA54CF" w:rsidRDefault="00FA54CF" w:rsidP="00FA54CF">
      <w:pPr>
        <w:spacing w:before="100" w:beforeAutospacing="1"/>
        <w:ind w:left="720"/>
        <w:jc w:val="both"/>
        <w:rPr>
          <w:rFonts w:ascii="Arial" w:eastAsia="Times New Roman" w:hAnsi="Arial" w:cs="Arial"/>
          <w:b/>
          <w:bCs/>
          <w:color w:val="000000"/>
          <w:sz w:val="22"/>
          <w:szCs w:val="22"/>
          <w:u w:val="single"/>
          <w:lang w:eastAsia="fr-FR"/>
        </w:rPr>
      </w:pPr>
      <w:r w:rsidRPr="00FA54CF">
        <w:rPr>
          <w:rFonts w:ascii="Arial" w:eastAsia="Times New Roman" w:hAnsi="Arial" w:cs="Arial"/>
          <w:b/>
          <w:bCs/>
          <w:color w:val="000000"/>
          <w:sz w:val="22"/>
          <w:szCs w:val="22"/>
          <w:lang w:eastAsia="fr-FR"/>
        </w:rPr>
        <w:t xml:space="preserve">L’instance qui devait avoir lieu initialement le 15 novembre a été boycottée par les organisations syndicales, elle a donc fait l’objet d’une reconvocation </w:t>
      </w:r>
      <w:r w:rsidRPr="00FA54CF">
        <w:rPr>
          <w:rFonts w:ascii="Arial" w:eastAsia="Times New Roman" w:hAnsi="Arial" w:cs="Arial"/>
          <w:b/>
          <w:bCs/>
          <w:color w:val="000000"/>
          <w:sz w:val="22"/>
          <w:szCs w:val="22"/>
          <w:u w:val="single"/>
          <w:lang w:eastAsia="fr-FR"/>
        </w:rPr>
        <w:t>le 26 novembre 2013.</w:t>
      </w:r>
      <w:r w:rsidRPr="00FA54CF">
        <w:rPr>
          <w:rFonts w:ascii="Arial" w:eastAsia="Times New Roman" w:hAnsi="Arial" w:cs="Arial"/>
          <w:b/>
          <w:bCs/>
          <w:color w:val="000000"/>
          <w:sz w:val="22"/>
          <w:szCs w:val="22"/>
          <w:lang w:eastAsia="fr-FR"/>
        </w:rPr>
        <w:t xml:space="preserve"> Toutefois, en raison de la grève nationale relative à la défense des retraites, il a été décidé de reporter l’instance au</w:t>
      </w:r>
      <w:r w:rsidRPr="00FA54CF">
        <w:rPr>
          <w:rFonts w:ascii="Arial" w:eastAsia="Times New Roman" w:hAnsi="Arial" w:cs="Arial"/>
          <w:b/>
          <w:bCs/>
          <w:color w:val="000000"/>
          <w:sz w:val="22"/>
          <w:szCs w:val="22"/>
          <w:u w:val="single"/>
          <w:lang w:eastAsia="fr-FR"/>
        </w:rPr>
        <w:t xml:space="preserve"> 4 décembre 2013.</w:t>
      </w:r>
    </w:p>
    <w:p w:rsidR="00FA54CF" w:rsidRPr="00FA54CF" w:rsidRDefault="00FA54CF" w:rsidP="00FA54CF">
      <w:pPr>
        <w:spacing w:before="100" w:beforeAutospacing="1"/>
        <w:ind w:left="720"/>
        <w:rPr>
          <w:rFonts w:ascii="Times New Roman" w:eastAsia="Times New Roman" w:hAnsi="Times New Roman" w:cs="Times New Roman"/>
          <w:lang w:eastAsia="fr-FR"/>
        </w:rPr>
      </w:pPr>
    </w:p>
    <w:p w:rsidR="00FA54CF" w:rsidRPr="00FA54CF" w:rsidRDefault="00FA54CF" w:rsidP="00FA54CF">
      <w:pPr>
        <w:widowControl w:val="0"/>
        <w:autoSpaceDE w:val="0"/>
        <w:autoSpaceDN w:val="0"/>
        <w:adjustRightInd w:val="0"/>
        <w:jc w:val="center"/>
        <w:rPr>
          <w:rFonts w:ascii="Arial" w:eastAsia="Cambria" w:hAnsi="Arial" w:cs="Times New Roman"/>
          <w:b/>
          <w:bCs/>
        </w:rPr>
      </w:pPr>
      <w:r w:rsidRPr="00FA54CF">
        <w:rPr>
          <w:rFonts w:ascii="Arial" w:eastAsia="Cambria" w:hAnsi="Arial" w:cs="Times New Roman"/>
          <w:b/>
          <w:bCs/>
        </w:rPr>
        <w:t xml:space="preserve">Tableau récapitulatif </w:t>
      </w:r>
    </w:p>
    <w:p w:rsidR="00FA54CF" w:rsidRPr="00FA54CF" w:rsidRDefault="00FA54CF" w:rsidP="00FA54CF">
      <w:pPr>
        <w:widowControl w:val="0"/>
        <w:autoSpaceDE w:val="0"/>
        <w:autoSpaceDN w:val="0"/>
        <w:adjustRightInd w:val="0"/>
        <w:jc w:val="center"/>
        <w:rPr>
          <w:rFonts w:ascii="Arial" w:eastAsia="Cambria" w:hAnsi="Arial" w:cs="Times New Roman"/>
          <w:b/>
          <w:bCs/>
        </w:rPr>
      </w:pPr>
    </w:p>
    <w:tbl>
      <w:tblPr>
        <w:tblW w:w="9320" w:type="dxa"/>
        <w:tblCellMar>
          <w:left w:w="70" w:type="dxa"/>
          <w:right w:w="70" w:type="dxa"/>
        </w:tblCellMar>
        <w:tblLook w:val="04A0" w:firstRow="1" w:lastRow="0" w:firstColumn="1" w:lastColumn="0" w:noHBand="0" w:noVBand="1"/>
      </w:tblPr>
      <w:tblGrid>
        <w:gridCol w:w="1520"/>
        <w:gridCol w:w="2160"/>
        <w:gridCol w:w="1880"/>
        <w:gridCol w:w="1880"/>
        <w:gridCol w:w="1880"/>
      </w:tblGrid>
      <w:tr w:rsidR="00FA54CF" w:rsidRPr="00FA54CF" w:rsidTr="001445B4">
        <w:trPr>
          <w:trHeight w:val="1150"/>
        </w:trPr>
        <w:tc>
          <w:tcPr>
            <w:tcW w:w="1520" w:type="dxa"/>
            <w:tcBorders>
              <w:top w:val="nil"/>
              <w:left w:val="nil"/>
              <w:bottom w:val="nil"/>
              <w:right w:val="nil"/>
            </w:tcBorders>
            <w:shd w:val="clear" w:color="auto" w:fill="auto"/>
            <w:noWrap/>
            <w:vAlign w:val="bottom"/>
            <w:hideMark/>
          </w:tcPr>
          <w:p w:rsidR="00FA54CF" w:rsidRPr="00FA54CF" w:rsidRDefault="00FA54CF" w:rsidP="00FA54CF">
            <w:pPr>
              <w:rPr>
                <w:rFonts w:ascii="Times New Roman" w:eastAsia="Times New Roman" w:hAnsi="Times New Roman" w:cs="Times New Roman"/>
                <w:lang w:eastAsia="fr-FR"/>
              </w:rPr>
            </w:pPr>
          </w:p>
        </w:tc>
        <w:tc>
          <w:tcPr>
            <w:tcW w:w="2160" w:type="dxa"/>
            <w:tcBorders>
              <w:top w:val="single" w:sz="4" w:space="0" w:color="A6A6A6"/>
              <w:left w:val="single" w:sz="4" w:space="0" w:color="A6A6A6"/>
              <w:bottom w:val="single" w:sz="4" w:space="0" w:color="A6A6A6"/>
              <w:right w:val="single" w:sz="4" w:space="0" w:color="A6A6A6"/>
            </w:tcBorders>
            <w:shd w:val="clear" w:color="CCCCFF" w:fill="008080"/>
            <w:vAlign w:val="center"/>
            <w:hideMark/>
          </w:tcPr>
          <w:p w:rsidR="00FA54CF" w:rsidRPr="00FA54CF" w:rsidRDefault="00FA54CF" w:rsidP="00FA54CF">
            <w:pPr>
              <w:jc w:val="center"/>
              <w:rPr>
                <w:rFonts w:ascii="Arial" w:eastAsia="Times New Roman" w:hAnsi="Arial" w:cs="Arial"/>
                <w:b/>
                <w:bCs/>
                <w:color w:val="FFFFFF"/>
                <w:sz w:val="18"/>
                <w:szCs w:val="18"/>
                <w:lang w:eastAsia="fr-FR"/>
              </w:rPr>
            </w:pPr>
            <w:r w:rsidRPr="00FA54CF">
              <w:rPr>
                <w:rFonts w:ascii="Arial" w:eastAsia="Times New Roman" w:hAnsi="Arial" w:cs="Arial"/>
                <w:b/>
                <w:bCs/>
                <w:color w:val="FFFFFF"/>
                <w:sz w:val="18"/>
                <w:szCs w:val="18"/>
                <w:lang w:eastAsia="fr-FR"/>
              </w:rPr>
              <w:t>Nombre d’instances convoquées</w:t>
            </w:r>
          </w:p>
        </w:tc>
        <w:tc>
          <w:tcPr>
            <w:tcW w:w="1880" w:type="dxa"/>
            <w:tcBorders>
              <w:top w:val="single" w:sz="4" w:space="0" w:color="A6A6A6"/>
              <w:left w:val="nil"/>
              <w:bottom w:val="single" w:sz="4" w:space="0" w:color="A6A6A6"/>
              <w:right w:val="single" w:sz="4" w:space="0" w:color="A6A6A6"/>
            </w:tcBorders>
            <w:shd w:val="clear" w:color="CCCCFF" w:fill="008080"/>
            <w:vAlign w:val="center"/>
            <w:hideMark/>
          </w:tcPr>
          <w:p w:rsidR="00FA54CF" w:rsidRPr="00FA54CF" w:rsidRDefault="00FA54CF" w:rsidP="00FA54CF">
            <w:pPr>
              <w:jc w:val="center"/>
              <w:rPr>
                <w:rFonts w:ascii="Arial" w:eastAsia="Times New Roman" w:hAnsi="Arial" w:cs="Arial"/>
                <w:b/>
                <w:bCs/>
                <w:color w:val="FFFFFF"/>
                <w:sz w:val="18"/>
                <w:szCs w:val="18"/>
                <w:lang w:eastAsia="fr-FR"/>
              </w:rPr>
            </w:pPr>
            <w:r w:rsidRPr="00FA54CF">
              <w:rPr>
                <w:rFonts w:ascii="Arial" w:eastAsia="Times New Roman" w:hAnsi="Arial" w:cs="Arial"/>
                <w:b/>
                <w:bCs/>
                <w:color w:val="FFFFFF"/>
                <w:sz w:val="18"/>
                <w:szCs w:val="18"/>
                <w:lang w:eastAsia="fr-FR"/>
              </w:rPr>
              <w:t>Nombre d’instances effectivement tenues</w:t>
            </w:r>
          </w:p>
        </w:tc>
        <w:tc>
          <w:tcPr>
            <w:tcW w:w="1880" w:type="dxa"/>
            <w:tcBorders>
              <w:top w:val="single" w:sz="4" w:space="0" w:color="A6A6A6"/>
              <w:left w:val="nil"/>
              <w:bottom w:val="single" w:sz="4" w:space="0" w:color="A6A6A6"/>
              <w:right w:val="single" w:sz="4" w:space="0" w:color="A6A6A6"/>
            </w:tcBorders>
            <w:shd w:val="clear" w:color="CCCCFF" w:fill="008080"/>
            <w:vAlign w:val="center"/>
            <w:hideMark/>
          </w:tcPr>
          <w:p w:rsidR="00FA54CF" w:rsidRPr="00FA54CF" w:rsidRDefault="00FA54CF" w:rsidP="00FA54CF">
            <w:pPr>
              <w:jc w:val="center"/>
              <w:rPr>
                <w:rFonts w:ascii="Arial" w:eastAsia="Times New Roman" w:hAnsi="Arial" w:cs="Arial"/>
                <w:b/>
                <w:bCs/>
                <w:color w:val="FFFFFF"/>
                <w:sz w:val="18"/>
                <w:szCs w:val="18"/>
                <w:lang w:eastAsia="fr-FR"/>
              </w:rPr>
            </w:pPr>
            <w:r w:rsidRPr="00FA54CF">
              <w:rPr>
                <w:rFonts w:ascii="Arial" w:eastAsia="Times New Roman" w:hAnsi="Arial" w:cs="Arial"/>
                <w:b/>
                <w:bCs/>
                <w:color w:val="FFFFFF"/>
                <w:sz w:val="18"/>
                <w:szCs w:val="18"/>
                <w:lang w:eastAsia="fr-FR"/>
              </w:rPr>
              <w:t>Nombre d’instances reconvoquées faute de quorum</w:t>
            </w:r>
          </w:p>
        </w:tc>
        <w:tc>
          <w:tcPr>
            <w:tcW w:w="1880" w:type="dxa"/>
            <w:tcBorders>
              <w:top w:val="single" w:sz="4" w:space="0" w:color="A6A6A6"/>
              <w:left w:val="nil"/>
              <w:bottom w:val="single" w:sz="4" w:space="0" w:color="A6A6A6"/>
              <w:right w:val="single" w:sz="4" w:space="0" w:color="A6A6A6"/>
            </w:tcBorders>
            <w:shd w:val="clear" w:color="CCCCFF" w:fill="008080"/>
            <w:vAlign w:val="center"/>
            <w:hideMark/>
          </w:tcPr>
          <w:p w:rsidR="00FA54CF" w:rsidRPr="00FA54CF" w:rsidRDefault="00FA54CF" w:rsidP="00FA54CF">
            <w:pPr>
              <w:jc w:val="center"/>
              <w:rPr>
                <w:rFonts w:ascii="Arial" w:eastAsia="Times New Roman" w:hAnsi="Arial" w:cs="Arial"/>
                <w:b/>
                <w:bCs/>
                <w:color w:val="FFFFFF"/>
                <w:sz w:val="18"/>
                <w:szCs w:val="18"/>
                <w:lang w:eastAsia="fr-FR"/>
              </w:rPr>
            </w:pPr>
            <w:r w:rsidRPr="00FA54CF">
              <w:rPr>
                <w:rFonts w:ascii="Arial" w:eastAsia="Times New Roman" w:hAnsi="Arial" w:cs="Arial"/>
                <w:b/>
                <w:bCs/>
                <w:color w:val="FFFFFF"/>
                <w:sz w:val="18"/>
                <w:szCs w:val="18"/>
                <w:lang w:eastAsia="fr-FR"/>
              </w:rPr>
              <w:t>Nombre d’instances reconvoquées en raison d’un vote défavorable unanime</w:t>
            </w:r>
          </w:p>
        </w:tc>
      </w:tr>
      <w:tr w:rsidR="00FA54CF" w:rsidRPr="00FA54CF" w:rsidTr="001445B4">
        <w:trPr>
          <w:trHeight w:val="250"/>
        </w:trPr>
        <w:tc>
          <w:tcPr>
            <w:tcW w:w="1520" w:type="dxa"/>
            <w:tcBorders>
              <w:top w:val="single" w:sz="4" w:space="0" w:color="A6A6A6"/>
              <w:left w:val="single" w:sz="4" w:space="0" w:color="A6A6A6"/>
              <w:bottom w:val="single" w:sz="4" w:space="0" w:color="A6A6A6"/>
              <w:right w:val="single" w:sz="4" w:space="0" w:color="A6A6A6"/>
            </w:tcBorders>
            <w:shd w:val="clear" w:color="FF99CC" w:fill="BFBFBF"/>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CTM</w:t>
            </w:r>
          </w:p>
        </w:tc>
        <w:tc>
          <w:tcPr>
            <w:tcW w:w="216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6</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4</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r>
      <w:tr w:rsidR="00FA54CF" w:rsidRPr="00FA54CF" w:rsidTr="001445B4">
        <w:trPr>
          <w:trHeight w:val="250"/>
        </w:trPr>
        <w:tc>
          <w:tcPr>
            <w:tcW w:w="1520" w:type="dxa"/>
            <w:tcBorders>
              <w:top w:val="nil"/>
              <w:left w:val="single" w:sz="4" w:space="0" w:color="A6A6A6"/>
              <w:bottom w:val="single" w:sz="4" w:space="0" w:color="A6A6A6"/>
              <w:right w:val="single" w:sz="4" w:space="0" w:color="A6A6A6"/>
            </w:tcBorders>
            <w:shd w:val="clear" w:color="FF99CC" w:fill="BFBFBF"/>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CT AC</w:t>
            </w:r>
          </w:p>
        </w:tc>
        <w:tc>
          <w:tcPr>
            <w:tcW w:w="216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2</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1</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r>
      <w:tr w:rsidR="00FA54CF" w:rsidRPr="00FA54CF" w:rsidTr="001445B4">
        <w:trPr>
          <w:trHeight w:val="250"/>
        </w:trPr>
        <w:tc>
          <w:tcPr>
            <w:tcW w:w="1520" w:type="dxa"/>
            <w:tcBorders>
              <w:top w:val="nil"/>
              <w:left w:val="single" w:sz="4" w:space="0" w:color="A6A6A6"/>
              <w:bottom w:val="single" w:sz="4" w:space="0" w:color="A6A6A6"/>
              <w:right w:val="single" w:sz="4" w:space="0" w:color="A6A6A6"/>
            </w:tcBorders>
            <w:shd w:val="clear" w:color="FF99CC" w:fill="BFBFBF"/>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CT DGCA</w:t>
            </w:r>
          </w:p>
        </w:tc>
        <w:tc>
          <w:tcPr>
            <w:tcW w:w="216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1</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r>
      <w:tr w:rsidR="00FA54CF" w:rsidRPr="00FA54CF" w:rsidTr="001445B4">
        <w:trPr>
          <w:trHeight w:val="250"/>
        </w:trPr>
        <w:tc>
          <w:tcPr>
            <w:tcW w:w="1520" w:type="dxa"/>
            <w:tcBorders>
              <w:top w:val="nil"/>
              <w:left w:val="single" w:sz="4" w:space="0" w:color="A6A6A6"/>
              <w:bottom w:val="single" w:sz="4" w:space="0" w:color="A6A6A6"/>
              <w:right w:val="single" w:sz="4" w:space="0" w:color="A6A6A6"/>
            </w:tcBorders>
            <w:shd w:val="clear" w:color="FF99CC" w:fill="BFBFBF"/>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CT DGMIC</w:t>
            </w:r>
          </w:p>
        </w:tc>
        <w:tc>
          <w:tcPr>
            <w:tcW w:w="216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1</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1</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r>
      <w:tr w:rsidR="00FA54CF" w:rsidRPr="00FA54CF" w:rsidTr="001445B4">
        <w:trPr>
          <w:trHeight w:val="250"/>
        </w:trPr>
        <w:tc>
          <w:tcPr>
            <w:tcW w:w="1520" w:type="dxa"/>
            <w:tcBorders>
              <w:top w:val="nil"/>
              <w:left w:val="single" w:sz="4" w:space="0" w:color="A6A6A6"/>
              <w:bottom w:val="single" w:sz="4" w:space="0" w:color="A6A6A6"/>
              <w:right w:val="single" w:sz="4" w:space="0" w:color="A6A6A6"/>
            </w:tcBorders>
            <w:shd w:val="clear" w:color="FF99CC" w:fill="BFBFBF"/>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CT DGPAT</w:t>
            </w:r>
          </w:p>
        </w:tc>
        <w:tc>
          <w:tcPr>
            <w:tcW w:w="216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9</w:t>
            </w:r>
          </w:p>
        </w:tc>
        <w:tc>
          <w:tcPr>
            <w:tcW w:w="1880" w:type="dxa"/>
            <w:tcBorders>
              <w:top w:val="nil"/>
              <w:left w:val="nil"/>
              <w:bottom w:val="single" w:sz="4" w:space="0" w:color="A6A6A6"/>
              <w:right w:val="single" w:sz="4" w:space="0" w:color="A6A6A6"/>
            </w:tcBorders>
            <w:shd w:val="clear" w:color="auto" w:fill="auto"/>
            <w:noWrap/>
            <w:vAlign w:val="center"/>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7</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2</w:t>
            </w:r>
          </w:p>
        </w:tc>
      </w:tr>
      <w:tr w:rsidR="00FA54CF" w:rsidRPr="00FA54CF" w:rsidTr="001445B4">
        <w:trPr>
          <w:trHeight w:val="250"/>
        </w:trPr>
        <w:tc>
          <w:tcPr>
            <w:tcW w:w="1520" w:type="dxa"/>
            <w:tcBorders>
              <w:top w:val="nil"/>
              <w:left w:val="single" w:sz="4" w:space="0" w:color="A6A6A6"/>
              <w:bottom w:val="single" w:sz="4" w:space="0" w:color="A6A6A6"/>
              <w:right w:val="single" w:sz="4" w:space="0" w:color="A6A6A6"/>
            </w:tcBorders>
            <w:shd w:val="clear" w:color="FF99CC" w:fill="BFBFBF"/>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CT ENSA</w:t>
            </w:r>
          </w:p>
        </w:tc>
        <w:tc>
          <w:tcPr>
            <w:tcW w:w="216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5</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3</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0</w:t>
            </w:r>
          </w:p>
        </w:tc>
        <w:tc>
          <w:tcPr>
            <w:tcW w:w="1880" w:type="dxa"/>
            <w:tcBorders>
              <w:top w:val="nil"/>
              <w:left w:val="nil"/>
              <w:bottom w:val="single" w:sz="4" w:space="0" w:color="A6A6A6"/>
              <w:right w:val="single" w:sz="4" w:space="0" w:color="A6A6A6"/>
            </w:tcBorders>
            <w:shd w:val="clear" w:color="auto" w:fill="auto"/>
            <w:noWrap/>
            <w:vAlign w:val="bottom"/>
            <w:hideMark/>
          </w:tcPr>
          <w:p w:rsidR="00FA54CF" w:rsidRPr="00FA54CF" w:rsidRDefault="00FA54CF" w:rsidP="00FA54CF">
            <w:pPr>
              <w:jc w:val="center"/>
              <w:rPr>
                <w:rFonts w:ascii="Arial" w:eastAsia="Times New Roman" w:hAnsi="Arial" w:cs="Arial"/>
                <w:sz w:val="20"/>
                <w:szCs w:val="20"/>
                <w:lang w:eastAsia="fr-FR"/>
              </w:rPr>
            </w:pPr>
            <w:r w:rsidRPr="00FA54CF">
              <w:rPr>
                <w:rFonts w:ascii="Arial" w:eastAsia="Times New Roman" w:hAnsi="Arial" w:cs="Arial"/>
                <w:sz w:val="20"/>
                <w:szCs w:val="20"/>
                <w:lang w:eastAsia="fr-FR"/>
              </w:rPr>
              <w:t>1</w:t>
            </w:r>
          </w:p>
        </w:tc>
      </w:tr>
      <w:tr w:rsidR="00FA54CF" w:rsidRPr="00FA54CF" w:rsidTr="001445B4">
        <w:trPr>
          <w:trHeight w:val="260"/>
        </w:trPr>
        <w:tc>
          <w:tcPr>
            <w:tcW w:w="1520" w:type="dxa"/>
            <w:tcBorders>
              <w:top w:val="nil"/>
              <w:left w:val="single" w:sz="4" w:space="0" w:color="A6A6A6"/>
              <w:bottom w:val="single" w:sz="4" w:space="0" w:color="A6A6A6"/>
              <w:right w:val="single" w:sz="4" w:space="0" w:color="A6A6A6"/>
            </w:tcBorders>
            <w:shd w:val="clear" w:color="000000" w:fill="008080"/>
            <w:noWrap/>
            <w:vAlign w:val="bottom"/>
            <w:hideMark/>
          </w:tcPr>
          <w:p w:rsidR="00FA54CF" w:rsidRPr="00FA54CF" w:rsidRDefault="00FA54CF" w:rsidP="00FA54CF">
            <w:pPr>
              <w:jc w:val="center"/>
              <w:rPr>
                <w:rFonts w:ascii="Arial" w:eastAsia="Times New Roman" w:hAnsi="Arial" w:cs="Arial"/>
                <w:b/>
                <w:bCs/>
                <w:color w:val="FFFFFF"/>
                <w:sz w:val="20"/>
                <w:szCs w:val="20"/>
                <w:lang w:eastAsia="fr-FR"/>
              </w:rPr>
            </w:pPr>
            <w:r w:rsidRPr="00FA54CF">
              <w:rPr>
                <w:rFonts w:ascii="Arial" w:eastAsia="Times New Roman" w:hAnsi="Arial" w:cs="Arial"/>
                <w:b/>
                <w:bCs/>
                <w:color w:val="FFFFFF"/>
                <w:sz w:val="20"/>
                <w:szCs w:val="20"/>
                <w:lang w:eastAsia="fr-FR"/>
              </w:rPr>
              <w:t>TOTAL</w:t>
            </w:r>
          </w:p>
        </w:tc>
        <w:tc>
          <w:tcPr>
            <w:tcW w:w="2160" w:type="dxa"/>
            <w:tcBorders>
              <w:top w:val="nil"/>
              <w:left w:val="nil"/>
              <w:bottom w:val="single" w:sz="4" w:space="0" w:color="A6A6A6"/>
              <w:right w:val="single" w:sz="4" w:space="0" w:color="A6A6A6"/>
            </w:tcBorders>
            <w:shd w:val="clear" w:color="000000" w:fill="008080"/>
            <w:noWrap/>
            <w:vAlign w:val="bottom"/>
            <w:hideMark/>
          </w:tcPr>
          <w:p w:rsidR="00FA54CF" w:rsidRPr="00FA54CF" w:rsidRDefault="00FA54CF" w:rsidP="00FA54CF">
            <w:pPr>
              <w:jc w:val="center"/>
              <w:rPr>
                <w:rFonts w:ascii="Arial" w:eastAsia="Times New Roman" w:hAnsi="Arial" w:cs="Arial"/>
                <w:b/>
                <w:bCs/>
                <w:color w:val="FFFFFF"/>
                <w:sz w:val="20"/>
                <w:szCs w:val="20"/>
                <w:lang w:eastAsia="fr-FR"/>
              </w:rPr>
            </w:pPr>
            <w:r w:rsidRPr="00FA54CF">
              <w:rPr>
                <w:rFonts w:ascii="Arial" w:eastAsia="Times New Roman" w:hAnsi="Arial" w:cs="Arial"/>
                <w:b/>
                <w:bCs/>
                <w:color w:val="FFFFFF"/>
                <w:sz w:val="20"/>
                <w:szCs w:val="20"/>
                <w:lang w:eastAsia="fr-FR"/>
              </w:rPr>
              <w:t>24</w:t>
            </w:r>
          </w:p>
        </w:tc>
        <w:tc>
          <w:tcPr>
            <w:tcW w:w="1880" w:type="dxa"/>
            <w:tcBorders>
              <w:top w:val="nil"/>
              <w:left w:val="nil"/>
              <w:bottom w:val="single" w:sz="4" w:space="0" w:color="A6A6A6"/>
              <w:right w:val="single" w:sz="4" w:space="0" w:color="A6A6A6"/>
            </w:tcBorders>
            <w:shd w:val="clear" w:color="000000" w:fill="008080"/>
            <w:noWrap/>
            <w:vAlign w:val="bottom"/>
            <w:hideMark/>
          </w:tcPr>
          <w:p w:rsidR="00FA54CF" w:rsidRPr="00FA54CF" w:rsidRDefault="00FA54CF" w:rsidP="00FA54CF">
            <w:pPr>
              <w:jc w:val="center"/>
              <w:rPr>
                <w:rFonts w:ascii="Arial" w:eastAsia="Times New Roman" w:hAnsi="Arial" w:cs="Arial"/>
                <w:b/>
                <w:bCs/>
                <w:color w:val="FFFFFF"/>
                <w:sz w:val="20"/>
                <w:szCs w:val="20"/>
                <w:lang w:eastAsia="fr-FR"/>
              </w:rPr>
            </w:pPr>
            <w:r w:rsidRPr="00FA54CF">
              <w:rPr>
                <w:rFonts w:ascii="Arial" w:eastAsia="Times New Roman" w:hAnsi="Arial" w:cs="Arial"/>
                <w:b/>
                <w:bCs/>
                <w:color w:val="FFFFFF"/>
                <w:sz w:val="20"/>
                <w:szCs w:val="20"/>
                <w:lang w:eastAsia="fr-FR"/>
              </w:rPr>
              <w:t>16</w:t>
            </w:r>
          </w:p>
        </w:tc>
        <w:tc>
          <w:tcPr>
            <w:tcW w:w="1880" w:type="dxa"/>
            <w:tcBorders>
              <w:top w:val="nil"/>
              <w:left w:val="nil"/>
              <w:bottom w:val="single" w:sz="4" w:space="0" w:color="A6A6A6"/>
              <w:right w:val="single" w:sz="4" w:space="0" w:color="A6A6A6"/>
            </w:tcBorders>
            <w:shd w:val="clear" w:color="000000" w:fill="008080"/>
            <w:noWrap/>
            <w:vAlign w:val="bottom"/>
            <w:hideMark/>
          </w:tcPr>
          <w:p w:rsidR="00FA54CF" w:rsidRPr="00FA54CF" w:rsidRDefault="00FA54CF" w:rsidP="00FA54CF">
            <w:pPr>
              <w:jc w:val="center"/>
              <w:rPr>
                <w:rFonts w:ascii="Arial" w:eastAsia="Times New Roman" w:hAnsi="Arial" w:cs="Arial"/>
                <w:b/>
                <w:bCs/>
                <w:color w:val="FFFFFF"/>
                <w:sz w:val="20"/>
                <w:szCs w:val="20"/>
                <w:lang w:eastAsia="fr-FR"/>
              </w:rPr>
            </w:pPr>
            <w:r w:rsidRPr="00FA54CF">
              <w:rPr>
                <w:rFonts w:ascii="Arial" w:eastAsia="Times New Roman" w:hAnsi="Arial" w:cs="Arial"/>
                <w:b/>
                <w:bCs/>
                <w:color w:val="FFFFFF"/>
                <w:sz w:val="20"/>
                <w:szCs w:val="20"/>
                <w:lang w:eastAsia="fr-FR"/>
              </w:rPr>
              <w:t>0</w:t>
            </w:r>
          </w:p>
        </w:tc>
        <w:tc>
          <w:tcPr>
            <w:tcW w:w="1880" w:type="dxa"/>
            <w:tcBorders>
              <w:top w:val="nil"/>
              <w:left w:val="nil"/>
              <w:bottom w:val="single" w:sz="4" w:space="0" w:color="A6A6A6"/>
              <w:right w:val="single" w:sz="4" w:space="0" w:color="A6A6A6"/>
            </w:tcBorders>
            <w:shd w:val="clear" w:color="000000" w:fill="008080"/>
            <w:noWrap/>
            <w:vAlign w:val="bottom"/>
            <w:hideMark/>
          </w:tcPr>
          <w:p w:rsidR="00FA54CF" w:rsidRPr="00FA54CF" w:rsidRDefault="00FA54CF" w:rsidP="00FA54CF">
            <w:pPr>
              <w:jc w:val="center"/>
              <w:rPr>
                <w:rFonts w:ascii="Arial" w:eastAsia="Times New Roman" w:hAnsi="Arial" w:cs="Arial"/>
                <w:b/>
                <w:bCs/>
                <w:color w:val="FFFFFF"/>
                <w:sz w:val="20"/>
                <w:szCs w:val="20"/>
                <w:lang w:eastAsia="fr-FR"/>
              </w:rPr>
            </w:pPr>
            <w:r w:rsidRPr="00FA54CF">
              <w:rPr>
                <w:rFonts w:ascii="Arial" w:eastAsia="Times New Roman" w:hAnsi="Arial" w:cs="Arial"/>
                <w:b/>
                <w:bCs/>
                <w:color w:val="FFFFFF"/>
                <w:sz w:val="20"/>
                <w:szCs w:val="20"/>
                <w:lang w:eastAsia="fr-FR"/>
              </w:rPr>
              <w:t>3</w:t>
            </w:r>
          </w:p>
        </w:tc>
      </w:tr>
    </w:tbl>
    <w:p w:rsidR="00FA54CF" w:rsidRPr="00FA54CF" w:rsidRDefault="00FA54CF" w:rsidP="00FA54CF">
      <w:pPr>
        <w:widowControl w:val="0"/>
        <w:autoSpaceDE w:val="0"/>
        <w:autoSpaceDN w:val="0"/>
        <w:adjustRightInd w:val="0"/>
        <w:jc w:val="both"/>
        <w:rPr>
          <w:rFonts w:ascii="Cambria" w:eastAsia="Cambria" w:hAnsi="Cambria" w:cs="Times New Roman"/>
          <w:b/>
          <w:bCs/>
          <w:sz w:val="22"/>
        </w:rPr>
      </w:pPr>
    </w:p>
    <w:p w:rsidR="00FA54CF" w:rsidRPr="00FA54CF" w:rsidRDefault="00FA54CF" w:rsidP="00FA54CF">
      <w:pPr>
        <w:widowControl w:val="0"/>
        <w:autoSpaceDE w:val="0"/>
        <w:autoSpaceDN w:val="0"/>
        <w:adjustRightInd w:val="0"/>
        <w:jc w:val="both"/>
        <w:rPr>
          <w:rFonts w:ascii="Cambria" w:eastAsia="Cambria" w:hAnsi="Cambria" w:cs="Times New Roman"/>
          <w:b/>
          <w:bCs/>
          <w:sz w:val="22"/>
        </w:rPr>
      </w:pPr>
    </w:p>
    <w:p w:rsidR="00FA54CF" w:rsidRPr="00FA54CF" w:rsidRDefault="00FA54CF" w:rsidP="00FA54CF">
      <w:pPr>
        <w:widowControl w:val="0"/>
        <w:autoSpaceDE w:val="0"/>
        <w:autoSpaceDN w:val="0"/>
        <w:adjustRightInd w:val="0"/>
        <w:jc w:val="both"/>
        <w:rPr>
          <w:rFonts w:ascii="Cambria" w:eastAsia="Cambria" w:hAnsi="Cambria" w:cs="Times New Roman"/>
          <w:b/>
          <w:bCs/>
          <w:sz w:val="22"/>
          <w:szCs w:val="28"/>
        </w:rPr>
      </w:pPr>
    </w:p>
    <w:p w:rsidR="00FA54CF" w:rsidRPr="00FA54CF" w:rsidRDefault="00FA54CF" w:rsidP="00FA54CF">
      <w:pPr>
        <w:spacing w:after="160" w:line="259" w:lineRule="auto"/>
        <w:rPr>
          <w:rFonts w:ascii="Cambria" w:eastAsia="Cambria" w:hAnsi="Cambria" w:cs="Times New Roman"/>
          <w:b/>
          <w:bCs/>
          <w:sz w:val="22"/>
          <w:szCs w:val="28"/>
        </w:rPr>
      </w:pPr>
      <w:r w:rsidRPr="00FA54CF">
        <w:rPr>
          <w:rFonts w:ascii="Cambria" w:eastAsia="Cambria" w:hAnsi="Cambria" w:cs="Times New Roman"/>
          <w:b/>
          <w:bCs/>
          <w:sz w:val="22"/>
          <w:szCs w:val="28"/>
        </w:rPr>
        <w:br w:type="page"/>
      </w:r>
    </w:p>
    <w:p w:rsidR="00FA54CF" w:rsidRPr="00FA54CF" w:rsidRDefault="00FA54CF" w:rsidP="00FA54CF">
      <w:pPr>
        <w:widowControl w:val="0"/>
        <w:autoSpaceDE w:val="0"/>
        <w:autoSpaceDN w:val="0"/>
        <w:adjustRightInd w:val="0"/>
        <w:jc w:val="both"/>
        <w:rPr>
          <w:rFonts w:ascii="Cambria" w:eastAsia="Cambria" w:hAnsi="Cambria" w:cs="Times New Roman"/>
          <w:b/>
          <w:bCs/>
          <w:sz w:val="22"/>
          <w:szCs w:val="28"/>
        </w:rPr>
      </w:pPr>
    </w:p>
    <w:p w:rsidR="00FA54CF" w:rsidRPr="00FA54CF" w:rsidRDefault="00FA54CF" w:rsidP="00FA54CF">
      <w:pPr>
        <w:widowControl w:val="0"/>
        <w:autoSpaceDE w:val="0"/>
        <w:autoSpaceDN w:val="0"/>
        <w:adjustRightInd w:val="0"/>
        <w:ind w:left="1134" w:hanging="1134"/>
        <w:rPr>
          <w:rFonts w:ascii="Florencesans Exp" w:eastAsia="Cambria" w:hAnsi="Florencesans Exp" w:cs="Times New Roman"/>
        </w:rPr>
      </w:pPr>
      <w:r w:rsidRPr="00FA54CF">
        <w:rPr>
          <w:rFonts w:ascii="Florencesans Exp" w:eastAsia="Cambria" w:hAnsi="Florencesans Exp" w:cs="Times New Roman"/>
        </w:rPr>
        <w:t xml:space="preserve">7. A. 2. LES COMITES D'HYGIENE, DE SECURITE ET DES CONDITIONS DE TRAVAIL (CHSCT) </w:t>
      </w:r>
    </w:p>
    <w:p w:rsidR="00FA54CF" w:rsidRPr="00FA54CF" w:rsidRDefault="00FA54CF" w:rsidP="00FA54CF">
      <w:pPr>
        <w:widowControl w:val="0"/>
        <w:autoSpaceDE w:val="0"/>
        <w:autoSpaceDN w:val="0"/>
        <w:adjustRightInd w:val="0"/>
        <w:jc w:val="both"/>
        <w:rPr>
          <w:rFonts w:ascii="BlairMdITC TT-Medium" w:eastAsia="Cambria" w:hAnsi="BlairMdITC TT-Medium" w:cs="Times New Roman"/>
        </w:rPr>
      </w:pP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Les réunions des CHSCT ministériels (5 réunions)</w:t>
      </w:r>
    </w:p>
    <w:p w:rsidR="00FA54CF" w:rsidRPr="00FA54CF" w:rsidRDefault="00FA54CF" w:rsidP="0034289D">
      <w:pPr>
        <w:numPr>
          <w:ilvl w:val="0"/>
          <w:numId w:val="31"/>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 xml:space="preserve">18 janvier 2013, </w:t>
      </w:r>
      <w:r w:rsidRPr="00FA54CF">
        <w:rPr>
          <w:rFonts w:ascii="Arial" w:eastAsia="Times New Roman" w:hAnsi="Arial" w:cs="Arial"/>
          <w:color w:val="000000"/>
          <w:sz w:val="22"/>
          <w:szCs w:val="22"/>
          <w:lang w:eastAsia="fr-FR"/>
        </w:rPr>
        <w:t xml:space="preserve">le CHSCT ministériel s'est réuni sur l’ordre du jour suivant </w:t>
      </w:r>
      <w:r w:rsidRPr="00FA54CF">
        <w:rPr>
          <w:rFonts w:ascii="Arial" w:eastAsia="Times New Roman" w:hAnsi="Arial" w:cs="Arial"/>
          <w:b/>
          <w:bCs/>
          <w:color w:val="000000"/>
          <w:sz w:val="22"/>
          <w:szCs w:val="22"/>
          <w:lang w:eastAsia="fr-FR"/>
        </w:rPr>
        <w:t xml:space="preserve">: </w:t>
      </w:r>
      <w:r w:rsidRPr="00FA54CF">
        <w:rPr>
          <w:rFonts w:ascii="Arial" w:eastAsia="Times New Roman" w:hAnsi="Arial" w:cs="Arial"/>
          <w:color w:val="000000"/>
          <w:sz w:val="22"/>
          <w:szCs w:val="22"/>
          <w:lang w:eastAsia="fr-FR"/>
        </w:rPr>
        <w:t>bilan ministériel concernant l’amiante, procédure de recrutement des personnels en situation de handicap ; bilans respectifs de la politique des ressources humaines ministérielle (statut, métier, carrière, emploi, rémunération, action sociale, prévention, formation, recrutement, concours, mobilité, encadrement supérieur, pension, dialogue social, expertise statutaire...), de l'architecture ministérielle de l'organisation, des outils, du rôle et responsabilité des différentes entités, de la charge de travail entre les différentes entités et des emplois dédiés ; éléments de bilan intermédiaire sur la mise en place de Chorus DT et de sa généralisation ; moyens de fonctionnement des CHSCT ; programme national de prévention des risques professionnels pour l'année 2013 ; agent de prévention, cartographie nationale et compte rendu de la rencontre de Bordeaux ; schéma directeur des systèmes d'information ; expertise sur ARP .</w:t>
      </w:r>
    </w:p>
    <w:p w:rsidR="00FA54CF" w:rsidRPr="009E4E7D" w:rsidRDefault="00FA54CF" w:rsidP="008952F5">
      <w:pPr>
        <w:numPr>
          <w:ilvl w:val="0"/>
          <w:numId w:val="32"/>
        </w:numPr>
        <w:spacing w:before="100" w:beforeAutospacing="1" w:after="119" w:line="259" w:lineRule="auto"/>
        <w:jc w:val="both"/>
        <w:rPr>
          <w:rFonts w:ascii="Arial" w:eastAsia="Times New Roman" w:hAnsi="Arial" w:cs="Arial"/>
          <w:sz w:val="22"/>
          <w:szCs w:val="22"/>
          <w:lang w:eastAsia="fr-FR"/>
        </w:rPr>
      </w:pPr>
      <w:r w:rsidRPr="009E4E7D">
        <w:rPr>
          <w:rFonts w:ascii="Arial" w:eastAsia="Times New Roman" w:hAnsi="Arial" w:cs="Arial"/>
          <w:color w:val="000000"/>
          <w:sz w:val="22"/>
          <w:szCs w:val="22"/>
          <w:u w:val="single"/>
          <w:lang w:eastAsia="fr-FR"/>
        </w:rPr>
        <w:t>5 avril 2013</w:t>
      </w:r>
      <w:r w:rsidRPr="009E4E7D">
        <w:rPr>
          <w:rFonts w:ascii="Arial" w:eastAsia="Times New Roman" w:hAnsi="Arial" w:cs="Arial"/>
          <w:color w:val="000000"/>
          <w:sz w:val="22"/>
          <w:szCs w:val="22"/>
          <w:lang w:eastAsia="fr-FR"/>
        </w:rPr>
        <w:t>, le CHSCT ministériel s'est réuni. L'ordre du jour de cette instance était très chargé, avec notamment la présentation de deux rapports de l'Inspection générale des affaires culturelles (l'un sur le fonctionnement des CHSCT du ministère et l'autre sur l'évaluation des effets de la mise en œuvre de la révision générale des politiques publiques au ministère de la Culture et de la Communication) ; le bilan amiante ministériel ;</w:t>
      </w:r>
      <w:r w:rsidR="009E4E7D" w:rsidRPr="009E4E7D">
        <w:rPr>
          <w:rFonts w:ascii="Arial" w:eastAsia="Times New Roman" w:hAnsi="Arial" w:cs="Arial"/>
          <w:color w:val="000000"/>
          <w:sz w:val="22"/>
          <w:szCs w:val="22"/>
          <w:lang w:eastAsia="fr-FR"/>
        </w:rPr>
        <w:t xml:space="preserve"> les priorités ministérielles en matière de prévention relative aux comportements managériaux, stress, risques psychosociaux et conditions de travail à l’atelier de la savonnerie du Mobilier national à Lodève, la priorité ministérielle en matière de prévention des risques psychosociaux</w:t>
      </w:r>
      <w:r w:rsidR="009E4E7D">
        <w:rPr>
          <w:rFonts w:ascii="Arial" w:eastAsia="Times New Roman" w:hAnsi="Arial" w:cs="Arial"/>
          <w:color w:val="000000"/>
          <w:sz w:val="22"/>
          <w:szCs w:val="22"/>
          <w:lang w:eastAsia="fr-FR"/>
        </w:rPr>
        <w:t xml:space="preserve"> (</w:t>
      </w:r>
      <w:r w:rsidR="009E4E7D" w:rsidRPr="009E4E7D">
        <w:rPr>
          <w:rFonts w:ascii="Arial" w:eastAsia="Times New Roman" w:hAnsi="Arial" w:cs="Arial"/>
          <w:color w:val="000000"/>
          <w:sz w:val="22"/>
          <w:szCs w:val="22"/>
          <w:lang w:eastAsia="fr-FR"/>
        </w:rPr>
        <w:t>l’exemple du Centre national d’art et de culture Georges Pompidou</w:t>
      </w:r>
      <w:r w:rsidR="009E4E7D">
        <w:rPr>
          <w:rFonts w:ascii="Arial" w:eastAsia="Times New Roman" w:hAnsi="Arial" w:cs="Arial"/>
          <w:color w:val="000000"/>
          <w:sz w:val="22"/>
          <w:szCs w:val="22"/>
          <w:lang w:eastAsia="fr-FR"/>
        </w:rPr>
        <w:t>),</w:t>
      </w:r>
      <w:r w:rsidR="009E4E7D" w:rsidRPr="009E4E7D">
        <w:rPr>
          <w:rFonts w:ascii="Arial" w:eastAsia="Times New Roman" w:hAnsi="Arial" w:cs="Arial"/>
          <w:color w:val="000000"/>
          <w:sz w:val="22"/>
          <w:szCs w:val="22"/>
          <w:lang w:eastAsia="fr-FR"/>
        </w:rPr>
        <w:t xml:space="preserve"> </w:t>
      </w:r>
      <w:r w:rsidRPr="009E4E7D">
        <w:rPr>
          <w:rFonts w:ascii="Arial" w:eastAsia="Times New Roman" w:hAnsi="Arial" w:cs="Arial"/>
          <w:color w:val="000000"/>
          <w:sz w:val="22"/>
          <w:szCs w:val="22"/>
          <w:lang w:eastAsia="fr-FR"/>
        </w:rPr>
        <w:t xml:space="preserve">etc. </w:t>
      </w:r>
    </w:p>
    <w:p w:rsidR="00FA54CF" w:rsidRPr="00FA54CF" w:rsidRDefault="00FA54CF" w:rsidP="0034289D">
      <w:pPr>
        <w:numPr>
          <w:ilvl w:val="0"/>
          <w:numId w:val="32"/>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18 juin 2013,</w:t>
      </w:r>
      <w:r w:rsidRPr="00FA54CF">
        <w:rPr>
          <w:rFonts w:ascii="Arial" w:eastAsia="Times New Roman" w:hAnsi="Arial" w:cs="Arial"/>
          <w:b/>
          <w:bCs/>
          <w:color w:val="000000"/>
          <w:sz w:val="22"/>
          <w:szCs w:val="22"/>
          <w:lang w:eastAsia="fr-FR"/>
        </w:rPr>
        <w:t xml:space="preserve"> </w:t>
      </w:r>
      <w:r w:rsidRPr="00FA54CF">
        <w:rPr>
          <w:rFonts w:ascii="Arial" w:eastAsia="Times New Roman" w:hAnsi="Arial" w:cs="Arial"/>
          <w:color w:val="000000"/>
          <w:sz w:val="22"/>
          <w:szCs w:val="22"/>
          <w:lang w:eastAsia="fr-FR"/>
        </w:rPr>
        <w:t xml:space="preserve">le CHSCT ministériel s'est réuni sur l’ordre du jour suivant </w:t>
      </w:r>
      <w:r w:rsidRPr="00FA54CF">
        <w:rPr>
          <w:rFonts w:ascii="Arial" w:eastAsia="Times New Roman" w:hAnsi="Arial" w:cs="Arial"/>
          <w:b/>
          <w:bCs/>
          <w:color w:val="000000"/>
          <w:sz w:val="22"/>
          <w:szCs w:val="22"/>
          <w:lang w:eastAsia="fr-FR"/>
        </w:rPr>
        <w:t xml:space="preserve">: </w:t>
      </w:r>
      <w:r w:rsidRPr="00FA54CF">
        <w:rPr>
          <w:rFonts w:ascii="Arial" w:eastAsia="Times New Roman" w:hAnsi="Arial" w:cs="Arial"/>
          <w:color w:val="000000"/>
          <w:sz w:val="22"/>
          <w:szCs w:val="22"/>
          <w:lang w:eastAsia="fr-FR"/>
        </w:rPr>
        <w:t xml:space="preserve">bilan intermédiaire sur la mise en place de chorus DT ; situation au CMN ; bilans respectifs de la politique des ressources humaines ministérielles, de l'inspection santé et sécurité au travail, point sur la politique immobilière ministérielle et bilan ministériel relatif à l'amiante. </w:t>
      </w:r>
    </w:p>
    <w:p w:rsidR="00FA54CF" w:rsidRPr="00FA54CF" w:rsidRDefault="00FA54CF" w:rsidP="0034289D">
      <w:pPr>
        <w:numPr>
          <w:ilvl w:val="0"/>
          <w:numId w:val="32"/>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15 novembre 2013</w:t>
      </w:r>
      <w:r w:rsidRPr="00FA54CF">
        <w:rPr>
          <w:rFonts w:ascii="Arial" w:eastAsia="Times New Roman" w:hAnsi="Arial" w:cs="Arial"/>
          <w:color w:val="000000"/>
          <w:sz w:val="22"/>
          <w:szCs w:val="22"/>
          <w:lang w:eastAsia="fr-FR"/>
        </w:rPr>
        <w:t xml:space="preserve">, CHSCT ministériel s'est réuni sur l’ordre du jour suivant </w:t>
      </w:r>
      <w:r w:rsidRPr="00FA54CF">
        <w:rPr>
          <w:rFonts w:ascii="Arial" w:eastAsia="Times New Roman" w:hAnsi="Arial" w:cs="Arial"/>
          <w:b/>
          <w:bCs/>
          <w:color w:val="000000"/>
          <w:sz w:val="22"/>
          <w:szCs w:val="22"/>
          <w:lang w:eastAsia="fr-FR"/>
        </w:rPr>
        <w:t xml:space="preserve">: </w:t>
      </w:r>
      <w:r w:rsidRPr="00FA54CF">
        <w:rPr>
          <w:rFonts w:ascii="Arial" w:eastAsia="Times New Roman" w:hAnsi="Arial" w:cs="Arial"/>
          <w:color w:val="000000"/>
          <w:sz w:val="22"/>
          <w:szCs w:val="22"/>
          <w:lang w:eastAsia="fr-FR"/>
        </w:rPr>
        <w:t>Bilan national 2012 de la médecine de prévention ; cartographie de la médecine de prévention ; cartographie des agents de prévention ; statistiques relatives aux accidents du travail pour 2012 ; point d’information « Emplois d’avenir » (à la demande des organisations syndicales) ; projets de formation relatifs à la prévention des risques psychosociaux (RPS) et à l’impact des nouvelles technologies de l’information et de la communication (NTIC) sur les conditions de travail ; Bilan de la situation générale de la santé, de la sécurité et des conditions de travail pour l’année 2012 ; taux d’emploi des personnes en situation de handicap et bilan des titularisations.</w:t>
      </w:r>
    </w:p>
    <w:p w:rsidR="00FA54CF" w:rsidRPr="002F1661" w:rsidRDefault="00FA54CF" w:rsidP="003535B7">
      <w:pPr>
        <w:numPr>
          <w:ilvl w:val="0"/>
          <w:numId w:val="32"/>
        </w:numPr>
        <w:spacing w:before="100" w:beforeAutospacing="1" w:after="160" w:line="259" w:lineRule="auto"/>
        <w:jc w:val="both"/>
        <w:rPr>
          <w:rFonts w:ascii="Arial" w:eastAsia="Times New Roman" w:hAnsi="Arial" w:cs="Arial"/>
          <w:b/>
          <w:bCs/>
          <w:color w:val="000000"/>
          <w:sz w:val="22"/>
          <w:szCs w:val="22"/>
          <w:lang w:eastAsia="fr-FR"/>
        </w:rPr>
      </w:pPr>
      <w:r w:rsidRPr="002F1661">
        <w:rPr>
          <w:rFonts w:ascii="Arial" w:eastAsia="Times New Roman" w:hAnsi="Arial" w:cs="Arial"/>
          <w:color w:val="000000"/>
          <w:sz w:val="22"/>
          <w:szCs w:val="22"/>
          <w:u w:val="single"/>
          <w:lang w:eastAsia="fr-FR"/>
        </w:rPr>
        <w:t>10 décembre 2013,</w:t>
      </w:r>
      <w:r w:rsidRPr="002F1661">
        <w:rPr>
          <w:rFonts w:ascii="Arial" w:eastAsia="Times New Roman" w:hAnsi="Arial" w:cs="Arial"/>
          <w:color w:val="000000"/>
          <w:sz w:val="22"/>
          <w:szCs w:val="22"/>
          <w:lang w:eastAsia="fr-FR"/>
        </w:rPr>
        <w:t xml:space="preserve"> le CHSCT Ministériel s’est réuni sur l’ordre du jour suivant : tableau de suivi ; bilan 2012 des recrutements ; bilan ministériel concernant l’amiante ; groupe de travail relatif à l’amiante auprès du CHSCT Archives ; bilan d’étape relatif à l’élaboration d’une procédure d’enquête en cas de tentative de suicide ; présentation de l’enquête SUMER 2010 ; méthodologie de visite de délégation de CHSCT ; programme national de prévention des risques professionnels pour l’année 2014.</w:t>
      </w:r>
    </w:p>
    <w:p w:rsidR="00FA54CF" w:rsidRPr="00FA54CF" w:rsidRDefault="00FA54CF" w:rsidP="00FA54CF">
      <w:pPr>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lastRenderedPageBreak/>
        <w:t>Les réunions du CHSCT d’administration centrale (5 réunions effectivement tenues)</w:t>
      </w:r>
    </w:p>
    <w:p w:rsidR="00FA54CF" w:rsidRPr="00FA54CF" w:rsidRDefault="00FA54CF" w:rsidP="0034289D">
      <w:pPr>
        <w:numPr>
          <w:ilvl w:val="0"/>
          <w:numId w:val="33"/>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30 janvier 2013,</w:t>
      </w:r>
      <w:r w:rsidRPr="00FA54CF">
        <w:rPr>
          <w:rFonts w:ascii="Arial" w:eastAsia="Times New Roman" w:hAnsi="Arial" w:cs="Arial"/>
          <w:color w:val="000000"/>
          <w:sz w:val="22"/>
          <w:szCs w:val="22"/>
          <w:lang w:eastAsia="fr-FR"/>
        </w:rPr>
        <w:t xml:space="preserve"> CHSCT spécifique relatif à la réorganisation du bureau de la qualité comptable et généralisation de chorus formulaire ;</w:t>
      </w:r>
    </w:p>
    <w:p w:rsidR="00FA54CF" w:rsidRPr="00FA54CF" w:rsidRDefault="00FA54CF" w:rsidP="0034289D">
      <w:pPr>
        <w:numPr>
          <w:ilvl w:val="0"/>
          <w:numId w:val="34"/>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 xml:space="preserve">14 février 2013, </w:t>
      </w:r>
      <w:r w:rsidRPr="00FA54CF">
        <w:rPr>
          <w:rFonts w:ascii="Arial" w:eastAsia="Times New Roman" w:hAnsi="Arial" w:cs="Arial"/>
          <w:color w:val="000000"/>
          <w:sz w:val="22"/>
          <w:szCs w:val="22"/>
          <w:lang w:eastAsia="fr-FR"/>
        </w:rPr>
        <w:t>le CHSCT d'administration centrale s'est réuni. L’ordre du jour était le suivant : point d'information relatif à la réorganisation du SRH et à la mise en place du CSRH ; point d'information relatif à la réorganisation du service de presse du DIC et de l'ensemble du département ; point d'information relatif à l'évolution des services de documentation du secrétariat général et à la constitution du département de la programmation et des moyens au sein du secrétariat général ; suivi de la mission d’étude en vue de la réalisation d'un plan de déplacement de l'administration centrale ; point d'information relatif au déménagement prévu au sein du service du livre et de la lecture de la DGMIC ; suivi de l'évolution de l'organisation du service de la coordination des politiques culturelles et de l’innovation, suivi des travaux en cours.</w:t>
      </w:r>
    </w:p>
    <w:p w:rsidR="00FA54CF" w:rsidRPr="00FA54CF" w:rsidRDefault="00FA54CF" w:rsidP="0034289D">
      <w:pPr>
        <w:numPr>
          <w:ilvl w:val="0"/>
          <w:numId w:val="34"/>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14 mai 2013,</w:t>
      </w:r>
      <w:r w:rsidRPr="00FA54CF">
        <w:rPr>
          <w:rFonts w:ascii="Arial" w:eastAsia="Times New Roman" w:hAnsi="Arial" w:cs="Arial"/>
          <w:color w:val="000000"/>
          <w:sz w:val="22"/>
          <w:szCs w:val="22"/>
          <w:lang w:eastAsia="fr-FR"/>
        </w:rPr>
        <w:t xml:space="preserve"> le CHSCT d'administration centrale s'est réuni.</w:t>
      </w:r>
      <w:r w:rsidRPr="00FA54CF">
        <w:rPr>
          <w:rFonts w:ascii="Arial" w:eastAsia="Times New Roman" w:hAnsi="Arial" w:cs="Arial"/>
          <w:b/>
          <w:bCs/>
          <w:color w:val="000000"/>
          <w:sz w:val="22"/>
          <w:szCs w:val="22"/>
          <w:lang w:eastAsia="fr-FR"/>
        </w:rPr>
        <w:t xml:space="preserve"> </w:t>
      </w:r>
      <w:r w:rsidRPr="00FA54CF">
        <w:rPr>
          <w:rFonts w:ascii="Arial" w:eastAsia="Times New Roman" w:hAnsi="Arial" w:cs="Arial"/>
          <w:color w:val="000000"/>
          <w:sz w:val="22"/>
          <w:szCs w:val="22"/>
          <w:lang w:eastAsia="fr-FR"/>
        </w:rPr>
        <w:t>L'ordre du jour était le suivant :</w:t>
      </w:r>
      <w:r w:rsidRPr="00FA54CF">
        <w:rPr>
          <w:rFonts w:ascii="Arial" w:eastAsia="Times New Roman" w:hAnsi="Arial" w:cs="Arial"/>
          <w:b/>
          <w:bCs/>
          <w:color w:val="000000"/>
          <w:sz w:val="22"/>
          <w:szCs w:val="22"/>
          <w:lang w:eastAsia="fr-FR"/>
        </w:rPr>
        <w:t xml:space="preserve"> </w:t>
      </w:r>
      <w:r w:rsidRPr="00FA54CF">
        <w:rPr>
          <w:rFonts w:ascii="Arial" w:eastAsia="Times New Roman" w:hAnsi="Arial" w:cs="Arial"/>
          <w:color w:val="000000"/>
          <w:sz w:val="22"/>
          <w:szCs w:val="22"/>
          <w:lang w:eastAsia="fr-FR"/>
        </w:rPr>
        <w:t>rapport de l'IGAC sur l'évaluation des effets de la mise en œuvre de la RGPP au ministère de la Culture et de la Communication ; point d'information concernant le déménagement d'un service de l'une des directions générales du ministère ; suivi des travaux en cours ; présentation de la charte courriel ; nouveaux distributeurs de boissons ; suivi des travaux en cours.</w:t>
      </w:r>
    </w:p>
    <w:p w:rsidR="00FA54CF" w:rsidRPr="00FA54CF" w:rsidRDefault="00FA54CF" w:rsidP="0034289D">
      <w:pPr>
        <w:numPr>
          <w:ilvl w:val="0"/>
          <w:numId w:val="34"/>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24 septembre 2013 :</w:t>
      </w:r>
      <w:r w:rsidRPr="00FA54CF">
        <w:rPr>
          <w:rFonts w:ascii="Arial" w:eastAsia="Times New Roman" w:hAnsi="Arial" w:cs="Arial"/>
          <w:color w:val="000000"/>
          <w:sz w:val="22"/>
          <w:szCs w:val="22"/>
          <w:lang w:eastAsia="fr-FR"/>
        </w:rPr>
        <w:t xml:space="preserve"> étaient inscrits à l'ordre du jour les procès-verbaux de deux réunions précédentes ; la grille de suivi des travaux de CHSCT ; un point d'étape relatif au plan de déplacement d'administration centrale ; une présentation de la politique de gestion des déchets en administration centrale ; la politique immobilière en administration centrale ; le suivi des travaux en cours ; un point d'étape relatif à la refonte du DUERP ; un point de suivi des accidents du travail au cours du 1</w:t>
      </w:r>
      <w:r w:rsidRPr="00FA54CF">
        <w:rPr>
          <w:rFonts w:ascii="Arial" w:eastAsia="Times New Roman" w:hAnsi="Arial" w:cs="Arial"/>
          <w:color w:val="000000"/>
          <w:sz w:val="22"/>
          <w:szCs w:val="22"/>
          <w:vertAlign w:val="superscript"/>
          <w:lang w:eastAsia="fr-FR"/>
        </w:rPr>
        <w:t>er</w:t>
      </w:r>
      <w:r w:rsidRPr="00FA54CF">
        <w:rPr>
          <w:rFonts w:ascii="Arial" w:eastAsia="Times New Roman" w:hAnsi="Arial" w:cs="Arial"/>
          <w:color w:val="000000"/>
          <w:sz w:val="22"/>
          <w:szCs w:val="22"/>
          <w:lang w:eastAsia="fr-FR"/>
        </w:rPr>
        <w:t xml:space="preserve"> semestre 2013 ; le rapport 2012 du service de médecine de prévention. Parmi les questions diverses, la question de la souffrance au travail a été évoquée.</w:t>
      </w:r>
    </w:p>
    <w:p w:rsidR="00FA54CF" w:rsidRPr="00FA54CF" w:rsidRDefault="00FA54CF" w:rsidP="0034289D">
      <w:pPr>
        <w:numPr>
          <w:ilvl w:val="0"/>
          <w:numId w:val="34"/>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26 novembre 2013,</w:t>
      </w:r>
      <w:r w:rsidRPr="00FA54CF">
        <w:rPr>
          <w:rFonts w:ascii="Arial" w:eastAsia="Times New Roman" w:hAnsi="Arial" w:cs="Arial"/>
          <w:sz w:val="22"/>
          <w:szCs w:val="22"/>
          <w:lang w:eastAsia="fr-FR"/>
        </w:rPr>
        <w:t xml:space="preserve"> l’ordre du jour était le suivant : évolution du périmètre et de l’activité du bureau de la qualité comptable ; suivi des travaux ; échanges préalables à la création d’un CHSCT spécifique à la DGCA ; bilan des recrutements et des titularisations RQTH ; circulaire CT/CHSCT ; fiches de risques professionnelles. </w:t>
      </w:r>
    </w:p>
    <w:p w:rsidR="00FA54CF" w:rsidRPr="00FA54CF" w:rsidRDefault="00FA54CF" w:rsidP="00FA54CF">
      <w:pPr>
        <w:spacing w:before="100" w:beforeAutospacing="1"/>
        <w:ind w:left="720"/>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L’instance ne s’est pas tenue en raison de la grève relative à la défense des retraites. Elle a été reportée au 17 janvier 2014.</w:t>
      </w:r>
    </w:p>
    <w:p w:rsidR="00FA54CF" w:rsidRPr="00FA54CF" w:rsidRDefault="00FA54CF" w:rsidP="0034289D">
      <w:pPr>
        <w:numPr>
          <w:ilvl w:val="0"/>
          <w:numId w:val="34"/>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6 décembre 2013,</w:t>
      </w:r>
      <w:r w:rsidRPr="00FA54CF">
        <w:rPr>
          <w:rFonts w:ascii="Arial" w:eastAsia="Times New Roman" w:hAnsi="Arial" w:cs="Arial"/>
          <w:sz w:val="22"/>
          <w:szCs w:val="22"/>
          <w:lang w:eastAsia="fr-FR"/>
        </w:rPr>
        <w:t xml:space="preserve"> un CHSCT d’Administration centrale spécifique à la Direction générale de la création artistique s’est tenu sur l’ordre du jour suivant : questions matérielles de travail des agents de la DGCA et questions relatives à l’organisation et au fonctionnement du travail de la DGCA.</w:t>
      </w:r>
    </w:p>
    <w:p w:rsidR="00FA54CF" w:rsidRPr="00FA54CF" w:rsidRDefault="00FA54CF" w:rsidP="00FA54CF">
      <w:pPr>
        <w:spacing w:after="160" w:line="259" w:lineRule="auto"/>
        <w:rPr>
          <w:rFonts w:ascii="Arial" w:eastAsia="Times New Roman" w:hAnsi="Arial" w:cs="Arial"/>
          <w:sz w:val="22"/>
          <w:szCs w:val="22"/>
          <w:lang w:eastAsia="fr-FR"/>
        </w:rPr>
      </w:pPr>
      <w:r w:rsidRPr="00FA54CF">
        <w:rPr>
          <w:rFonts w:ascii="Arial" w:eastAsia="Calibri" w:hAnsi="Arial" w:cs="Arial"/>
          <w:sz w:val="22"/>
          <w:szCs w:val="22"/>
        </w:rPr>
        <w:br w:type="page"/>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lastRenderedPageBreak/>
        <w:t>Les réunions des CHSCT spéciaux de filières Archives, Musées et Patrimoine de la direction générale des patrimoines :</w:t>
      </w:r>
    </w:p>
    <w:p w:rsidR="00FA54CF" w:rsidRPr="00FA54CF" w:rsidRDefault="00BE5515" w:rsidP="00FA54CF">
      <w:pPr>
        <w:spacing w:line="259" w:lineRule="auto"/>
        <w:rPr>
          <w:rFonts w:ascii="Cambria" w:eastAsia="Cambria" w:hAnsi="Cambria" w:cs="Times New Roman"/>
          <w:b/>
          <w:bCs/>
          <w:sz w:val="22"/>
          <w:szCs w:val="28"/>
          <w:u w:color="000000"/>
        </w:rPr>
      </w:pPr>
      <w:r w:rsidRPr="00BE5515">
        <w:rPr>
          <w:noProof/>
          <w:lang w:eastAsia="fr-FR"/>
        </w:rPr>
        <w:drawing>
          <wp:inline distT="0" distB="0" distL="0" distR="0">
            <wp:extent cx="5760617" cy="8557260"/>
            <wp:effectExtent l="0" t="0" r="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68706" cy="8569276"/>
                    </a:xfrm>
                    <a:prstGeom prst="rect">
                      <a:avLst/>
                    </a:prstGeom>
                    <a:noFill/>
                    <a:ln>
                      <a:noFill/>
                    </a:ln>
                  </pic:spPr>
                </pic:pic>
              </a:graphicData>
            </a:graphic>
          </wp:inline>
        </w:drawing>
      </w:r>
    </w:p>
    <w:p w:rsidR="00FA54CF" w:rsidRPr="00FA54CF" w:rsidRDefault="00FA54CF" w:rsidP="009364BE">
      <w:pPr>
        <w:spacing w:after="160" w:line="259" w:lineRule="auto"/>
        <w:rPr>
          <w:rFonts w:ascii="Florencesans Exp" w:eastAsia="Cambria" w:hAnsi="Florencesans Exp" w:cs="Times New Roman"/>
        </w:rPr>
      </w:pPr>
      <w:r w:rsidRPr="00FA54CF">
        <w:rPr>
          <w:rFonts w:ascii="Cambria" w:eastAsia="Cambria" w:hAnsi="Cambria" w:cs="Times New Roman"/>
          <w:b/>
          <w:bCs/>
          <w:sz w:val="22"/>
          <w:szCs w:val="28"/>
          <w:u w:color="000000"/>
        </w:rPr>
        <w:br w:type="page"/>
      </w:r>
      <w:r w:rsidRPr="00FA54CF">
        <w:rPr>
          <w:rFonts w:ascii="Florencesans Exp" w:eastAsia="Cambria" w:hAnsi="Florencesans Exp" w:cs="Times New Roman"/>
        </w:rPr>
        <w:lastRenderedPageBreak/>
        <w:t>7. A. 3. LES COMMISSIONS ADMINISTRATIVES PARITAIRES (CAP)</w:t>
      </w:r>
    </w:p>
    <w:p w:rsidR="00FA54CF" w:rsidRPr="00FA54CF" w:rsidRDefault="00FA54CF" w:rsidP="00FA54CF">
      <w:pPr>
        <w:widowControl w:val="0"/>
        <w:autoSpaceDE w:val="0"/>
        <w:autoSpaceDN w:val="0"/>
        <w:adjustRightInd w:val="0"/>
        <w:jc w:val="both"/>
        <w:rPr>
          <w:rFonts w:ascii="BlairMdITC TT-Medium" w:eastAsia="Cambria" w:hAnsi="BlairMdITC TT-Medium" w:cs="Times New Roman"/>
        </w:rPr>
      </w:pPr>
    </w:p>
    <w:p w:rsidR="00FA54CF" w:rsidRPr="00FA54CF" w:rsidRDefault="00FA54CF" w:rsidP="00FA54CF">
      <w:pPr>
        <w:widowControl w:val="0"/>
        <w:autoSpaceDE w:val="0"/>
        <w:autoSpaceDN w:val="0"/>
        <w:adjustRightInd w:val="0"/>
        <w:jc w:val="both"/>
        <w:rPr>
          <w:rFonts w:ascii="Arial" w:eastAsia="Cambria" w:hAnsi="Arial" w:cs="Times New Roman"/>
          <w:sz w:val="22"/>
        </w:rPr>
      </w:pPr>
      <w:r w:rsidRPr="00FA54CF">
        <w:rPr>
          <w:rFonts w:ascii="Arial" w:eastAsia="Cambria" w:hAnsi="Arial" w:cs="Times New Roman"/>
          <w:sz w:val="22"/>
        </w:rPr>
        <w:t>Pour chaque corps de fonctionnaires, il existe une commission administrative paritaire composée de représentants de l’administration et d’élu(e)s du personnel.</w:t>
      </w:r>
    </w:p>
    <w:p w:rsidR="00FA54CF" w:rsidRPr="00FA54CF" w:rsidRDefault="00FA54CF" w:rsidP="00FA54CF">
      <w:pPr>
        <w:widowControl w:val="0"/>
        <w:autoSpaceDE w:val="0"/>
        <w:autoSpaceDN w:val="0"/>
        <w:adjustRightInd w:val="0"/>
        <w:jc w:val="both"/>
        <w:rPr>
          <w:rFonts w:ascii="Arial" w:eastAsia="Cambria" w:hAnsi="Arial" w:cs="Times New Roman"/>
          <w:sz w:val="18"/>
          <w:szCs w:val="18"/>
        </w:rPr>
      </w:pPr>
    </w:p>
    <w:p w:rsidR="00FA54CF" w:rsidRPr="00FA54CF" w:rsidRDefault="00FA54CF" w:rsidP="00FA54CF">
      <w:pPr>
        <w:widowControl w:val="0"/>
        <w:autoSpaceDE w:val="0"/>
        <w:autoSpaceDN w:val="0"/>
        <w:adjustRightInd w:val="0"/>
        <w:jc w:val="both"/>
        <w:rPr>
          <w:rFonts w:ascii="Arial" w:eastAsia="Cambria" w:hAnsi="Arial" w:cs="Times New Roman"/>
          <w:sz w:val="22"/>
        </w:rPr>
      </w:pPr>
      <w:r w:rsidRPr="00FA54CF">
        <w:rPr>
          <w:rFonts w:ascii="Arial" w:eastAsia="Cambria" w:hAnsi="Arial" w:cs="Times New Roman"/>
          <w:sz w:val="22"/>
        </w:rPr>
        <w:t>La CAP est obligatoirement consultée pour toutes les décisions qui marquent la carrière administrative du fonctionnaire (détachement, disponibilité, notation, avancement de grade, mutation, sanction disciplinaire, licenciement pour insuffisance professionnelle, promotion au choix dans le corps supérieur).</w:t>
      </w:r>
    </w:p>
    <w:p w:rsidR="00FA54CF" w:rsidRPr="00FA54CF" w:rsidRDefault="00FA54CF" w:rsidP="00FA54CF">
      <w:pPr>
        <w:widowControl w:val="0"/>
        <w:autoSpaceDE w:val="0"/>
        <w:autoSpaceDN w:val="0"/>
        <w:adjustRightInd w:val="0"/>
        <w:jc w:val="both"/>
        <w:rPr>
          <w:rFonts w:ascii="Arial" w:eastAsia="Cambria" w:hAnsi="Arial" w:cs="Times New Roman"/>
          <w:sz w:val="18"/>
          <w:szCs w:val="18"/>
        </w:rPr>
      </w:pPr>
    </w:p>
    <w:p w:rsidR="00FA54CF" w:rsidRPr="00FA54CF" w:rsidRDefault="00FA54CF" w:rsidP="00FA54CF">
      <w:pPr>
        <w:spacing w:after="160"/>
        <w:rPr>
          <w:rFonts w:ascii="Arial" w:eastAsia="Times New Roman" w:hAnsi="Arial" w:cs="Arial"/>
          <w:color w:val="000000"/>
          <w:sz w:val="22"/>
          <w:szCs w:val="22"/>
          <w:lang w:eastAsia="fr-FR"/>
        </w:rPr>
      </w:pPr>
      <w:r w:rsidRPr="00FA54CF">
        <w:rPr>
          <w:rFonts w:ascii="Calibri" w:eastAsia="Calibri" w:hAnsi="Calibri" w:cs="Times New Roman"/>
          <w:noProof/>
          <w:sz w:val="22"/>
          <w:szCs w:val="22"/>
          <w:lang w:eastAsia="fr-FR"/>
        </w:rPr>
        <w:drawing>
          <wp:anchor distT="0" distB="0" distL="114300" distR="114300" simplePos="0" relativeHeight="251860992" behindDoc="1" locked="0" layoutInCell="1" allowOverlap="1" wp14:anchorId="6E43C434" wp14:editId="38CAEE9C">
            <wp:simplePos x="0" y="0"/>
            <wp:positionH relativeFrom="margin">
              <wp:align>center</wp:align>
            </wp:positionH>
            <wp:positionV relativeFrom="paragraph">
              <wp:posOffset>329565</wp:posOffset>
            </wp:positionV>
            <wp:extent cx="6436995" cy="4661535"/>
            <wp:effectExtent l="0" t="0" r="1905" b="5715"/>
            <wp:wrapTight wrapText="bothSides">
              <wp:wrapPolygon edited="0">
                <wp:start x="0" y="0"/>
                <wp:lineTo x="0" y="21538"/>
                <wp:lineTo x="21542" y="21538"/>
                <wp:lineTo x="21542" y="0"/>
                <wp:lineTo x="0" y="0"/>
              </wp:wrapPolygon>
            </wp:wrapTight>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436995" cy="4661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54CF">
        <w:rPr>
          <w:rFonts w:ascii="Arial" w:eastAsia="Times New Roman" w:hAnsi="Arial" w:cs="Arial"/>
          <w:color w:val="000000"/>
          <w:sz w:val="22"/>
          <w:szCs w:val="22"/>
          <w:lang w:eastAsia="fr-FR"/>
        </w:rPr>
        <w:t>Le Ministère de la culture et de la communication compte 24 CAP :</w:t>
      </w:r>
    </w:p>
    <w:p w:rsidR="00FA54CF" w:rsidRPr="00FA54CF" w:rsidRDefault="00FA54CF" w:rsidP="00FA54CF">
      <w:pPr>
        <w:spacing w:after="160"/>
        <w:rPr>
          <w:rFonts w:ascii="Arial" w:eastAsia="Times New Roman" w:hAnsi="Arial" w:cs="Arial"/>
          <w:sz w:val="22"/>
          <w:szCs w:val="22"/>
          <w:lang w:eastAsia="fr-FR"/>
        </w:rPr>
      </w:pPr>
    </w:p>
    <w:p w:rsidR="00FA54CF" w:rsidRPr="00FA54CF" w:rsidRDefault="00FA54CF" w:rsidP="00FA54CF">
      <w:pPr>
        <w:widowControl w:val="0"/>
        <w:autoSpaceDE w:val="0"/>
        <w:autoSpaceDN w:val="0"/>
        <w:adjustRightInd w:val="0"/>
        <w:spacing w:before="240"/>
        <w:jc w:val="both"/>
        <w:rPr>
          <w:rFonts w:ascii="Arial" w:eastAsia="Cambria" w:hAnsi="Arial" w:cs="Times New Roman"/>
          <w:sz w:val="22"/>
        </w:rPr>
      </w:pPr>
    </w:p>
    <w:p w:rsidR="00FA54CF" w:rsidRPr="00FA54CF" w:rsidRDefault="00FA54CF" w:rsidP="00FA54CF">
      <w:pPr>
        <w:spacing w:after="160" w:line="259" w:lineRule="auto"/>
        <w:rPr>
          <w:rFonts w:ascii="Arial" w:eastAsia="Cambria" w:hAnsi="Arial" w:cs="Times New Roman"/>
          <w:sz w:val="22"/>
        </w:rPr>
      </w:pPr>
      <w:r w:rsidRPr="00FA54CF">
        <w:rPr>
          <w:rFonts w:ascii="Arial" w:eastAsia="Cambria" w:hAnsi="Arial" w:cs="Times New Roman"/>
          <w:sz w:val="22"/>
        </w:rPr>
        <w:br w:type="page"/>
      </w:r>
    </w:p>
    <w:p w:rsidR="00FA54CF" w:rsidRPr="00FA54CF" w:rsidRDefault="00FA54CF" w:rsidP="00FA54CF">
      <w:pPr>
        <w:widowControl w:val="0"/>
        <w:autoSpaceDE w:val="0"/>
        <w:autoSpaceDN w:val="0"/>
        <w:adjustRightInd w:val="0"/>
        <w:spacing w:before="240"/>
        <w:jc w:val="both"/>
        <w:rPr>
          <w:rFonts w:ascii="Arial" w:eastAsia="Cambria" w:hAnsi="Arial" w:cs="Times New Roman"/>
          <w:sz w:val="22"/>
        </w:rPr>
      </w:pPr>
      <w:r w:rsidRPr="00FA54CF">
        <w:rPr>
          <w:rFonts w:ascii="Calibri" w:eastAsia="Calibri" w:hAnsi="Calibri" w:cs="Times New Roman"/>
          <w:noProof/>
          <w:sz w:val="22"/>
          <w:szCs w:val="22"/>
          <w:lang w:eastAsia="fr-FR"/>
        </w:rPr>
        <w:lastRenderedPageBreak/>
        <mc:AlternateContent>
          <mc:Choice Requires="wps">
            <w:drawing>
              <wp:anchor distT="0" distB="0" distL="114300" distR="114300" simplePos="0" relativeHeight="251868160" behindDoc="0" locked="0" layoutInCell="1" allowOverlap="1" wp14:anchorId="5C30A9EA" wp14:editId="51F36EA4">
                <wp:simplePos x="0" y="0"/>
                <wp:positionH relativeFrom="column">
                  <wp:posOffset>1631950</wp:posOffset>
                </wp:positionH>
                <wp:positionV relativeFrom="paragraph">
                  <wp:posOffset>-457200</wp:posOffset>
                </wp:positionV>
                <wp:extent cx="1828800" cy="1828800"/>
                <wp:effectExtent l="0" t="0" r="0" b="0"/>
                <wp:wrapNone/>
                <wp:docPr id="280" name="Zone de texte 2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B1397" w:rsidRPr="00B95022" w:rsidRDefault="007B1397" w:rsidP="00FA54CF">
                            <w:pPr>
                              <w:widowControl w:val="0"/>
                              <w:autoSpaceDE w:val="0"/>
                              <w:autoSpaceDN w:val="0"/>
                              <w:adjustRightInd w:val="0"/>
                              <w:jc w:val="center"/>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B95022">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5C30A9EA" id="Zone de texte 280" o:spid="_x0000_s1093" type="#_x0000_t202" style="position:absolute;left:0;text-align:left;margin-left:128.5pt;margin-top:-36pt;width:2in;height:2in;z-index:251868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" filled="f" stroked="f">
                <v:textbox style="mso-fit-shape-to-text:t">
                  <w:txbxContent>
                    <w:p w:rsidR="007B1397" w:rsidRPr="00B95022" w:rsidRDefault="007B1397" w:rsidP="00FA54CF">
                      <w:pPr>
                        <w:widowControl w:val="0"/>
                        <w:autoSpaceDE w:val="0"/>
                        <w:autoSpaceDN w:val="0"/>
                        <w:adjustRightInd w:val="0"/>
                        <w:jc w:val="center"/>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B95022">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v:textbox>
              </v:shape>
            </w:pict>
          </mc:Fallback>
        </mc:AlternateContent>
      </w:r>
    </w:p>
    <w:p w:rsidR="00FA54CF" w:rsidRPr="00FA54CF" w:rsidRDefault="00FA54CF" w:rsidP="00FA54CF">
      <w:pPr>
        <w:spacing w:after="119"/>
        <w:jc w:val="center"/>
        <w:rPr>
          <w:rFonts w:ascii="Arial" w:eastAsia="Times New Roman" w:hAnsi="Arial" w:cs="Arial"/>
          <w:b/>
          <w:sz w:val="22"/>
          <w:szCs w:val="22"/>
          <w:lang w:eastAsia="fr-FR"/>
        </w:rPr>
      </w:pPr>
      <w:r w:rsidRPr="00FA54CF">
        <w:rPr>
          <w:rFonts w:ascii="Times New Roman" w:eastAsia="Cambria" w:hAnsi="Times New Roman" w:cs="Times New Roman"/>
          <w:noProof/>
          <w:lang w:eastAsia="fr-FR"/>
        </w:rPr>
        <w:drawing>
          <wp:anchor distT="0" distB="0" distL="114300" distR="114300" simplePos="0" relativeHeight="251863040" behindDoc="1" locked="0" layoutInCell="1" allowOverlap="1" wp14:anchorId="02E8745B" wp14:editId="2AC47451">
            <wp:simplePos x="0" y="0"/>
            <wp:positionH relativeFrom="margin">
              <wp:align>center</wp:align>
            </wp:positionH>
            <wp:positionV relativeFrom="paragraph">
              <wp:posOffset>298450</wp:posOffset>
            </wp:positionV>
            <wp:extent cx="6685915" cy="4593590"/>
            <wp:effectExtent l="0" t="0" r="635" b="0"/>
            <wp:wrapTight wrapText="bothSides">
              <wp:wrapPolygon edited="0">
                <wp:start x="0" y="0"/>
                <wp:lineTo x="0" y="21498"/>
                <wp:lineTo x="21541" y="21498"/>
                <wp:lineTo x="21541" y="0"/>
                <wp:lineTo x="0" y="0"/>
              </wp:wrapPolygon>
            </wp:wrapTight>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685915" cy="4593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54CF">
        <w:rPr>
          <w:rFonts w:ascii="Arial" w:eastAsia="Times New Roman" w:hAnsi="Arial" w:cs="Arial"/>
          <w:b/>
          <w:iCs/>
          <w:sz w:val="22"/>
          <w:szCs w:val="22"/>
          <w:lang w:eastAsia="fr-FR"/>
        </w:rPr>
        <w:t>Répartition homme / femme par CAP</w:t>
      </w:r>
    </w:p>
    <w:p w:rsidR="00FA54CF" w:rsidRPr="00FA54CF" w:rsidRDefault="00FA54CF" w:rsidP="00FA54CF">
      <w:pPr>
        <w:widowControl w:val="0"/>
        <w:autoSpaceDE w:val="0"/>
        <w:autoSpaceDN w:val="0"/>
        <w:adjustRightInd w:val="0"/>
        <w:jc w:val="both"/>
        <w:rPr>
          <w:rFonts w:ascii="Arial" w:eastAsia="Cambria" w:hAnsi="Arial" w:cs="Times New Roman"/>
          <w:sz w:val="22"/>
        </w:rPr>
      </w:pPr>
    </w:p>
    <w:p w:rsidR="00FA54CF" w:rsidRPr="00FA54CF" w:rsidRDefault="00FA54CF" w:rsidP="00FA54CF">
      <w:pPr>
        <w:spacing w:after="160" w:line="259" w:lineRule="auto"/>
        <w:rPr>
          <w:rFonts w:ascii="Arial" w:eastAsia="Cambria" w:hAnsi="Arial" w:cs="Times New Roman"/>
          <w:sz w:val="22"/>
        </w:rPr>
      </w:pPr>
      <w:r w:rsidRPr="00FA54CF">
        <w:rPr>
          <w:rFonts w:ascii="Arial" w:eastAsia="Cambria" w:hAnsi="Arial" w:cs="Times New Roman"/>
          <w:sz w:val="22"/>
        </w:rPr>
        <w:br w:type="page"/>
      </w:r>
    </w:p>
    <w:p w:rsidR="00FA54CF" w:rsidRPr="00FA54CF" w:rsidRDefault="00FA54CF" w:rsidP="00FA54CF">
      <w:pPr>
        <w:widowControl w:val="0"/>
        <w:autoSpaceDE w:val="0"/>
        <w:autoSpaceDN w:val="0"/>
        <w:adjustRightInd w:val="0"/>
        <w:jc w:val="both"/>
        <w:rPr>
          <w:rFonts w:ascii="Arial" w:eastAsia="Cambria" w:hAnsi="Arial" w:cs="Times New Roman"/>
          <w:sz w:val="22"/>
        </w:rPr>
      </w:pPr>
    </w:p>
    <w:p w:rsidR="00FA54CF" w:rsidRPr="00FA54CF" w:rsidRDefault="00FA54CF" w:rsidP="00FA54CF">
      <w:pPr>
        <w:widowControl w:val="0"/>
        <w:autoSpaceDE w:val="0"/>
        <w:autoSpaceDN w:val="0"/>
        <w:adjustRightInd w:val="0"/>
        <w:jc w:val="both"/>
        <w:rPr>
          <w:rFonts w:ascii="Arial" w:eastAsia="Cambria" w:hAnsi="Arial" w:cs="Times New Roman"/>
          <w:sz w:val="22"/>
        </w:rPr>
      </w:pPr>
      <w:r w:rsidRPr="00FA54CF">
        <w:rPr>
          <w:rFonts w:ascii="Arial" w:eastAsia="Cambria" w:hAnsi="Arial" w:cs="Times New Roman"/>
          <w:sz w:val="22"/>
        </w:rPr>
        <w:t>Au Ministère de la Culture et de la Communication, les CAP se réunissent généralement deux fois par an.</w:t>
      </w:r>
    </w:p>
    <w:p w:rsidR="00FA54CF" w:rsidRPr="00FA54CF" w:rsidRDefault="00FA54CF" w:rsidP="00FA54CF">
      <w:pPr>
        <w:widowControl w:val="0"/>
        <w:autoSpaceDE w:val="0"/>
        <w:autoSpaceDN w:val="0"/>
        <w:adjustRightInd w:val="0"/>
        <w:spacing w:before="240"/>
        <w:jc w:val="center"/>
        <w:rPr>
          <w:rFonts w:ascii="Arial" w:eastAsia="Cambria" w:hAnsi="Arial" w:cs="Times New Roman"/>
          <w:b/>
          <w:sz w:val="22"/>
        </w:rPr>
      </w:pPr>
      <w:r w:rsidRPr="00FA54CF">
        <w:rPr>
          <w:rFonts w:ascii="Arial" w:eastAsia="Cambria" w:hAnsi="Arial" w:cs="Times New Roman"/>
          <w:b/>
          <w:sz w:val="22"/>
        </w:rPr>
        <w:t>Calendrier des CAP du printemps 2013</w:t>
      </w:r>
    </w:p>
    <w:p w:rsidR="00FA54CF" w:rsidRPr="00FA54CF" w:rsidRDefault="00FA54CF" w:rsidP="00FA54CF">
      <w:pPr>
        <w:widowControl w:val="0"/>
        <w:autoSpaceDE w:val="0"/>
        <w:autoSpaceDN w:val="0"/>
        <w:adjustRightInd w:val="0"/>
        <w:spacing w:before="57" w:after="57"/>
        <w:jc w:val="both"/>
        <w:rPr>
          <w:rFonts w:ascii="Arial" w:eastAsia="Cambria" w:hAnsi="Arial" w:cs="Times New Roman"/>
          <w:sz w:val="22"/>
        </w:rPr>
      </w:pPr>
      <w:r w:rsidRPr="00FA54CF">
        <w:rPr>
          <w:rFonts w:ascii="Arial" w:eastAsia="Cambria" w:hAnsi="Arial" w:cs="Times New Roman"/>
          <w:noProof/>
          <w:sz w:val="22"/>
          <w:lang w:eastAsia="fr-FR"/>
        </w:rPr>
        <w:drawing>
          <wp:inline distT="0" distB="0" distL="0" distR="0" wp14:anchorId="4DAF162D" wp14:editId="50F2A984">
            <wp:extent cx="5653405" cy="5455882"/>
            <wp:effectExtent l="0" t="0" r="4445"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58058" cy="5460372"/>
                    </a:xfrm>
                    <a:prstGeom prst="rect">
                      <a:avLst/>
                    </a:prstGeom>
                    <a:noFill/>
                  </pic:spPr>
                </pic:pic>
              </a:graphicData>
            </a:graphic>
          </wp:inline>
        </w:drawing>
      </w:r>
    </w:p>
    <w:p w:rsidR="00FA54CF" w:rsidRPr="00FA54CF" w:rsidRDefault="00FA54CF" w:rsidP="00FA54CF">
      <w:pPr>
        <w:widowControl w:val="0"/>
        <w:autoSpaceDE w:val="0"/>
        <w:autoSpaceDN w:val="0"/>
        <w:adjustRightInd w:val="0"/>
        <w:spacing w:before="57" w:after="57"/>
        <w:jc w:val="both"/>
        <w:rPr>
          <w:rFonts w:ascii="Arial" w:eastAsia="Cambria" w:hAnsi="Arial" w:cs="Times New Roman"/>
          <w:sz w:val="22"/>
        </w:rPr>
      </w:pPr>
    </w:p>
    <w:p w:rsidR="00FA54CF" w:rsidRPr="00FA54CF" w:rsidRDefault="00FA54CF" w:rsidP="00FA54CF">
      <w:pPr>
        <w:spacing w:after="160" w:line="259" w:lineRule="auto"/>
        <w:rPr>
          <w:rFonts w:ascii="Arial" w:eastAsia="Cambria" w:hAnsi="Arial" w:cs="Times New Roman"/>
          <w:sz w:val="22"/>
        </w:rPr>
      </w:pPr>
      <w:r w:rsidRPr="00FA54CF">
        <w:rPr>
          <w:rFonts w:ascii="Arial" w:eastAsia="Cambria" w:hAnsi="Arial" w:cs="Times New Roman"/>
          <w:sz w:val="22"/>
        </w:rPr>
        <w:br w:type="page"/>
      </w:r>
    </w:p>
    <w:p w:rsidR="00FA54CF" w:rsidRPr="00FA54CF" w:rsidRDefault="00FA54CF" w:rsidP="00FA54CF">
      <w:pPr>
        <w:widowControl w:val="0"/>
        <w:autoSpaceDE w:val="0"/>
        <w:autoSpaceDN w:val="0"/>
        <w:adjustRightInd w:val="0"/>
        <w:spacing w:before="240" w:after="160"/>
        <w:jc w:val="center"/>
        <w:rPr>
          <w:rFonts w:ascii="Arial" w:eastAsia="Cambria" w:hAnsi="Arial" w:cs="Times New Roman"/>
          <w:b/>
          <w:sz w:val="22"/>
        </w:rPr>
      </w:pPr>
      <w:r w:rsidRPr="00FA54CF">
        <w:rPr>
          <w:rFonts w:ascii="Arial" w:eastAsia="Cambria" w:hAnsi="Arial" w:cs="Times New Roman"/>
          <w:b/>
          <w:sz w:val="22"/>
        </w:rPr>
        <w:lastRenderedPageBreak/>
        <w:t>Calendrier des CAP de l’automne 2013</w:t>
      </w:r>
    </w:p>
    <w:p w:rsidR="00FA54CF" w:rsidRPr="00FA54CF" w:rsidRDefault="00FA54CF" w:rsidP="00FA54CF">
      <w:pPr>
        <w:widowControl w:val="0"/>
        <w:autoSpaceDE w:val="0"/>
        <w:autoSpaceDN w:val="0"/>
        <w:adjustRightInd w:val="0"/>
        <w:spacing w:before="57" w:after="57"/>
        <w:jc w:val="both"/>
        <w:rPr>
          <w:rFonts w:ascii="Arial" w:eastAsia="Cambria" w:hAnsi="Arial" w:cs="Times New Roman"/>
          <w:sz w:val="22"/>
        </w:rPr>
      </w:pPr>
      <w:r w:rsidRPr="00FA54CF">
        <w:rPr>
          <w:rFonts w:ascii="Calibri" w:eastAsia="Calibri" w:hAnsi="Calibri" w:cs="Times New Roman"/>
          <w:noProof/>
          <w:sz w:val="22"/>
          <w:szCs w:val="22"/>
          <w:lang w:eastAsia="fr-FR"/>
        </w:rPr>
        <w:drawing>
          <wp:inline distT="0" distB="0" distL="0" distR="0" wp14:anchorId="085E1FBF" wp14:editId="1DF4A05B">
            <wp:extent cx="5760720" cy="5345794"/>
            <wp:effectExtent l="0" t="0" r="0" b="762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60720" cy="5345794"/>
                    </a:xfrm>
                    <a:prstGeom prst="rect">
                      <a:avLst/>
                    </a:prstGeom>
                    <a:noFill/>
                    <a:ln>
                      <a:noFill/>
                    </a:ln>
                  </pic:spPr>
                </pic:pic>
              </a:graphicData>
            </a:graphic>
          </wp:inline>
        </w:drawing>
      </w:r>
    </w:p>
    <w:p w:rsidR="00FA54CF" w:rsidRPr="00FA54CF" w:rsidRDefault="00FA54CF" w:rsidP="00FA54CF">
      <w:pPr>
        <w:widowControl w:val="0"/>
        <w:autoSpaceDE w:val="0"/>
        <w:autoSpaceDN w:val="0"/>
        <w:adjustRightInd w:val="0"/>
        <w:spacing w:before="57" w:after="57"/>
        <w:jc w:val="both"/>
        <w:rPr>
          <w:rFonts w:ascii="Arial" w:eastAsia="Cambria" w:hAnsi="Arial" w:cs="Times New Roman"/>
          <w:sz w:val="22"/>
        </w:rPr>
      </w:pPr>
    </w:p>
    <w:p w:rsidR="00FA54CF" w:rsidRPr="00FA54CF" w:rsidRDefault="00FA54CF" w:rsidP="00FA54CF">
      <w:pPr>
        <w:spacing w:after="160" w:line="259" w:lineRule="auto"/>
        <w:rPr>
          <w:rFonts w:ascii="Arial" w:eastAsia="Cambria" w:hAnsi="Arial" w:cs="Times New Roman"/>
          <w:sz w:val="22"/>
        </w:rPr>
      </w:pPr>
      <w:r w:rsidRPr="00FA54CF">
        <w:rPr>
          <w:rFonts w:ascii="Arial" w:eastAsia="Cambria" w:hAnsi="Arial" w:cs="Times New Roman"/>
          <w:sz w:val="22"/>
        </w:rPr>
        <w:br w:type="page"/>
      </w:r>
    </w:p>
    <w:p w:rsidR="00FA54CF" w:rsidRPr="00FA54CF" w:rsidRDefault="00FA54CF" w:rsidP="00FA54CF">
      <w:pPr>
        <w:widowControl w:val="0"/>
        <w:autoSpaceDE w:val="0"/>
        <w:autoSpaceDN w:val="0"/>
        <w:adjustRightInd w:val="0"/>
        <w:spacing w:before="57" w:after="57"/>
        <w:jc w:val="both"/>
        <w:rPr>
          <w:rFonts w:ascii="Arial" w:eastAsia="Cambria" w:hAnsi="Arial" w:cs="Times New Roman"/>
          <w:sz w:val="22"/>
        </w:rPr>
      </w:pPr>
      <w:r w:rsidRPr="00FA54CF">
        <w:rPr>
          <w:rFonts w:ascii="Calibri" w:eastAsia="Calibri" w:hAnsi="Calibri" w:cs="Times New Roman"/>
          <w:noProof/>
          <w:sz w:val="22"/>
          <w:szCs w:val="22"/>
          <w:lang w:eastAsia="fr-FR"/>
        </w:rPr>
        <w:lastRenderedPageBreak/>
        <mc:AlternateContent>
          <mc:Choice Requires="wps">
            <w:drawing>
              <wp:anchor distT="0" distB="0" distL="114300" distR="114300" simplePos="0" relativeHeight="251869184" behindDoc="0" locked="0" layoutInCell="1" allowOverlap="1" wp14:anchorId="4CB87EDA" wp14:editId="5CE74916">
                <wp:simplePos x="0" y="0"/>
                <wp:positionH relativeFrom="column">
                  <wp:posOffset>1549400</wp:posOffset>
                </wp:positionH>
                <wp:positionV relativeFrom="paragraph">
                  <wp:posOffset>-425450</wp:posOffset>
                </wp:positionV>
                <wp:extent cx="1828800" cy="1828800"/>
                <wp:effectExtent l="0" t="0" r="0" b="0"/>
                <wp:wrapNone/>
                <wp:docPr id="281" name="Zone de texte 2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B1397" w:rsidRPr="00B95022" w:rsidRDefault="007B1397" w:rsidP="00FA54CF">
                            <w:pPr>
                              <w:widowControl w:val="0"/>
                              <w:autoSpaceDE w:val="0"/>
                              <w:autoSpaceDN w:val="0"/>
                              <w:adjustRightInd w:val="0"/>
                              <w:jc w:val="center"/>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B95022">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4CB87EDA" id="Zone de texte 281" o:spid="_x0000_s1094" type="#_x0000_t202" style="position:absolute;left:0;text-align:left;margin-left:122pt;margin-top:-33.5pt;width:2in;height:2in;z-index:251869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" filled="f" stroked="f">
                <v:textbox style="mso-fit-shape-to-text:t">
                  <w:txbxContent>
                    <w:p w:rsidR="007B1397" w:rsidRPr="00B95022" w:rsidRDefault="007B1397" w:rsidP="00FA54CF">
                      <w:pPr>
                        <w:widowControl w:val="0"/>
                        <w:autoSpaceDE w:val="0"/>
                        <w:autoSpaceDN w:val="0"/>
                        <w:adjustRightInd w:val="0"/>
                        <w:jc w:val="center"/>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B95022">
                        <w:rPr>
                          <w:rFonts w:ascii="Arial" w:eastAsia="Cambria" w:hAnsi="Arial" w:cs="Times New Roman"/>
                          <w:b/>
                          <w:color w:val="FF0000"/>
                          <w:sz w:val="36"/>
                          <w:szCs w:val="36"/>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v:textbox>
              </v:shape>
            </w:pict>
          </mc:Fallback>
        </mc:AlternateContent>
      </w:r>
    </w:p>
    <w:p w:rsidR="00FA54CF" w:rsidRPr="00FA54CF" w:rsidRDefault="00FA54CF" w:rsidP="00FA54CF">
      <w:pPr>
        <w:widowControl w:val="0"/>
        <w:autoSpaceDE w:val="0"/>
        <w:autoSpaceDN w:val="0"/>
        <w:adjustRightInd w:val="0"/>
        <w:jc w:val="both"/>
        <w:rPr>
          <w:rFonts w:ascii="Florencesans Exp" w:eastAsia="Cambria" w:hAnsi="Florencesans Exp" w:cs="Times New Roman"/>
        </w:rPr>
      </w:pPr>
      <w:r w:rsidRPr="00FA54CF">
        <w:rPr>
          <w:rFonts w:ascii="Florencesans Exp" w:eastAsia="Cambria" w:hAnsi="Florencesans Exp" w:cs="Times New Roman"/>
        </w:rPr>
        <w:t>7. A. 4. LES COMMISSIONS CONSULTATIVES PARITAIRES (CCP)</w:t>
      </w:r>
    </w:p>
    <w:p w:rsidR="00FA54CF" w:rsidRPr="00FA54CF" w:rsidRDefault="00FA54CF" w:rsidP="00FA54CF">
      <w:pPr>
        <w:widowControl w:val="0"/>
        <w:autoSpaceDE w:val="0"/>
        <w:autoSpaceDN w:val="0"/>
        <w:adjustRightInd w:val="0"/>
        <w:jc w:val="both"/>
        <w:rPr>
          <w:rFonts w:ascii="Cambria" w:eastAsia="Cambria" w:hAnsi="Cambria" w:cs="Times New Roman"/>
          <w:iCs/>
          <w:sz w:val="22"/>
          <w:szCs w:val="12"/>
          <w:u w:color="000000"/>
        </w:rPr>
      </w:pPr>
    </w:p>
    <w:p w:rsidR="00FA54CF" w:rsidRPr="00FA54CF" w:rsidRDefault="00FA54CF" w:rsidP="00FA54CF">
      <w:pPr>
        <w:jc w:val="both"/>
        <w:rPr>
          <w:rFonts w:ascii="Arial" w:eastAsia="Times New Roman" w:hAnsi="Arial" w:cs="Arial"/>
          <w:sz w:val="22"/>
          <w:szCs w:val="22"/>
          <w:lang w:eastAsia="fr-FR"/>
        </w:rPr>
      </w:pPr>
      <w:r w:rsidRPr="00FA54CF">
        <w:rPr>
          <w:rFonts w:ascii="Arial" w:eastAsia="Times New Roman" w:hAnsi="Arial" w:cs="Arial"/>
          <w:b/>
          <w:bCs/>
          <w:color w:val="000000"/>
          <w:sz w:val="22"/>
          <w:szCs w:val="22"/>
          <w:lang w:eastAsia="fr-FR"/>
        </w:rPr>
        <w:t>Les réunions des commissions consultatives paritaires ministérielles</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La CCP compétente à l'égard des agents relevant de la direction générale de la création artistique, ainsi que la CCP compétente à l'égard des agents relevant du secrétariat général, d'un service déconcentré ou d'une direction (autre que la DGCA et la DGPAT) ne se sont pas réunies en 2013.</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xml:space="preserve">En revanche, la CCP compétente à l'égard des personnels enseignants a été convoquée </w:t>
      </w:r>
      <w:r w:rsidRPr="00FA54CF">
        <w:rPr>
          <w:rFonts w:ascii="Arial" w:eastAsia="Times New Roman" w:hAnsi="Arial" w:cs="Arial"/>
          <w:color w:val="000000"/>
          <w:sz w:val="22"/>
          <w:szCs w:val="22"/>
          <w:lang w:eastAsia="fr-FR"/>
        </w:rPr>
        <w:br/>
      </w:r>
      <w:r w:rsidRPr="00FA54CF">
        <w:rPr>
          <w:rFonts w:ascii="Arial" w:eastAsia="Times New Roman" w:hAnsi="Arial" w:cs="Arial"/>
          <w:color w:val="000000"/>
          <w:sz w:val="22"/>
          <w:szCs w:val="22"/>
          <w:u w:val="single"/>
          <w:lang w:eastAsia="fr-FR"/>
        </w:rPr>
        <w:t>le 4 juin 2013</w:t>
      </w:r>
      <w:r w:rsidRPr="00FA54CF">
        <w:rPr>
          <w:rFonts w:ascii="Arial" w:eastAsia="Times New Roman" w:hAnsi="Arial" w:cs="Arial"/>
          <w:color w:val="000000"/>
          <w:sz w:val="22"/>
          <w:szCs w:val="22"/>
          <w:lang w:eastAsia="fr-FR"/>
        </w:rPr>
        <w:t>, afin d'examiner les modalités d'application aux enseignants des orientations ministérielles en matière de CDIsation et de contractualisation (examen de deux saisines</w:t>
      </w:r>
      <w:r w:rsidRPr="00FA54CF">
        <w:rPr>
          <w:rFonts w:ascii="Arial" w:eastAsia="Times New Roman" w:hAnsi="Arial" w:cs="Arial"/>
          <w:i/>
          <w:iCs/>
          <w:color w:val="000000"/>
          <w:sz w:val="22"/>
          <w:szCs w:val="22"/>
          <w:lang w:eastAsia="fr-FR"/>
        </w:rPr>
        <w:t xml:space="preserve"> « sur les questions d’ordre individuel par les intéressés [...] par demande écrite adressée au président »).</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En outre, la CCP compétente à l'égard des agents relevant de la direction générale des patrimoines a été convoquée :</w:t>
      </w:r>
    </w:p>
    <w:p w:rsidR="00FA54CF" w:rsidRPr="00FA54CF" w:rsidRDefault="00FA54CF" w:rsidP="0034289D">
      <w:pPr>
        <w:numPr>
          <w:ilvl w:val="0"/>
          <w:numId w:val="35"/>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xml:space="preserve">le </w:t>
      </w:r>
      <w:r w:rsidRPr="00FA54CF">
        <w:rPr>
          <w:rFonts w:ascii="Arial" w:eastAsia="Times New Roman" w:hAnsi="Arial" w:cs="Arial"/>
          <w:color w:val="000000"/>
          <w:sz w:val="22"/>
          <w:szCs w:val="22"/>
          <w:u w:val="single"/>
          <w:lang w:eastAsia="fr-FR"/>
        </w:rPr>
        <w:t>7 juillet 2013</w:t>
      </w:r>
      <w:r w:rsidRPr="00FA54CF">
        <w:rPr>
          <w:rFonts w:ascii="Arial" w:eastAsia="Times New Roman" w:hAnsi="Arial" w:cs="Arial"/>
          <w:color w:val="000000"/>
          <w:sz w:val="22"/>
          <w:szCs w:val="22"/>
          <w:lang w:eastAsia="fr-FR"/>
        </w:rPr>
        <w:t xml:space="preserve"> pour examiner une demande de licenciement dans l’intérêt du service concernant un agent affecté au Musée Guimet et se prononcer sur la proposition de désignation de deux représentants de la CCP pour assister aux réunions des comités techniques, lorsque des points de l'ordre du jour concernent la situation des agents non titulaires.</w:t>
      </w:r>
    </w:p>
    <w:p w:rsidR="00FA54CF" w:rsidRPr="00FA54CF" w:rsidRDefault="00FA54CF" w:rsidP="0034289D">
      <w:pPr>
        <w:numPr>
          <w:ilvl w:val="0"/>
          <w:numId w:val="35"/>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xml:space="preserve">le </w:t>
      </w:r>
      <w:r w:rsidRPr="00FA54CF">
        <w:rPr>
          <w:rFonts w:ascii="Arial" w:eastAsia="Times New Roman" w:hAnsi="Arial" w:cs="Arial"/>
          <w:color w:val="000000"/>
          <w:sz w:val="22"/>
          <w:szCs w:val="22"/>
          <w:u w:val="single"/>
          <w:lang w:eastAsia="fr-FR"/>
        </w:rPr>
        <w:t>27 septembre 2013</w:t>
      </w:r>
      <w:r w:rsidRPr="00FA54CF">
        <w:rPr>
          <w:rFonts w:ascii="Arial" w:eastAsia="Times New Roman" w:hAnsi="Arial" w:cs="Arial"/>
          <w:color w:val="000000"/>
          <w:sz w:val="22"/>
          <w:szCs w:val="22"/>
          <w:lang w:eastAsia="fr-FR"/>
        </w:rPr>
        <w:t xml:space="preserve"> dans le cadre d'une procédure disciplinaire à l'encontre d'un agent affecté à l’École nationale supérieur d'architecture de Lyon. En raison d'un défaut de quorum, cette commission a fait l'objet d'une nouvelle convocation </w:t>
      </w:r>
      <w:r w:rsidRPr="00FA54CF">
        <w:rPr>
          <w:rFonts w:ascii="Arial" w:eastAsia="Times New Roman" w:hAnsi="Arial" w:cs="Arial"/>
          <w:color w:val="000000"/>
          <w:sz w:val="22"/>
          <w:szCs w:val="22"/>
          <w:u w:val="single"/>
          <w:lang w:eastAsia="fr-FR"/>
        </w:rPr>
        <w:t>le 18 octobre 2013</w:t>
      </w:r>
      <w:r w:rsidRPr="00FA54CF">
        <w:rPr>
          <w:rFonts w:ascii="Arial" w:eastAsia="Times New Roman" w:hAnsi="Arial" w:cs="Arial"/>
          <w:color w:val="000000"/>
          <w:sz w:val="22"/>
          <w:szCs w:val="22"/>
          <w:lang w:eastAsia="fr-FR"/>
        </w:rPr>
        <w:t>.</w:t>
      </w:r>
    </w:p>
    <w:p w:rsidR="00FA54CF" w:rsidRPr="00FA54CF" w:rsidRDefault="00FA54CF" w:rsidP="00FA54CF">
      <w:pPr>
        <w:widowControl w:val="0"/>
        <w:autoSpaceDE w:val="0"/>
        <w:autoSpaceDN w:val="0"/>
        <w:adjustRightInd w:val="0"/>
        <w:jc w:val="both"/>
        <w:rPr>
          <w:rFonts w:ascii="Arial" w:eastAsia="Cambria" w:hAnsi="Arial" w:cs="Arial"/>
          <w:sz w:val="22"/>
          <w:szCs w:val="22"/>
          <w:u w:color="000000"/>
        </w:rPr>
      </w:pPr>
    </w:p>
    <w:p w:rsidR="00FA54CF" w:rsidRPr="00FA54CF" w:rsidRDefault="00FA54CF" w:rsidP="00FA54CF">
      <w:pPr>
        <w:widowControl w:val="0"/>
        <w:autoSpaceDE w:val="0"/>
        <w:autoSpaceDN w:val="0"/>
        <w:adjustRightInd w:val="0"/>
        <w:jc w:val="both"/>
        <w:rPr>
          <w:rFonts w:ascii="Arial" w:eastAsia="Cambria" w:hAnsi="Arial" w:cs="Arial"/>
          <w:sz w:val="22"/>
          <w:szCs w:val="22"/>
          <w:u w:color="000000"/>
        </w:rPr>
      </w:pPr>
    </w:p>
    <w:p w:rsidR="00FA54CF" w:rsidRPr="00FA54CF" w:rsidRDefault="00FA54CF" w:rsidP="00FA54CF">
      <w:pPr>
        <w:widowControl w:val="0"/>
        <w:autoSpaceDE w:val="0"/>
        <w:autoSpaceDN w:val="0"/>
        <w:adjustRightInd w:val="0"/>
        <w:jc w:val="both"/>
        <w:rPr>
          <w:rFonts w:ascii="Arial" w:eastAsia="Cambria" w:hAnsi="Arial" w:cs="Arial"/>
          <w:sz w:val="22"/>
          <w:szCs w:val="22"/>
          <w:u w:color="000000"/>
        </w:rPr>
      </w:pPr>
    </w:p>
    <w:p w:rsidR="00FA54CF" w:rsidRPr="00FA54CF" w:rsidRDefault="00FA54CF" w:rsidP="00FA54CF">
      <w:pPr>
        <w:widowControl w:val="0"/>
        <w:autoSpaceDE w:val="0"/>
        <w:autoSpaceDN w:val="0"/>
        <w:adjustRightInd w:val="0"/>
        <w:spacing w:after="160"/>
        <w:jc w:val="both"/>
        <w:rPr>
          <w:rFonts w:ascii="Arial" w:eastAsia="Cambria" w:hAnsi="Arial" w:cs="Times New Roman"/>
          <w:sz w:val="22"/>
        </w:rPr>
      </w:pPr>
      <w:r w:rsidRPr="00FA54CF">
        <w:rPr>
          <w:rFonts w:ascii="Calibri" w:eastAsia="Calibri" w:hAnsi="Calibri" w:cs="Times New Roman"/>
          <w:noProof/>
          <w:sz w:val="22"/>
          <w:szCs w:val="22"/>
          <w:lang w:eastAsia="fr-FR"/>
        </w:rPr>
        <w:drawing>
          <wp:anchor distT="0" distB="0" distL="114300" distR="114300" simplePos="0" relativeHeight="251864064" behindDoc="1" locked="0" layoutInCell="1" allowOverlap="1" wp14:anchorId="2FEBAD4E" wp14:editId="7F645AC8">
            <wp:simplePos x="0" y="0"/>
            <wp:positionH relativeFrom="margin">
              <wp:align>center</wp:align>
            </wp:positionH>
            <wp:positionV relativeFrom="paragraph">
              <wp:posOffset>560705</wp:posOffset>
            </wp:positionV>
            <wp:extent cx="6636617" cy="2806700"/>
            <wp:effectExtent l="0" t="0" r="0" b="0"/>
            <wp:wrapTight wrapText="bothSides">
              <wp:wrapPolygon edited="0">
                <wp:start x="0" y="0"/>
                <wp:lineTo x="0" y="21405"/>
                <wp:lineTo x="124" y="21405"/>
                <wp:lineTo x="124" y="21111"/>
                <wp:lineTo x="21267" y="20085"/>
                <wp:lineTo x="21515" y="18912"/>
                <wp:lineTo x="21515" y="15247"/>
                <wp:lineTo x="21267" y="14367"/>
                <wp:lineTo x="21515" y="14074"/>
                <wp:lineTo x="21515" y="12022"/>
                <wp:lineTo x="20089" y="11729"/>
                <wp:lineTo x="21515" y="10849"/>
                <wp:lineTo x="21515" y="10556"/>
                <wp:lineTo x="20089" y="9383"/>
                <wp:lineTo x="21143" y="8943"/>
                <wp:lineTo x="21143" y="8357"/>
                <wp:lineTo x="20089" y="7037"/>
                <wp:lineTo x="21205" y="7037"/>
                <wp:lineTo x="21515" y="6597"/>
                <wp:lineTo x="21515" y="0"/>
                <wp:lineTo x="0" y="0"/>
              </wp:wrapPolygon>
            </wp:wrapTight>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636617" cy="2806700"/>
                    </a:xfrm>
                    <a:prstGeom prst="rect">
                      <a:avLst/>
                    </a:prstGeom>
                    <a:noFill/>
                    <a:ln>
                      <a:noFill/>
                    </a:ln>
                  </pic:spPr>
                </pic:pic>
              </a:graphicData>
            </a:graphic>
          </wp:anchor>
        </w:drawing>
      </w:r>
      <w:r w:rsidRPr="00FA54CF">
        <w:rPr>
          <w:rFonts w:ascii="Arial" w:eastAsia="Times New Roman" w:hAnsi="Arial" w:cs="Arial"/>
          <w:b/>
          <w:color w:val="000000"/>
          <w:sz w:val="22"/>
          <w:szCs w:val="22"/>
          <w:lang w:eastAsia="fr-FR"/>
        </w:rPr>
        <w:t>La répartition par genre des représentants du personnel (titulaires et suppléants) par type d'instance (CT, CHSCT, CAP)</w:t>
      </w:r>
    </w:p>
    <w:p w:rsidR="00FA54CF" w:rsidRPr="00FA54CF" w:rsidRDefault="00FA54CF" w:rsidP="00FA54CF">
      <w:pPr>
        <w:spacing w:after="160" w:line="259" w:lineRule="auto"/>
        <w:rPr>
          <w:rFonts w:ascii="Cambria" w:eastAsia="Cambria" w:hAnsi="Cambria" w:cs="Times New Roman"/>
          <w:sz w:val="22"/>
          <w:u w:color="000000"/>
        </w:rPr>
      </w:pPr>
      <w:r w:rsidRPr="00FA54CF">
        <w:rPr>
          <w:rFonts w:ascii="Cambria" w:eastAsia="Cambria" w:hAnsi="Cambria" w:cs="Times New Roman"/>
          <w:sz w:val="22"/>
          <w:u w:color="000000"/>
        </w:rPr>
        <w:br w:type="page"/>
      </w:r>
    </w:p>
    <w:p w:rsidR="00FA54CF" w:rsidRPr="00FA54CF" w:rsidRDefault="00FA54CF" w:rsidP="00FA54CF">
      <w:pPr>
        <w:widowControl w:val="0"/>
        <w:autoSpaceDE w:val="0"/>
        <w:autoSpaceDN w:val="0"/>
        <w:adjustRightInd w:val="0"/>
        <w:spacing w:before="57" w:after="57"/>
        <w:jc w:val="both"/>
        <w:rPr>
          <w:rFonts w:ascii="Cambria" w:eastAsia="Cambria" w:hAnsi="Cambria" w:cs="Times New Roman"/>
          <w:sz w:val="22"/>
          <w:u w:color="000000"/>
        </w:rPr>
      </w:pPr>
      <w:r w:rsidRPr="00FA54CF">
        <w:rPr>
          <w:rFonts w:ascii="Calibri" w:eastAsia="Calibri" w:hAnsi="Calibri" w:cs="Times New Roman"/>
          <w:noProof/>
          <w:sz w:val="22"/>
          <w:szCs w:val="22"/>
          <w:lang w:eastAsia="fr-FR"/>
        </w:rPr>
        <w:lastRenderedPageBreak/>
        <mc:AlternateContent>
          <mc:Choice Requires="wps">
            <w:drawing>
              <wp:anchor distT="0" distB="0" distL="114300" distR="114300" simplePos="0" relativeHeight="251870208" behindDoc="0" locked="0" layoutInCell="1" allowOverlap="1" wp14:anchorId="47FB9581" wp14:editId="19A3509B">
                <wp:simplePos x="0" y="0"/>
                <wp:positionH relativeFrom="column">
                  <wp:posOffset>-1061027</wp:posOffset>
                </wp:positionH>
                <wp:positionV relativeFrom="paragraph">
                  <wp:posOffset>-531091</wp:posOffset>
                </wp:positionV>
                <wp:extent cx="1828800" cy="1828800"/>
                <wp:effectExtent l="0" t="323850" r="0" b="318770"/>
                <wp:wrapNone/>
                <wp:docPr id="282" name="Zone de texte 2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scene3d>
                          <a:camera prst="isometricRightUp"/>
                          <a:lightRig rig="threePt" dir="t"/>
                        </a:scene3d>
                      </wps:spPr>
                      <wps:txbx>
                        <w:txbxContent>
                          <w:p w:rsidR="007B1397" w:rsidRPr="00FA54CF" w:rsidRDefault="007B1397" w:rsidP="00FA54CF">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FA54CF">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47FB9581" id="Zone de texte 282" o:spid="_x0000_s1095" type="#_x0000_t202" style="position:absolute;left:0;text-align:left;margin-left:-83.55pt;margin-top:-41.8pt;width:2in;height:2in;z-index:251870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" filled="f" stroked="f">
                <v:textbox style="mso-fit-shape-to-text:t">
                  <w:txbxContent>
                    <w:p w:rsidR="007B1397" w:rsidRPr="00FA54CF" w:rsidRDefault="007B1397" w:rsidP="00FA54CF">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FA54CF">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v:textbox>
              </v:shape>
            </w:pict>
          </mc:Fallback>
        </mc:AlternateContent>
      </w:r>
    </w:p>
    <w:p w:rsidR="00FA54CF" w:rsidRPr="00FA54CF" w:rsidRDefault="00FA54CF" w:rsidP="00FA54CF">
      <w:pPr>
        <w:ind w:left="1134" w:hanging="1134"/>
        <w:rPr>
          <w:rFonts w:ascii="Florencesans Exp" w:eastAsia="Cambria" w:hAnsi="Florencesans Exp" w:cs="Times New Roman"/>
        </w:rPr>
      </w:pPr>
      <w:r w:rsidRPr="00FA54CF">
        <w:rPr>
          <w:rFonts w:ascii="Florencesans Exp" w:eastAsia="Cambria" w:hAnsi="Florencesans Exp" w:cs="Times New Roman"/>
          <w:lang w:eastAsia="fr-FR"/>
        </w:rPr>
        <w:t xml:space="preserve">7. A. 5. </w:t>
      </w:r>
      <w:r w:rsidRPr="00FA54CF">
        <w:rPr>
          <w:rFonts w:ascii="Florencesans Exp" w:eastAsia="Cambria" w:hAnsi="Florencesans Exp" w:cs="Times New Roman"/>
        </w:rPr>
        <w:t>ÉVENEMENT IMPORTANT CONCERNANT LE DIALOGUE SOCIAL EN 2013</w:t>
      </w:r>
    </w:p>
    <w:p w:rsidR="00FA54CF" w:rsidRPr="00FA54CF" w:rsidRDefault="00FA54CF" w:rsidP="00FA54CF">
      <w:pPr>
        <w:widowControl w:val="0"/>
        <w:autoSpaceDE w:val="0"/>
        <w:autoSpaceDN w:val="0"/>
        <w:adjustRightInd w:val="0"/>
        <w:jc w:val="both"/>
        <w:rPr>
          <w:rFonts w:ascii="BlairMdITC TT-Medium" w:eastAsia="Cambria" w:hAnsi="BlairMdITC TT-Medium" w:cs="Times New Roman"/>
        </w:rPr>
      </w:pPr>
    </w:p>
    <w:p w:rsidR="00FA54CF" w:rsidRPr="00FA54CF" w:rsidRDefault="00FA54CF" w:rsidP="00FA54CF">
      <w:pPr>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Le tribunal administratif de Paris a rendu son jugement concernant l'affaire opposant le SNU-FO au Ministère de la culture et de la communication le 5 juin 2013.</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Le juge a annulé les arrêtés ministériels modifiant la composition du comité technique ministériel et du comité national d'action sociale pris en début d'année 2012, estimant que "</w:t>
      </w:r>
      <w:r w:rsidRPr="00FA54CF">
        <w:rPr>
          <w:rFonts w:ascii="Arial" w:eastAsia="Times New Roman" w:hAnsi="Arial" w:cs="Arial"/>
          <w:i/>
          <w:iCs/>
          <w:color w:val="000000"/>
          <w:sz w:val="22"/>
          <w:szCs w:val="22"/>
          <w:lang w:eastAsia="fr-FR"/>
        </w:rPr>
        <w:t>ni le SNAC-FO, compte-tenu de sa nouvelle composition, ni le SNU-FO, faute d'avoir participer aux élections [...] ne pouvaient justifier de leur représentativité à l'échelon du ministère de la culture et de la communication</w:t>
      </w:r>
      <w:r w:rsidRPr="00FA54CF">
        <w:rPr>
          <w:rFonts w:ascii="Arial" w:eastAsia="Times New Roman" w:hAnsi="Arial" w:cs="Arial"/>
          <w:color w:val="000000"/>
          <w:sz w:val="22"/>
          <w:szCs w:val="22"/>
          <w:lang w:eastAsia="fr-FR"/>
        </w:rPr>
        <w:t>".</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xml:space="preserve">Ce jugement a donc eu des conséquences très importantes sur la composition des instances de concertation du ministère de la culture et de la communication, dans lesquelles le SNAC-FO est représenté. </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xml:space="preserve">En effet, le SNAC-FO n'ayant plus de légitimité, ses membres ne sont plus habilités à siéger : </w:t>
      </w:r>
      <w:r w:rsidRPr="00FA54CF">
        <w:rPr>
          <w:rFonts w:ascii="Arial" w:eastAsia="Times New Roman" w:hAnsi="Arial" w:cs="Arial"/>
          <w:color w:val="000000"/>
          <w:sz w:val="22"/>
          <w:szCs w:val="22"/>
          <w:lang w:eastAsia="fr-FR"/>
        </w:rPr>
        <w:br/>
        <w:t>- au niveau ministériel, au sein du CT ministériel, de la commission formation et du CNAS ;</w:t>
      </w:r>
    </w:p>
    <w:p w:rsidR="00FA54CF" w:rsidRPr="00FA54CF" w:rsidRDefault="00FA54CF" w:rsidP="00FA54CF">
      <w:pPr>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 au niveau "local", au sein des CT et CHSCT des établissements publics dans lesquels ce syndicat était représenté.</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Par conséquent, les sièges détenus par les représentants du SNAC-FO au sein de ces instances doivent être laissés vacants jusqu'au prochain renouvellement général prévu en décembre 2014. En pratique, cela a nécessité de modifier les arrêtés ou décisions de désignation des membres au sein de ces instances (« </w:t>
      </w:r>
      <w:r w:rsidRPr="00FA54CF">
        <w:rPr>
          <w:rFonts w:ascii="Arial" w:eastAsia="Times New Roman" w:hAnsi="Arial" w:cs="Arial"/>
          <w:i/>
          <w:iCs/>
          <w:color w:val="000000"/>
          <w:sz w:val="22"/>
          <w:szCs w:val="22"/>
          <w:lang w:eastAsia="fr-FR"/>
        </w:rPr>
        <w:t>SNAC-FO : non représenté »</w:t>
      </w:r>
      <w:r w:rsidRPr="00FA54CF">
        <w:rPr>
          <w:rFonts w:ascii="Arial" w:eastAsia="Times New Roman" w:hAnsi="Arial" w:cs="Arial"/>
          <w:color w:val="000000"/>
          <w:sz w:val="22"/>
          <w:szCs w:val="22"/>
          <w:lang w:eastAsia="fr-FR"/>
        </w:rPr>
        <w:t>).</w:t>
      </w: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Toutefois, une distinction a été opérée entre :</w:t>
      </w:r>
    </w:p>
    <w:p w:rsidR="00FA54CF" w:rsidRPr="00FA54CF" w:rsidRDefault="00FA54CF" w:rsidP="0034289D">
      <w:pPr>
        <w:numPr>
          <w:ilvl w:val="0"/>
          <w:numId w:val="36"/>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les représentants désignés juste après les élections professionnelles d'avril et juin 2010 par le SNAC-FO (avant qu'il ne devienne le SNU-FO) : ces derniers peuvent continuer à siéger, dans la mesure où ils disposent d'un mandat individuel et personnel. En revanche, ils ne peuvent</w:t>
      </w:r>
      <w:r w:rsidRPr="00FA54CF">
        <w:rPr>
          <w:rFonts w:ascii="Arial" w:eastAsia="Times New Roman" w:hAnsi="Arial" w:cs="Arial"/>
          <w:b/>
          <w:bCs/>
          <w:sz w:val="22"/>
          <w:szCs w:val="22"/>
          <w:lang w:eastAsia="fr-FR"/>
        </w:rPr>
        <w:t xml:space="preserve"> </w:t>
      </w:r>
      <w:r w:rsidRPr="00FA54CF">
        <w:rPr>
          <w:rFonts w:ascii="Arial" w:eastAsia="Times New Roman" w:hAnsi="Arial" w:cs="Arial"/>
          <w:sz w:val="22"/>
          <w:szCs w:val="22"/>
          <w:lang w:eastAsia="fr-FR"/>
        </w:rPr>
        <w:t>se prévaloir d'une quelconque appartenance syndicale (FO - SNU-FO ou encore SNAC-FO) lors de leurs interventions en séance. Par conséquent, aucune mention à un syndicat ne doit être faite dans le procès-verbal des réunions des instances concernées.</w:t>
      </w:r>
    </w:p>
    <w:p w:rsidR="00FA54CF" w:rsidRPr="00FA54CF" w:rsidRDefault="00FA54CF" w:rsidP="0034289D">
      <w:pPr>
        <w:numPr>
          <w:ilvl w:val="0"/>
          <w:numId w:val="36"/>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les représentants désignés par le SNU-FO et par la nouvelle équipe du SNAC-FO : ces derniers ne pourront plus siéger au sein des instances, dans la mesure où ils ont été désignés par un syndicat (le SNU-FO ou les membres du « nouveau » SNAC-FO) non habilité à le faire. En effet, toute désignation intervenue après février 2011 est considérée comme non valable.</w:t>
      </w:r>
    </w:p>
    <w:p w:rsidR="00FA54CF" w:rsidRPr="00FA54CF" w:rsidRDefault="00FA54CF" w:rsidP="00FA54CF">
      <w:pPr>
        <w:widowControl w:val="0"/>
        <w:autoSpaceDE w:val="0"/>
        <w:autoSpaceDN w:val="0"/>
        <w:adjustRightInd w:val="0"/>
        <w:jc w:val="both"/>
        <w:rPr>
          <w:rFonts w:ascii="Arial" w:eastAsia="Cambria" w:hAnsi="Arial" w:cs="Arial"/>
          <w:b/>
          <w:bCs/>
          <w:sz w:val="22"/>
          <w:szCs w:val="22"/>
          <w:u w:color="000000"/>
        </w:rPr>
      </w:pPr>
    </w:p>
    <w:p w:rsidR="00FA54CF" w:rsidRPr="00FA54CF" w:rsidRDefault="00FA54CF" w:rsidP="00FA54CF">
      <w:pPr>
        <w:spacing w:after="160" w:line="259" w:lineRule="auto"/>
        <w:rPr>
          <w:rFonts w:ascii="Arial" w:eastAsia="Cambria" w:hAnsi="Arial" w:cs="Arial"/>
          <w:sz w:val="22"/>
          <w:szCs w:val="22"/>
          <w:u w:color="000000"/>
        </w:rPr>
      </w:pPr>
      <w:r w:rsidRPr="00FA54CF">
        <w:rPr>
          <w:rFonts w:ascii="Arial" w:eastAsia="Cambria" w:hAnsi="Arial" w:cs="Arial"/>
          <w:sz w:val="22"/>
          <w:szCs w:val="22"/>
          <w:u w:color="000000"/>
        </w:rPr>
        <w:br w:type="page"/>
      </w:r>
    </w:p>
    <w:p w:rsidR="00FA54CF" w:rsidRPr="00FA54CF" w:rsidRDefault="00FA54CF" w:rsidP="00FA54CF">
      <w:pPr>
        <w:ind w:left="1134" w:hanging="1134"/>
        <w:rPr>
          <w:rFonts w:ascii="Florencesans Exp" w:eastAsia="Cambria" w:hAnsi="Florencesans Exp" w:cs="Times New Roman"/>
          <w:lang w:eastAsia="fr-FR"/>
        </w:rPr>
      </w:pPr>
      <w:r w:rsidRPr="00FA54CF">
        <w:rPr>
          <w:rFonts w:ascii="Times New Roman" w:eastAsia="Times New Roman" w:hAnsi="Times New Roman" w:cs="Times New Roman"/>
          <w:noProof/>
          <w:lang w:eastAsia="fr-FR"/>
        </w:rPr>
        <w:lastRenderedPageBreak/>
        <mc:AlternateContent>
          <mc:Choice Requires="wps">
            <w:drawing>
              <wp:anchor distT="0" distB="0" distL="114300" distR="114300" simplePos="0" relativeHeight="251871232" behindDoc="0" locked="0" layoutInCell="1" allowOverlap="1" wp14:anchorId="2957FC83" wp14:editId="2F7EFBE4">
                <wp:simplePos x="0" y="0"/>
                <wp:positionH relativeFrom="column">
                  <wp:posOffset>-995796</wp:posOffset>
                </wp:positionH>
                <wp:positionV relativeFrom="paragraph">
                  <wp:posOffset>-417253</wp:posOffset>
                </wp:positionV>
                <wp:extent cx="1828800" cy="1828800"/>
                <wp:effectExtent l="0" t="323850" r="0" b="318770"/>
                <wp:wrapNone/>
                <wp:docPr id="283" name="Zone de texte 2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scene3d>
                          <a:camera prst="isometricRightUp"/>
                          <a:lightRig rig="threePt" dir="t"/>
                        </a:scene3d>
                      </wps:spPr>
                      <wps:txbx>
                        <w:txbxContent>
                          <w:p w:rsidR="007B1397" w:rsidRPr="00FA54CF" w:rsidRDefault="007B1397" w:rsidP="00FA54CF">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D17B05">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2957FC83" id="Zone de texte 283" o:spid="_x0000_s1096" type="#_x0000_t202" style="position:absolute;left:0;text-align:left;margin-left:-78.4pt;margin-top:-32.85pt;width:2in;height:2in;z-index:251871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" filled="f" stroked="f">
                <v:textbox style="mso-fit-shape-to-text:t">
                  <w:txbxContent>
                    <w:p w:rsidR="007B1397" w:rsidRPr="00FA54CF" w:rsidRDefault="007B1397" w:rsidP="00FA54CF">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D17B05">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v:textbox>
              </v:shape>
            </w:pict>
          </mc:Fallback>
        </mc:AlternateContent>
      </w:r>
    </w:p>
    <w:p w:rsidR="00FA54CF" w:rsidRPr="00FA54CF" w:rsidRDefault="00FA54CF" w:rsidP="00FA54CF">
      <w:pPr>
        <w:ind w:left="1134" w:hanging="1134"/>
        <w:rPr>
          <w:rFonts w:ascii="Florencesans Exp" w:eastAsia="Cambria" w:hAnsi="Florencesans Exp" w:cs="Times New Roman"/>
        </w:rPr>
      </w:pPr>
      <w:r w:rsidRPr="00FA54CF">
        <w:rPr>
          <w:rFonts w:ascii="Florencesans Exp" w:eastAsia="Cambria" w:hAnsi="Florencesans Exp" w:cs="Times New Roman"/>
          <w:lang w:eastAsia="fr-FR"/>
        </w:rPr>
        <w:t xml:space="preserve">7. A. 6. </w:t>
      </w:r>
      <w:r w:rsidRPr="00FA54CF">
        <w:rPr>
          <w:rFonts w:ascii="Florencesans Exp" w:eastAsia="Cambria" w:hAnsi="Florencesans Exp" w:cs="Times New Roman"/>
        </w:rPr>
        <w:t>LES ORGANISATIONS SYNDICALES</w:t>
      </w:r>
    </w:p>
    <w:p w:rsidR="00FA54CF" w:rsidRPr="00FA54CF" w:rsidRDefault="00FA54CF" w:rsidP="00FA54CF">
      <w:pPr>
        <w:widowControl w:val="0"/>
        <w:autoSpaceDE w:val="0"/>
        <w:autoSpaceDN w:val="0"/>
        <w:adjustRightInd w:val="0"/>
        <w:jc w:val="both"/>
        <w:rPr>
          <w:rFonts w:ascii="BlairMdITC TT-Medium" w:eastAsia="Cambria" w:hAnsi="BlairMdITC TT-Medium" w:cs="Times New Roman"/>
        </w:rPr>
      </w:pPr>
    </w:p>
    <w:p w:rsidR="00FA54CF" w:rsidRPr="00FA54CF" w:rsidRDefault="00FA54CF" w:rsidP="00FA54CF">
      <w:pPr>
        <w:spacing w:before="100" w:beforeAutospacing="1"/>
        <w:jc w:val="both"/>
        <w:rPr>
          <w:rFonts w:ascii="Arial" w:eastAsia="Times New Roman" w:hAnsi="Arial" w:cs="Arial"/>
          <w:sz w:val="22"/>
          <w:szCs w:val="22"/>
          <w:u w:val="single"/>
          <w:lang w:eastAsia="fr-FR"/>
        </w:rPr>
      </w:pPr>
      <w:r w:rsidRPr="00FA54CF">
        <w:rPr>
          <w:rFonts w:ascii="Arial" w:eastAsia="Times New Roman" w:hAnsi="Arial" w:cs="Arial"/>
          <w:b/>
          <w:bCs/>
          <w:color w:val="000000"/>
          <w:sz w:val="22"/>
          <w:szCs w:val="22"/>
          <w:u w:val="single"/>
          <w:lang w:eastAsia="fr-FR"/>
        </w:rPr>
        <w:t>Congrès et organismes directeurs des syndicats</w:t>
      </w:r>
    </w:p>
    <w:p w:rsidR="00FA54CF" w:rsidRPr="00FA54CF" w:rsidRDefault="00FA54CF" w:rsidP="00FA54CF">
      <w:pPr>
        <w:widowControl w:val="0"/>
        <w:autoSpaceDE w:val="0"/>
        <w:autoSpaceDN w:val="0"/>
        <w:adjustRightInd w:val="0"/>
        <w:jc w:val="both"/>
        <w:rPr>
          <w:rFonts w:ascii="Arial" w:eastAsia="Cambria" w:hAnsi="Arial" w:cs="Arial"/>
          <w:sz w:val="22"/>
          <w:szCs w:val="22"/>
          <w:u w:color="000000"/>
        </w:rPr>
      </w:pPr>
    </w:p>
    <w:p w:rsidR="00FA54CF" w:rsidRPr="00FA54CF" w:rsidRDefault="00FA54CF" w:rsidP="00FA54CF">
      <w:pPr>
        <w:jc w:val="both"/>
        <w:rPr>
          <w:rFonts w:ascii="Arial" w:eastAsia="Times New Roman" w:hAnsi="Arial" w:cs="Arial"/>
          <w:sz w:val="22"/>
          <w:szCs w:val="22"/>
          <w:lang w:eastAsia="fr-FR"/>
        </w:rPr>
      </w:pPr>
      <w:r w:rsidRPr="00FA54CF">
        <w:rPr>
          <w:rFonts w:ascii="Arial" w:eastAsia="Times New Roman" w:hAnsi="Arial" w:cs="Arial"/>
          <w:iCs/>
          <w:sz w:val="22"/>
          <w:szCs w:val="22"/>
          <w:lang w:eastAsia="fr-FR"/>
        </w:rPr>
        <w:t>Le décret n°82-447 prévoit dans sa version initiale (le ministère de la culture et de la communication est encore soumis à la version initiale du décret n°82-447 jusqu’au prochain renouvellement général de décembre 2014) : « </w:t>
      </w:r>
      <w:r w:rsidRPr="00FA54CF">
        <w:rPr>
          <w:rFonts w:ascii="Arial" w:eastAsia="Times New Roman" w:hAnsi="Arial" w:cs="Arial"/>
          <w:i/>
          <w:iCs/>
          <w:sz w:val="22"/>
          <w:szCs w:val="22"/>
          <w:lang w:eastAsia="fr-FR"/>
        </w:rPr>
        <w:t>La durée des autorisations spéciales d'absence accordées en application de l'article précédent à un même agent, au cours d'une année, ne peut excéder dix jours dans le cas de participation aux congrès des syndicats nationaux, des fédérations et des confédérations de syndicats. Cette limite est portée à vingt jours par an lorsque cet agent est appelé à participer aux congrès syndicaux internationaux ou aux réunions des organismes directeurs des organisations syndicales internationales, des syndicats nationaux, des confédérations, des fédérations, des réunions régionales et des réunions départementales de syndicats.</w:t>
      </w:r>
      <w:r w:rsidRPr="00FA54CF">
        <w:rPr>
          <w:rFonts w:ascii="Arial" w:eastAsia="Times New Roman" w:hAnsi="Arial" w:cs="Arial"/>
          <w:iCs/>
          <w:sz w:val="22"/>
          <w:szCs w:val="22"/>
          <w:lang w:eastAsia="fr-FR"/>
        </w:rPr>
        <w:t> »</w:t>
      </w:r>
    </w:p>
    <w:p w:rsidR="00FA54CF" w:rsidRPr="00FA54CF" w:rsidRDefault="00FA54CF" w:rsidP="00FA54CF">
      <w:pPr>
        <w:widowControl w:val="0"/>
        <w:autoSpaceDE w:val="0"/>
        <w:autoSpaceDN w:val="0"/>
        <w:adjustRightInd w:val="0"/>
        <w:jc w:val="both"/>
        <w:rPr>
          <w:rFonts w:ascii="Arial" w:eastAsia="Cambria" w:hAnsi="Arial" w:cs="Arial"/>
          <w:sz w:val="22"/>
          <w:szCs w:val="22"/>
          <w:u w:color="000000"/>
        </w:rPr>
      </w:pPr>
    </w:p>
    <w:p w:rsidR="00FA54CF" w:rsidRPr="00FA54CF" w:rsidRDefault="00FA54CF" w:rsidP="00FA54CF">
      <w:pPr>
        <w:spacing w:before="100" w:beforeAutospacing="1"/>
        <w:jc w:val="both"/>
        <w:rPr>
          <w:rFonts w:ascii="Arial" w:eastAsia="Times New Roman" w:hAnsi="Arial" w:cs="Arial"/>
          <w:b/>
          <w:bCs/>
          <w:color w:val="000000"/>
          <w:sz w:val="22"/>
          <w:szCs w:val="22"/>
          <w:u w:val="single"/>
          <w:lang w:eastAsia="fr-FR"/>
        </w:rPr>
      </w:pPr>
      <w:r w:rsidRPr="00FA54CF">
        <w:rPr>
          <w:rFonts w:ascii="Arial" w:eastAsia="Times New Roman" w:hAnsi="Arial" w:cs="Arial"/>
          <w:b/>
          <w:bCs/>
          <w:color w:val="000000"/>
          <w:sz w:val="22"/>
          <w:szCs w:val="22"/>
          <w:u w:val="single"/>
          <w:lang w:eastAsia="fr-FR"/>
        </w:rPr>
        <w:t>Moyens humains accordés aux syndicats</w:t>
      </w:r>
    </w:p>
    <w:p w:rsidR="00FA54CF" w:rsidRPr="00FA54CF" w:rsidRDefault="00FA54CF" w:rsidP="00FA54CF">
      <w:pPr>
        <w:widowControl w:val="0"/>
        <w:autoSpaceDE w:val="0"/>
        <w:autoSpaceDN w:val="0"/>
        <w:adjustRightInd w:val="0"/>
        <w:jc w:val="both"/>
        <w:rPr>
          <w:rFonts w:ascii="Cambria" w:eastAsia="Cambria" w:hAnsi="Cambria" w:cs="Times New Roman"/>
          <w:sz w:val="22"/>
          <w:u w:color="000000"/>
        </w:rPr>
      </w:pPr>
    </w:p>
    <w:p w:rsidR="00FA54CF" w:rsidRPr="00FA54CF" w:rsidRDefault="00FA54CF" w:rsidP="00FA54CF">
      <w:pPr>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Le Ministère de la culture et de la communication est encore régi par l'ancienne version du décret n° 82-447, raison pour laquelle nous ne pouvons fournir le nombre d'ETP de crédits de temps syndical effectivement utilisés (décharges + crédits d'heures) et le nombre d'ETP de crédits de temps syndical utilisés sous forme de décharges d'activité de service (DAS). En effet, jusqu’au renouvellement général de décembre 2014, le crédit de temps syndical ne s’applique pas au Ministère. Nous pouvons en revanche fournir le nombre de DAS et d’ASA effectivement utilisées en 2013 :</w:t>
      </w:r>
    </w:p>
    <w:p w:rsidR="00FA54CF" w:rsidRPr="00FA54CF" w:rsidRDefault="00FA54CF" w:rsidP="00FA54CF">
      <w:pPr>
        <w:widowControl w:val="0"/>
        <w:autoSpaceDE w:val="0"/>
        <w:autoSpaceDN w:val="0"/>
        <w:adjustRightInd w:val="0"/>
        <w:jc w:val="both"/>
        <w:rPr>
          <w:rFonts w:ascii="Cambria" w:eastAsia="Cambria" w:hAnsi="Cambria" w:cs="Times New Roman"/>
          <w:sz w:val="22"/>
          <w:u w:color="000000"/>
        </w:rPr>
      </w:pPr>
      <w:r w:rsidRPr="00FA54CF">
        <w:rPr>
          <w:rFonts w:ascii="Calibri" w:eastAsia="Calibri" w:hAnsi="Calibri" w:cs="Times New Roman"/>
          <w:noProof/>
          <w:sz w:val="22"/>
          <w:szCs w:val="22"/>
          <w:lang w:eastAsia="fr-FR"/>
        </w:rPr>
        <w:drawing>
          <wp:anchor distT="0" distB="0" distL="114300" distR="114300" simplePos="0" relativeHeight="251862016" behindDoc="1" locked="0" layoutInCell="1" allowOverlap="1" wp14:anchorId="35922C8D" wp14:editId="43C3E514">
            <wp:simplePos x="0" y="0"/>
            <wp:positionH relativeFrom="margin">
              <wp:align>center</wp:align>
            </wp:positionH>
            <wp:positionV relativeFrom="paragraph">
              <wp:posOffset>183515</wp:posOffset>
            </wp:positionV>
            <wp:extent cx="6315452" cy="2660650"/>
            <wp:effectExtent l="0" t="0" r="9525" b="6350"/>
            <wp:wrapTight wrapText="bothSides">
              <wp:wrapPolygon edited="0">
                <wp:start x="0" y="0"/>
                <wp:lineTo x="0" y="21497"/>
                <wp:lineTo x="21567" y="21497"/>
                <wp:lineTo x="21567" y="19796"/>
                <wp:lineTo x="17137" y="19796"/>
                <wp:lineTo x="21502" y="19022"/>
                <wp:lineTo x="21567" y="18249"/>
                <wp:lineTo x="19613" y="17321"/>
                <wp:lineTo x="21567" y="17167"/>
                <wp:lineTo x="21567" y="15311"/>
                <wp:lineTo x="19808" y="14847"/>
                <wp:lineTo x="21567" y="14228"/>
                <wp:lineTo x="21567" y="12372"/>
                <wp:lineTo x="17137" y="12372"/>
                <wp:lineTo x="21502" y="11754"/>
                <wp:lineTo x="21567" y="10826"/>
                <wp:lineTo x="19678" y="9898"/>
                <wp:lineTo x="21567" y="9743"/>
                <wp:lineTo x="21567" y="7887"/>
                <wp:lineTo x="19417" y="7423"/>
                <wp:lineTo x="21567" y="6805"/>
                <wp:lineTo x="21567" y="4949"/>
                <wp:lineTo x="19222" y="4949"/>
                <wp:lineTo x="21567" y="3712"/>
                <wp:lineTo x="21567" y="0"/>
                <wp:lineTo x="0" y="0"/>
              </wp:wrapPolygon>
            </wp:wrapTight>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315452" cy="2660650"/>
                    </a:xfrm>
                    <a:prstGeom prst="rect">
                      <a:avLst/>
                    </a:prstGeom>
                    <a:noFill/>
                    <a:ln>
                      <a:noFill/>
                    </a:ln>
                  </pic:spPr>
                </pic:pic>
              </a:graphicData>
            </a:graphic>
          </wp:anchor>
        </w:drawing>
      </w:r>
    </w:p>
    <w:p w:rsidR="00FA54CF" w:rsidRPr="00FA54CF" w:rsidRDefault="00FA54CF" w:rsidP="00FA54CF">
      <w:pPr>
        <w:widowControl w:val="0"/>
        <w:autoSpaceDE w:val="0"/>
        <w:autoSpaceDN w:val="0"/>
        <w:adjustRightInd w:val="0"/>
        <w:jc w:val="both"/>
        <w:rPr>
          <w:rFonts w:ascii="Cambria" w:eastAsia="Cambria" w:hAnsi="Cambria" w:cs="Times New Roman"/>
          <w:sz w:val="22"/>
          <w:u w:color="000000"/>
        </w:rPr>
      </w:pPr>
    </w:p>
    <w:p w:rsidR="00FA54CF" w:rsidRPr="00FA54CF" w:rsidRDefault="00FA54CF" w:rsidP="00FA54CF">
      <w:pPr>
        <w:widowControl w:val="0"/>
        <w:autoSpaceDE w:val="0"/>
        <w:autoSpaceDN w:val="0"/>
        <w:adjustRightInd w:val="0"/>
        <w:jc w:val="both"/>
        <w:rPr>
          <w:rFonts w:ascii="Cambria" w:eastAsia="Cambria" w:hAnsi="Cambria" w:cs="Times New Roman"/>
          <w:sz w:val="22"/>
          <w:u w:color="000000"/>
        </w:rPr>
      </w:pPr>
    </w:p>
    <w:p w:rsidR="00851D20" w:rsidRDefault="00851D20">
      <w:pPr>
        <w:spacing w:after="160" w:line="259" w:lineRule="auto"/>
        <w:rPr>
          <w:rFonts w:ascii="Cambria" w:eastAsia="Cambria" w:hAnsi="Cambria" w:cs="Times New Roman"/>
          <w:sz w:val="22"/>
          <w:u w:color="000000"/>
        </w:rPr>
      </w:pPr>
      <w:r>
        <w:rPr>
          <w:rFonts w:ascii="Cambria" w:eastAsia="Cambria" w:hAnsi="Cambria" w:cs="Times New Roman"/>
          <w:sz w:val="22"/>
          <w:u w:color="000000"/>
        </w:rPr>
        <w:br w:type="page"/>
      </w:r>
    </w:p>
    <w:p w:rsidR="00851D20" w:rsidRDefault="00851D20" w:rsidP="00FA54CF">
      <w:pPr>
        <w:spacing w:after="160" w:line="259" w:lineRule="auto"/>
        <w:rPr>
          <w:rFonts w:ascii="Florencesans Exp" w:eastAsia="Cambria" w:hAnsi="Florencesans Exp" w:cs="Times New Roman"/>
        </w:rPr>
      </w:pPr>
      <w:r>
        <w:rPr>
          <w:rFonts w:ascii="Florencesans Exp" w:eastAsia="Cambria" w:hAnsi="Florencesans Exp" w:cs="Times New Roman"/>
        </w:rPr>
        <w:lastRenderedPageBreak/>
        <w:t>7. A. 7</w:t>
      </w:r>
      <w:r w:rsidRPr="00FA54CF">
        <w:rPr>
          <w:rFonts w:ascii="Florencesans Exp" w:eastAsia="Cambria" w:hAnsi="Florencesans Exp" w:cs="Times New Roman"/>
        </w:rPr>
        <w:t xml:space="preserve">. </w:t>
      </w:r>
      <w:r>
        <w:rPr>
          <w:rFonts w:ascii="Florencesans Exp" w:eastAsia="Cambria" w:hAnsi="Florencesans Exp" w:cs="Times New Roman"/>
        </w:rPr>
        <w:t>LE COMITE NATIONAL D’ACTION SOCIALE (CNAS)</w:t>
      </w:r>
    </w:p>
    <w:p w:rsidR="00851D20" w:rsidRDefault="00851D20" w:rsidP="002F7B25">
      <w:pPr>
        <w:jc w:val="both"/>
        <w:rPr>
          <w:rFonts w:ascii="Arial" w:eastAsia="Times New Roman" w:hAnsi="Arial" w:cs="Arial"/>
          <w:sz w:val="22"/>
          <w:szCs w:val="22"/>
          <w:lang w:eastAsia="fr-FR"/>
        </w:rPr>
      </w:pP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 xml:space="preserve">Continuateur du comité d’action sociale créé le 8 mars 1973, le </w:t>
      </w:r>
      <w:r w:rsidRPr="00851D20">
        <w:rPr>
          <w:rFonts w:ascii="Arial" w:eastAsia="Times New Roman" w:hAnsi="Arial" w:cs="Arial"/>
          <w:b/>
          <w:sz w:val="22"/>
          <w:szCs w:val="22"/>
          <w:lang w:eastAsia="fr-FR"/>
        </w:rPr>
        <w:t>comité national d'action sociale</w:t>
      </w:r>
      <w:r w:rsidRPr="00851D20">
        <w:rPr>
          <w:rFonts w:ascii="Arial" w:eastAsia="Times New Roman" w:hAnsi="Arial" w:cs="Arial"/>
          <w:sz w:val="22"/>
          <w:szCs w:val="22"/>
          <w:lang w:eastAsia="fr-FR"/>
        </w:rPr>
        <w:t xml:space="preserve"> (CNAS), créé par arrêté du 8 février 1999, est la principale instance de dialogue social consacrée à l'action sociale au sein du MCC. Il est chargé notamment : </w:t>
      </w:r>
    </w:p>
    <w:p w:rsidR="00851D20" w:rsidRPr="00851D20" w:rsidRDefault="00851D20" w:rsidP="002F7B25">
      <w:pPr>
        <w:pStyle w:val="Paragraphedeliste"/>
        <w:numPr>
          <w:ilvl w:val="0"/>
          <w:numId w:val="59"/>
        </w:num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 xml:space="preserve">de contribuer à la définition d’une politique d’action sociale en faveur des agents du ministère ; </w:t>
      </w:r>
    </w:p>
    <w:p w:rsidR="00851D20" w:rsidRPr="00851D20" w:rsidRDefault="00851D20" w:rsidP="002F7B25">
      <w:pPr>
        <w:pStyle w:val="Paragraphedeliste"/>
        <w:numPr>
          <w:ilvl w:val="0"/>
          <w:numId w:val="59"/>
        </w:num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d ‘émettre des recommandations pour la mise en œuvre de l’action sociale, sportive et culturelle ;</w:t>
      </w:r>
    </w:p>
    <w:p w:rsidR="00851D20" w:rsidRPr="00851D20" w:rsidRDefault="00851D20" w:rsidP="002F7B25">
      <w:pPr>
        <w:pStyle w:val="Paragraphedeliste"/>
        <w:numPr>
          <w:ilvl w:val="0"/>
          <w:numId w:val="59"/>
        </w:num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d’examiner le bilan et l’évaluation des actions menées afin de proposer les réorientations utiles ;</w:t>
      </w:r>
    </w:p>
    <w:p w:rsidR="00851D20" w:rsidRPr="00851D20" w:rsidRDefault="00851D20" w:rsidP="002F7B25">
      <w:pPr>
        <w:pStyle w:val="Paragraphedeliste"/>
        <w:numPr>
          <w:ilvl w:val="0"/>
          <w:numId w:val="59"/>
        </w:num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de se prononcer sur la répartition des subventions aux associations de personnel du ministère.</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Il est présidé par la secrétaire général adjointe.</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b/>
          <w:sz w:val="22"/>
          <w:szCs w:val="22"/>
          <w:lang w:eastAsia="fr-FR"/>
        </w:rPr>
        <w:t>Le CNAS se réunit au moins deux fois par an</w:t>
      </w:r>
      <w:r w:rsidR="002F7B25">
        <w:rPr>
          <w:rFonts w:ascii="Arial" w:eastAsia="Times New Roman" w:hAnsi="Arial" w:cs="Arial"/>
          <w:sz w:val="22"/>
          <w:szCs w:val="22"/>
          <w:lang w:eastAsia="fr-FR"/>
        </w:rPr>
        <w:t xml:space="preserve">. </w:t>
      </w:r>
      <w:r w:rsidRPr="00851D20">
        <w:rPr>
          <w:rFonts w:ascii="Arial" w:eastAsia="Times New Roman" w:hAnsi="Arial" w:cs="Arial"/>
          <w:sz w:val="22"/>
          <w:szCs w:val="22"/>
          <w:lang w:eastAsia="fr-FR"/>
        </w:rPr>
        <w:t>Sa première réunion se tient fin janvier début février et statue à titre principal sur le soutien aux associations du personnel sur l'année considérée.</w:t>
      </w:r>
      <w:r w:rsidR="002F7B25">
        <w:rPr>
          <w:rFonts w:ascii="Arial" w:eastAsia="Times New Roman" w:hAnsi="Arial" w:cs="Arial"/>
          <w:sz w:val="22"/>
          <w:szCs w:val="22"/>
          <w:lang w:eastAsia="fr-FR"/>
        </w:rPr>
        <w:t xml:space="preserve"> </w:t>
      </w:r>
      <w:r w:rsidRPr="00851D20">
        <w:rPr>
          <w:rFonts w:ascii="Arial" w:eastAsia="Times New Roman" w:hAnsi="Arial" w:cs="Arial"/>
          <w:sz w:val="22"/>
          <w:szCs w:val="22"/>
          <w:lang w:eastAsia="fr-FR"/>
        </w:rPr>
        <w:t>La deuxième réunion se tient fin juin début juillet. Elle examine le bilan d'activité du bureau de l'action sociale et de la prévention sur l'année n moins 1, examine ou impulse de nouvelles orientations des politiques sociales ministérielles et statue sur les créations ou évolutions de prestations sociales.</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Des groupes de travail réunis tous au long de l'année alimentent ses travaux.</w:t>
      </w:r>
      <w:r w:rsidR="002F7B25">
        <w:rPr>
          <w:rFonts w:ascii="Arial" w:eastAsia="Times New Roman" w:hAnsi="Arial" w:cs="Arial"/>
          <w:sz w:val="22"/>
          <w:szCs w:val="22"/>
          <w:lang w:eastAsia="fr-FR"/>
        </w:rPr>
        <w:t xml:space="preserve"> </w:t>
      </w:r>
      <w:r w:rsidRPr="00851D20">
        <w:rPr>
          <w:rFonts w:ascii="Arial" w:eastAsia="Times New Roman" w:hAnsi="Arial" w:cs="Arial"/>
          <w:sz w:val="22"/>
          <w:szCs w:val="22"/>
          <w:lang w:eastAsia="fr-FR"/>
        </w:rPr>
        <w:t xml:space="preserve">En dehors du CNAS et des groupes de travail qui en dépendent, le dialogue social trouve également à s'exprimer dans le cadre de : </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 la commission des secours (qui se réunit une fois par mois)</w:t>
      </w:r>
      <w:r w:rsidR="002F7B25">
        <w:rPr>
          <w:rFonts w:ascii="Arial" w:eastAsia="Times New Roman" w:hAnsi="Arial" w:cs="Arial"/>
          <w:sz w:val="22"/>
          <w:szCs w:val="22"/>
          <w:lang w:eastAsia="fr-FR"/>
        </w:rPr>
        <w:t> ;</w:t>
      </w:r>
      <w:r w:rsidRPr="00851D20">
        <w:rPr>
          <w:rFonts w:ascii="Arial" w:eastAsia="Times New Roman" w:hAnsi="Arial" w:cs="Arial"/>
          <w:sz w:val="22"/>
          <w:szCs w:val="22"/>
          <w:lang w:eastAsia="fr-FR"/>
        </w:rPr>
        <w:t xml:space="preserve"> </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 la commission d’attribution des logements sociaux (CALS qui se réunit en amont de chaque livraison de programme comprenant p</w:t>
      </w:r>
      <w:r w:rsidR="002F7B25">
        <w:rPr>
          <w:rFonts w:ascii="Arial" w:eastAsia="Times New Roman" w:hAnsi="Arial" w:cs="Arial"/>
          <w:sz w:val="22"/>
          <w:szCs w:val="22"/>
          <w:lang w:eastAsia="fr-FR"/>
        </w:rPr>
        <w:t>lusieurs logements disponibles) ;</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 du</w:t>
      </w:r>
      <w:r w:rsidR="002F7B25">
        <w:rPr>
          <w:rFonts w:ascii="Arial" w:eastAsia="Times New Roman" w:hAnsi="Arial" w:cs="Arial"/>
          <w:sz w:val="22"/>
          <w:szCs w:val="22"/>
          <w:lang w:eastAsia="fr-FR"/>
        </w:rPr>
        <w:t xml:space="preserve"> comité restauration collective ;</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 du groupe utilisateur</w:t>
      </w:r>
      <w:r w:rsidR="002F7B25">
        <w:rPr>
          <w:rFonts w:ascii="Arial" w:eastAsia="Times New Roman" w:hAnsi="Arial" w:cs="Arial"/>
          <w:sz w:val="22"/>
          <w:szCs w:val="22"/>
          <w:lang w:eastAsia="fr-FR"/>
        </w:rPr>
        <w:t xml:space="preserve"> du restaurant des Bons enfants ;</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 xml:space="preserve">- du groupe de travail permanent de réflexion sur l'adéquation des prestations sociales ministérielles aux évolutions sociétales et aux besoins des agents. </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Sur 2013 et 2014 les réflexions menées au sein de ces groupes ont aboutis à des avis du CNAS qui se sont concrétisés par le relèvement des plafonds de ressources qui déterminent l’éligibilité des agents aux prestations sociales ministérielles. Ce relèvement des plafonds a été de 10 % pour l’ensemble des prestations et de 20 % pour l’aide au déménagement des agents seuls. Le montant de cette aide a lui-même été revalorisé de 10 %.</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L’attribution de l’aide à la rentrée scolaire a fait l’objet d’un aménagement : la recevabilité de la demande est désormais soumise aux conditions cumulatives de reconnaissance du diplôme, d’une part, et de reconnaissance de l’établissement délivrant ce diplôme, d’autre part.</w:t>
      </w:r>
    </w:p>
    <w:p w:rsidR="00851D20"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Un tarif d’accueil au restaurant pour les agents retraités a également été institué.</w:t>
      </w:r>
    </w:p>
    <w:p w:rsidR="002F7B25"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Les procès-verbaux d’instance, les comptes rendus des groupes de travail et les résultats d’enquêtes sont publiés en ligne sur la rubrique intranet dédiée au CNAS</w:t>
      </w:r>
      <w:r>
        <w:rPr>
          <w:rFonts w:ascii="Arial" w:eastAsia="Times New Roman" w:hAnsi="Arial" w:cs="Arial"/>
          <w:sz w:val="22"/>
          <w:szCs w:val="22"/>
          <w:lang w:eastAsia="fr-FR"/>
        </w:rPr>
        <w:t>.</w:t>
      </w:r>
    </w:p>
    <w:p w:rsidR="00FA54CF" w:rsidRPr="00851D20" w:rsidRDefault="00851D20" w:rsidP="002F7B25">
      <w:pPr>
        <w:spacing w:after="160"/>
        <w:jc w:val="both"/>
        <w:rPr>
          <w:rFonts w:ascii="Arial" w:eastAsia="Times New Roman" w:hAnsi="Arial" w:cs="Arial"/>
          <w:sz w:val="22"/>
          <w:szCs w:val="22"/>
          <w:lang w:eastAsia="fr-FR"/>
        </w:rPr>
      </w:pPr>
      <w:r w:rsidRPr="00851D20">
        <w:rPr>
          <w:rFonts w:ascii="Arial" w:eastAsia="Times New Roman" w:hAnsi="Arial" w:cs="Arial"/>
          <w:sz w:val="22"/>
          <w:szCs w:val="22"/>
          <w:lang w:eastAsia="fr-FR"/>
        </w:rPr>
        <w:t>Le panorama de l’offre de service social ministérielle et interministérielle est actualisé chaque année et fait notamment l’objet de la publication d’une plaquette identifiant les acteurs mobilisés (associations du personnel et sections régionales interministérielles d’action sociale).</w:t>
      </w:r>
    </w:p>
    <w:p w:rsidR="00FA54CF" w:rsidRPr="00FA54CF" w:rsidRDefault="00FA54CF" w:rsidP="00FA54CF">
      <w:pPr>
        <w:widowControl w:val="0"/>
        <w:autoSpaceDE w:val="0"/>
        <w:autoSpaceDN w:val="0"/>
        <w:adjustRightInd w:val="0"/>
        <w:jc w:val="both"/>
        <w:rPr>
          <w:rFonts w:ascii="Cambria" w:eastAsia="Cambria" w:hAnsi="Cambria" w:cs="Times New Roman"/>
          <w:sz w:val="22"/>
          <w:u w:color="000000"/>
        </w:rPr>
      </w:pPr>
    </w:p>
    <w:p w:rsidR="00FA54CF" w:rsidRPr="00FA54CF" w:rsidRDefault="00FA54CF" w:rsidP="00FA54CF">
      <w:pPr>
        <w:widowControl w:val="0"/>
        <w:autoSpaceDE w:val="0"/>
        <w:autoSpaceDN w:val="0"/>
        <w:adjustRightInd w:val="0"/>
        <w:rPr>
          <w:rFonts w:ascii="Florencesans Exp" w:eastAsia="Cambria" w:hAnsi="Florencesans Exp" w:cs="Times New Roman"/>
          <w:b/>
          <w:color w:val="008080"/>
          <w:sz w:val="28"/>
        </w:rPr>
      </w:pPr>
      <w:r w:rsidRPr="00FA54CF">
        <w:rPr>
          <w:rFonts w:ascii="Florencesans Exp" w:eastAsia="Cambria" w:hAnsi="Florencesans Exp" w:cs="Times New Roman"/>
          <w:b/>
          <w:color w:val="008080"/>
          <w:sz w:val="28"/>
        </w:rPr>
        <w:t>7. B. BILAN DES MOUVEMENTS SOCIAUX AU MCC</w:t>
      </w:r>
    </w:p>
    <w:p w:rsidR="00FA54CF" w:rsidRPr="00FA54CF" w:rsidRDefault="00FA54CF" w:rsidP="00FA54CF">
      <w:pPr>
        <w:widowControl w:val="0"/>
        <w:autoSpaceDE w:val="0"/>
        <w:autoSpaceDN w:val="0"/>
        <w:adjustRightInd w:val="0"/>
        <w:jc w:val="both"/>
        <w:rPr>
          <w:rFonts w:ascii="Cambria" w:eastAsia="Cambria" w:hAnsi="Cambria" w:cs="Times New Roman"/>
          <w:sz w:val="22"/>
          <w:u w:color="000000"/>
        </w:rPr>
      </w:pPr>
    </w:p>
    <w:p w:rsidR="00FA54CF" w:rsidRPr="00FA54CF" w:rsidRDefault="00FA54CF" w:rsidP="00FA54CF">
      <w:pPr>
        <w:widowControl w:val="0"/>
        <w:autoSpaceDE w:val="0"/>
        <w:autoSpaceDN w:val="0"/>
        <w:adjustRightInd w:val="0"/>
        <w:rPr>
          <w:rFonts w:ascii="Cambria" w:eastAsia="Cambria" w:hAnsi="Cambria" w:cs="Times New Roman"/>
          <w:b/>
          <w:bCs/>
          <w:sz w:val="22"/>
          <w:szCs w:val="12"/>
          <w:u w:color="000000"/>
        </w:rPr>
      </w:pPr>
    </w:p>
    <w:p w:rsidR="00FA54CF" w:rsidRPr="00FA54CF" w:rsidRDefault="00FA54CF" w:rsidP="00FA54CF">
      <w:pPr>
        <w:widowControl w:val="0"/>
        <w:autoSpaceDE w:val="0"/>
        <w:autoSpaceDN w:val="0"/>
        <w:adjustRightInd w:val="0"/>
        <w:jc w:val="both"/>
        <w:rPr>
          <w:rFonts w:ascii="Florencesans Exp" w:eastAsia="Cambria" w:hAnsi="Florencesans Exp" w:cs="Times New Roman"/>
        </w:rPr>
      </w:pPr>
      <w:r w:rsidRPr="00FA54CF">
        <w:rPr>
          <w:rFonts w:ascii="Florencesans Exp" w:eastAsia="Cambria" w:hAnsi="Florencesans Exp" w:cs="Times New Roman"/>
        </w:rPr>
        <w:t>7. B. 1. LES JOURNEES DE GREVE CES 10 DERNIERES ANNEES</w:t>
      </w:r>
    </w:p>
    <w:p w:rsidR="00FA54CF" w:rsidRPr="00FA54CF" w:rsidRDefault="00FA54CF" w:rsidP="00FA54CF">
      <w:pPr>
        <w:widowControl w:val="0"/>
        <w:autoSpaceDE w:val="0"/>
        <w:autoSpaceDN w:val="0"/>
        <w:adjustRightInd w:val="0"/>
        <w:rPr>
          <w:rFonts w:ascii="Cambria" w:eastAsia="Cambria" w:hAnsi="Cambria" w:cs="Times New Roman"/>
          <w:sz w:val="22"/>
          <w:szCs w:val="12"/>
        </w:rPr>
      </w:pPr>
    </w:p>
    <w:p w:rsidR="00FA54CF" w:rsidRPr="00FA54CF" w:rsidRDefault="00FA54CF" w:rsidP="00FA54CF">
      <w:pPr>
        <w:widowControl w:val="0"/>
        <w:autoSpaceDE w:val="0"/>
        <w:autoSpaceDN w:val="0"/>
        <w:adjustRightInd w:val="0"/>
        <w:jc w:val="center"/>
        <w:rPr>
          <w:rFonts w:ascii="Arial" w:eastAsia="Cambria" w:hAnsi="Arial" w:cs="Times New Roman"/>
          <w:b/>
          <w:sz w:val="22"/>
          <w:szCs w:val="22"/>
        </w:rPr>
      </w:pPr>
      <w:r w:rsidRPr="00FA54CF">
        <w:rPr>
          <w:rFonts w:ascii="Arial" w:eastAsia="Cambria" w:hAnsi="Arial" w:cs="Times New Roman"/>
          <w:b/>
          <w:sz w:val="22"/>
          <w:szCs w:val="22"/>
        </w:rPr>
        <w:t xml:space="preserve">Tableau récapitulatif des journées de travail perdues pour fait de grèves entre 2003 et 2013 </w:t>
      </w:r>
      <w:r w:rsidRPr="00FA54CF">
        <w:rPr>
          <w:rFonts w:ascii="Arial" w:eastAsia="Cambria" w:hAnsi="Arial" w:cs="Times New Roman"/>
          <w:b/>
          <w:i/>
          <w:iCs/>
          <w:sz w:val="22"/>
          <w:szCs w:val="22"/>
        </w:rPr>
        <w:t>(addition du nombre de grévistes recensés pour chaque mouvement)</w:t>
      </w:r>
    </w:p>
    <w:p w:rsidR="00FA54CF" w:rsidRPr="00FA54CF" w:rsidRDefault="00FA54CF" w:rsidP="00FA54CF">
      <w:pPr>
        <w:widowControl w:val="0"/>
        <w:autoSpaceDE w:val="0"/>
        <w:autoSpaceDN w:val="0"/>
        <w:adjustRightInd w:val="0"/>
        <w:rPr>
          <w:rFonts w:ascii="Cambria" w:eastAsia="Cambria" w:hAnsi="Cambria" w:cs="Times"/>
          <w:sz w:val="22"/>
          <w:szCs w:val="12"/>
        </w:rPr>
      </w:pPr>
      <w:r w:rsidRPr="00FA54CF">
        <w:rPr>
          <w:rFonts w:ascii="Calibri" w:eastAsia="Calibri" w:hAnsi="Calibri" w:cs="Times New Roman"/>
          <w:noProof/>
          <w:sz w:val="22"/>
          <w:szCs w:val="22"/>
          <w:lang w:eastAsia="fr-FR"/>
        </w:rPr>
        <w:drawing>
          <wp:anchor distT="0" distB="0" distL="114300" distR="114300" simplePos="0" relativeHeight="251866112" behindDoc="1" locked="0" layoutInCell="1" allowOverlap="1" wp14:anchorId="4D381186" wp14:editId="7B0512AD">
            <wp:simplePos x="0" y="0"/>
            <wp:positionH relativeFrom="margin">
              <wp:align>center</wp:align>
            </wp:positionH>
            <wp:positionV relativeFrom="paragraph">
              <wp:posOffset>219710</wp:posOffset>
            </wp:positionV>
            <wp:extent cx="6637020" cy="1860550"/>
            <wp:effectExtent l="0" t="0" r="0" b="6350"/>
            <wp:wrapTight wrapText="bothSides">
              <wp:wrapPolygon edited="0">
                <wp:start x="2418" y="0"/>
                <wp:lineTo x="0" y="3096"/>
                <wp:lineTo x="0" y="21453"/>
                <wp:lineTo x="21513" y="21453"/>
                <wp:lineTo x="21513" y="0"/>
                <wp:lineTo x="2418" y="0"/>
              </wp:wrapPolygon>
            </wp:wrapTight>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637020" cy="186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A54CF" w:rsidRPr="00FA54CF" w:rsidRDefault="00FA54CF" w:rsidP="00FA54CF">
      <w:pPr>
        <w:widowControl w:val="0"/>
        <w:autoSpaceDE w:val="0"/>
        <w:autoSpaceDN w:val="0"/>
        <w:adjustRightInd w:val="0"/>
        <w:jc w:val="both"/>
        <w:rPr>
          <w:rFonts w:ascii="Cambria" w:eastAsia="Cambria" w:hAnsi="Cambria" w:cs="Times"/>
          <w:sz w:val="22"/>
          <w:szCs w:val="12"/>
          <w:u w:color="FF0000"/>
        </w:rPr>
      </w:pPr>
    </w:p>
    <w:p w:rsidR="00FA54CF" w:rsidRPr="00FA54CF" w:rsidRDefault="00FA54CF" w:rsidP="00FA54CF">
      <w:pPr>
        <w:widowControl w:val="0"/>
        <w:autoSpaceDE w:val="0"/>
        <w:autoSpaceDN w:val="0"/>
        <w:adjustRightInd w:val="0"/>
        <w:jc w:val="both"/>
        <w:rPr>
          <w:rFonts w:ascii="Cambria" w:eastAsia="Cambria" w:hAnsi="Cambria" w:cs="Times"/>
          <w:sz w:val="22"/>
          <w:szCs w:val="12"/>
          <w:u w:color="FF0000"/>
        </w:rPr>
      </w:pPr>
    </w:p>
    <w:p w:rsidR="00FA54CF" w:rsidRPr="00FA54CF" w:rsidRDefault="00FA54CF" w:rsidP="00FA54CF">
      <w:pPr>
        <w:widowControl w:val="0"/>
        <w:autoSpaceDE w:val="0"/>
        <w:autoSpaceDN w:val="0"/>
        <w:adjustRightInd w:val="0"/>
        <w:jc w:val="both"/>
        <w:rPr>
          <w:rFonts w:ascii="Arial" w:eastAsia="Cambria" w:hAnsi="Arial" w:cs="Times New Roman"/>
          <w:b/>
          <w:bCs/>
          <w:sz w:val="22"/>
          <w:u w:color="FF0000"/>
        </w:rPr>
      </w:pPr>
      <w:r w:rsidRPr="00FA54CF">
        <w:rPr>
          <w:rFonts w:ascii="Arial" w:eastAsia="Cambria" w:hAnsi="Arial" w:cs="Times New Roman"/>
          <w:b/>
          <w:bCs/>
          <w:sz w:val="22"/>
          <w:u w:color="FF0000"/>
        </w:rPr>
        <w:t xml:space="preserve">NB : </w:t>
      </w:r>
      <w:r w:rsidRPr="00FA54CF">
        <w:rPr>
          <w:rFonts w:ascii="Arial" w:eastAsia="Cambria" w:hAnsi="Arial" w:cs="Times New Roman"/>
          <w:sz w:val="22"/>
          <w:u w:color="FF0000"/>
        </w:rPr>
        <w:t xml:space="preserve">Effectif pris en compte (EP, SCN, DRAC et administration centrale) : </w:t>
      </w:r>
      <w:r w:rsidRPr="00851D20">
        <w:rPr>
          <w:rFonts w:ascii="Arial" w:eastAsia="Cambria" w:hAnsi="Arial" w:cs="Times New Roman"/>
          <w:sz w:val="22"/>
          <w:u w:color="FF0000"/>
        </w:rPr>
        <w:t>plus de 23 100 agents.</w:t>
      </w:r>
    </w:p>
    <w:p w:rsidR="00FA54CF" w:rsidRPr="00FA54CF" w:rsidRDefault="00FA54CF" w:rsidP="00FA54CF">
      <w:pPr>
        <w:widowControl w:val="0"/>
        <w:autoSpaceDE w:val="0"/>
        <w:autoSpaceDN w:val="0"/>
        <w:adjustRightInd w:val="0"/>
        <w:jc w:val="both"/>
        <w:rPr>
          <w:rFonts w:ascii="Cambria" w:eastAsia="Cambria" w:hAnsi="Cambria" w:cs="Times New Roman"/>
          <w:sz w:val="22"/>
          <w:u w:val="single"/>
        </w:rPr>
      </w:pPr>
    </w:p>
    <w:p w:rsidR="00FA54CF" w:rsidRPr="00FA54CF" w:rsidRDefault="00FA54CF" w:rsidP="00FA54CF">
      <w:pPr>
        <w:widowControl w:val="0"/>
        <w:autoSpaceDE w:val="0"/>
        <w:autoSpaceDN w:val="0"/>
        <w:adjustRightInd w:val="0"/>
        <w:jc w:val="both"/>
        <w:rPr>
          <w:rFonts w:ascii="Cambria" w:eastAsia="Cambria" w:hAnsi="Cambria" w:cs="Times New Roman"/>
          <w:b/>
          <w:bCs/>
          <w:sz w:val="22"/>
          <w:szCs w:val="12"/>
        </w:rPr>
      </w:pPr>
    </w:p>
    <w:p w:rsidR="00FA54CF" w:rsidRPr="00FA54CF" w:rsidRDefault="00FA54CF" w:rsidP="00FA54CF">
      <w:pPr>
        <w:widowControl w:val="0"/>
        <w:autoSpaceDE w:val="0"/>
        <w:autoSpaceDN w:val="0"/>
        <w:adjustRightInd w:val="0"/>
        <w:jc w:val="center"/>
        <w:rPr>
          <w:rFonts w:ascii="Arial" w:eastAsia="Cambria" w:hAnsi="Arial" w:cs="Times New Roman"/>
          <w:b/>
          <w:bCs/>
        </w:rPr>
      </w:pPr>
      <w:r w:rsidRPr="00FA54CF">
        <w:rPr>
          <w:rFonts w:ascii="Arial" w:eastAsia="Cambria" w:hAnsi="Arial" w:cs="Times New Roman"/>
          <w:b/>
          <w:bCs/>
        </w:rPr>
        <w:t>Bilan chiffré par structure pour l'année 2013 (tous mouvements confondus)</w:t>
      </w:r>
    </w:p>
    <w:p w:rsidR="00FA54CF" w:rsidRPr="00FA54CF" w:rsidRDefault="00FA54CF" w:rsidP="00FA54CF">
      <w:pPr>
        <w:widowControl w:val="0"/>
        <w:autoSpaceDE w:val="0"/>
        <w:autoSpaceDN w:val="0"/>
        <w:adjustRightInd w:val="0"/>
        <w:jc w:val="both"/>
        <w:rPr>
          <w:rFonts w:ascii="Arial" w:eastAsia="Cambria" w:hAnsi="Arial" w:cs="Times New Roman"/>
          <w:b/>
          <w:bCs/>
          <w:sz w:val="22"/>
        </w:rPr>
      </w:pPr>
    </w:p>
    <w:p w:rsidR="00FA54CF" w:rsidRPr="00FA54CF" w:rsidRDefault="00FA54CF" w:rsidP="00FA54CF">
      <w:pPr>
        <w:widowControl w:val="0"/>
        <w:autoSpaceDE w:val="0"/>
        <w:autoSpaceDN w:val="0"/>
        <w:adjustRightInd w:val="0"/>
        <w:jc w:val="both"/>
        <w:rPr>
          <w:rFonts w:ascii="Cambria" w:eastAsia="Cambria" w:hAnsi="Cambria" w:cs="Times New Roman"/>
          <w:sz w:val="22"/>
          <w:u w:val="single"/>
        </w:rPr>
      </w:pPr>
    </w:p>
    <w:tbl>
      <w:tblPr>
        <w:tblW w:w="6460" w:type="dxa"/>
        <w:jc w:val="center"/>
        <w:tblCellMar>
          <w:left w:w="70" w:type="dxa"/>
          <w:right w:w="70" w:type="dxa"/>
        </w:tblCellMar>
        <w:tblLook w:val="04A0" w:firstRow="1" w:lastRow="0" w:firstColumn="1" w:lastColumn="0" w:noHBand="0" w:noVBand="1"/>
      </w:tblPr>
      <w:tblGrid>
        <w:gridCol w:w="3720"/>
        <w:gridCol w:w="2740"/>
      </w:tblGrid>
      <w:tr w:rsidR="00FA54CF" w:rsidRPr="00FA54CF" w:rsidTr="001445B4">
        <w:trPr>
          <w:trHeight w:val="840"/>
          <w:jc w:val="center"/>
        </w:trPr>
        <w:tc>
          <w:tcPr>
            <w:tcW w:w="3720" w:type="dxa"/>
            <w:tcBorders>
              <w:top w:val="single" w:sz="4" w:space="0" w:color="A6A6A6"/>
              <w:left w:val="single" w:sz="4" w:space="0" w:color="A6A6A6"/>
              <w:bottom w:val="single" w:sz="4" w:space="0" w:color="A6A6A6"/>
              <w:right w:val="single" w:sz="4" w:space="0" w:color="A6A6A6"/>
            </w:tcBorders>
            <w:shd w:val="clear" w:color="000000" w:fill="008080"/>
            <w:noWrap/>
            <w:vAlign w:val="center"/>
            <w:hideMark/>
          </w:tcPr>
          <w:p w:rsidR="00FA54CF" w:rsidRPr="00FA54CF" w:rsidRDefault="00FA54CF" w:rsidP="00FA54CF">
            <w:pPr>
              <w:jc w:val="center"/>
              <w:rPr>
                <w:rFonts w:ascii="Arial" w:eastAsia="Times New Roman" w:hAnsi="Arial" w:cs="Arial"/>
                <w:b/>
                <w:bCs/>
                <w:color w:val="FFFFFF"/>
                <w:sz w:val="22"/>
                <w:szCs w:val="22"/>
                <w:lang w:eastAsia="fr-FR"/>
              </w:rPr>
            </w:pPr>
            <w:r w:rsidRPr="00FA54CF">
              <w:rPr>
                <w:rFonts w:ascii="Arial" w:eastAsia="Times New Roman" w:hAnsi="Arial" w:cs="Arial"/>
                <w:b/>
                <w:bCs/>
                <w:color w:val="FFFFFF"/>
                <w:sz w:val="22"/>
                <w:szCs w:val="22"/>
                <w:lang w:eastAsia="fr-FR"/>
              </w:rPr>
              <w:t>Structure</w:t>
            </w:r>
          </w:p>
        </w:tc>
        <w:tc>
          <w:tcPr>
            <w:tcW w:w="2740" w:type="dxa"/>
            <w:tcBorders>
              <w:top w:val="single" w:sz="4" w:space="0" w:color="A6A6A6"/>
              <w:left w:val="nil"/>
              <w:bottom w:val="single" w:sz="4" w:space="0" w:color="A6A6A6"/>
              <w:right w:val="single" w:sz="4" w:space="0" w:color="A6A6A6"/>
            </w:tcBorders>
            <w:shd w:val="clear" w:color="000000" w:fill="008080"/>
            <w:vAlign w:val="center"/>
            <w:hideMark/>
          </w:tcPr>
          <w:p w:rsidR="00FA54CF" w:rsidRPr="00FA54CF" w:rsidRDefault="00FA54CF" w:rsidP="00FA54CF">
            <w:pPr>
              <w:jc w:val="center"/>
              <w:rPr>
                <w:rFonts w:ascii="Arial" w:eastAsia="Times New Roman" w:hAnsi="Arial" w:cs="Arial"/>
                <w:b/>
                <w:bCs/>
                <w:color w:val="FFFFFF"/>
                <w:sz w:val="22"/>
                <w:szCs w:val="22"/>
                <w:lang w:eastAsia="fr-FR"/>
              </w:rPr>
            </w:pPr>
            <w:r w:rsidRPr="00FA54CF">
              <w:rPr>
                <w:rFonts w:ascii="Arial" w:eastAsia="Times New Roman" w:hAnsi="Arial" w:cs="Arial"/>
                <w:b/>
                <w:bCs/>
                <w:color w:val="FFFFFF"/>
                <w:sz w:val="22"/>
                <w:szCs w:val="22"/>
                <w:lang w:eastAsia="fr-FR"/>
              </w:rPr>
              <w:t>Nombre de journées perdues pour fait de grève</w:t>
            </w:r>
          </w:p>
        </w:tc>
      </w:tr>
      <w:tr w:rsidR="00FA54CF" w:rsidRPr="00FA54CF" w:rsidTr="001445B4">
        <w:trPr>
          <w:trHeight w:val="390"/>
          <w:jc w:val="center"/>
        </w:trPr>
        <w:tc>
          <w:tcPr>
            <w:tcW w:w="3720" w:type="dxa"/>
            <w:tcBorders>
              <w:top w:val="nil"/>
              <w:left w:val="single" w:sz="4" w:space="0" w:color="A6A6A6"/>
              <w:bottom w:val="single" w:sz="4" w:space="0" w:color="A6A6A6"/>
              <w:right w:val="single" w:sz="4" w:space="0" w:color="A6A6A6"/>
            </w:tcBorders>
            <w:shd w:val="clear" w:color="auto" w:fill="auto"/>
            <w:noWrap/>
            <w:vAlign w:val="center"/>
            <w:hideMark/>
          </w:tcPr>
          <w:p w:rsidR="00FA54CF" w:rsidRPr="00FA54CF" w:rsidRDefault="00FA54CF" w:rsidP="00FA54CF">
            <w:pPr>
              <w:rPr>
                <w:rFonts w:ascii="Arial" w:eastAsia="Times New Roman" w:hAnsi="Arial" w:cs="Arial"/>
                <w:sz w:val="22"/>
                <w:szCs w:val="22"/>
                <w:lang w:eastAsia="fr-FR"/>
              </w:rPr>
            </w:pPr>
            <w:r w:rsidRPr="00FA54CF">
              <w:rPr>
                <w:rFonts w:ascii="Arial" w:eastAsia="Times New Roman" w:hAnsi="Arial" w:cs="Arial"/>
                <w:sz w:val="22"/>
                <w:szCs w:val="22"/>
                <w:lang w:eastAsia="fr-FR"/>
              </w:rPr>
              <w:t>Echelon central</w:t>
            </w:r>
          </w:p>
        </w:tc>
        <w:tc>
          <w:tcPr>
            <w:tcW w:w="2740" w:type="dxa"/>
            <w:tcBorders>
              <w:top w:val="nil"/>
              <w:left w:val="nil"/>
              <w:bottom w:val="single" w:sz="4" w:space="0" w:color="A6A6A6"/>
              <w:right w:val="single" w:sz="4" w:space="0" w:color="A6A6A6"/>
            </w:tcBorders>
            <w:shd w:val="clear" w:color="auto" w:fill="auto"/>
            <w:vAlign w:val="center"/>
            <w:hideMark/>
          </w:tcPr>
          <w:p w:rsidR="00FA54CF" w:rsidRPr="00FA54CF" w:rsidRDefault="00FA54CF" w:rsidP="00FA54CF">
            <w:pPr>
              <w:jc w:val="center"/>
              <w:rPr>
                <w:rFonts w:ascii="Arial" w:eastAsia="Times New Roman" w:hAnsi="Arial" w:cs="Arial"/>
                <w:sz w:val="22"/>
                <w:szCs w:val="22"/>
                <w:lang w:eastAsia="fr-FR"/>
              </w:rPr>
            </w:pPr>
            <w:r w:rsidRPr="00FA54CF">
              <w:rPr>
                <w:rFonts w:ascii="Arial" w:eastAsia="Times New Roman" w:hAnsi="Arial" w:cs="Arial"/>
                <w:sz w:val="22"/>
                <w:szCs w:val="22"/>
                <w:lang w:eastAsia="fr-FR"/>
              </w:rPr>
              <w:t>17</w:t>
            </w:r>
          </w:p>
        </w:tc>
      </w:tr>
      <w:tr w:rsidR="00FA54CF" w:rsidRPr="00FA54CF" w:rsidTr="001445B4">
        <w:trPr>
          <w:trHeight w:val="390"/>
          <w:jc w:val="center"/>
        </w:trPr>
        <w:tc>
          <w:tcPr>
            <w:tcW w:w="3720" w:type="dxa"/>
            <w:tcBorders>
              <w:top w:val="nil"/>
              <w:left w:val="single" w:sz="4" w:space="0" w:color="A6A6A6"/>
              <w:bottom w:val="single" w:sz="4" w:space="0" w:color="A6A6A6"/>
              <w:right w:val="single" w:sz="4" w:space="0" w:color="A6A6A6"/>
            </w:tcBorders>
            <w:shd w:val="clear" w:color="auto" w:fill="auto"/>
            <w:noWrap/>
            <w:vAlign w:val="center"/>
            <w:hideMark/>
          </w:tcPr>
          <w:p w:rsidR="00FA54CF" w:rsidRPr="00FA54CF" w:rsidRDefault="00FA54CF" w:rsidP="00FA54CF">
            <w:pPr>
              <w:rPr>
                <w:rFonts w:ascii="Arial" w:eastAsia="Times New Roman" w:hAnsi="Arial" w:cs="Arial"/>
                <w:sz w:val="22"/>
                <w:szCs w:val="22"/>
                <w:lang w:eastAsia="fr-FR"/>
              </w:rPr>
            </w:pPr>
            <w:r w:rsidRPr="00FA54CF">
              <w:rPr>
                <w:rFonts w:ascii="Arial" w:eastAsia="Times New Roman" w:hAnsi="Arial" w:cs="Arial"/>
                <w:sz w:val="22"/>
                <w:szCs w:val="22"/>
                <w:lang w:eastAsia="fr-FR"/>
              </w:rPr>
              <w:t>Echelon déconcentré</w:t>
            </w:r>
          </w:p>
        </w:tc>
        <w:tc>
          <w:tcPr>
            <w:tcW w:w="2740" w:type="dxa"/>
            <w:tcBorders>
              <w:top w:val="nil"/>
              <w:left w:val="nil"/>
              <w:bottom w:val="single" w:sz="4" w:space="0" w:color="A6A6A6"/>
              <w:right w:val="single" w:sz="4" w:space="0" w:color="A6A6A6"/>
            </w:tcBorders>
            <w:shd w:val="clear" w:color="auto" w:fill="auto"/>
            <w:vAlign w:val="center"/>
            <w:hideMark/>
          </w:tcPr>
          <w:p w:rsidR="00FA54CF" w:rsidRPr="00FA54CF" w:rsidRDefault="00FA54CF" w:rsidP="00FA54CF">
            <w:pPr>
              <w:jc w:val="center"/>
              <w:rPr>
                <w:rFonts w:ascii="Arial" w:eastAsia="Times New Roman" w:hAnsi="Arial" w:cs="Arial"/>
                <w:sz w:val="22"/>
                <w:szCs w:val="22"/>
                <w:lang w:eastAsia="fr-FR"/>
              </w:rPr>
            </w:pPr>
            <w:r w:rsidRPr="00FA54CF">
              <w:rPr>
                <w:rFonts w:ascii="Arial" w:eastAsia="Times New Roman" w:hAnsi="Arial" w:cs="Arial"/>
                <w:sz w:val="22"/>
                <w:szCs w:val="22"/>
                <w:lang w:eastAsia="fr-FR"/>
              </w:rPr>
              <w:t>111</w:t>
            </w:r>
          </w:p>
        </w:tc>
      </w:tr>
      <w:tr w:rsidR="00FA54CF" w:rsidRPr="00FA54CF" w:rsidTr="001445B4">
        <w:trPr>
          <w:trHeight w:val="390"/>
          <w:jc w:val="center"/>
        </w:trPr>
        <w:tc>
          <w:tcPr>
            <w:tcW w:w="3720" w:type="dxa"/>
            <w:tcBorders>
              <w:top w:val="nil"/>
              <w:left w:val="single" w:sz="4" w:space="0" w:color="A6A6A6"/>
              <w:bottom w:val="single" w:sz="4" w:space="0" w:color="A6A6A6"/>
              <w:right w:val="single" w:sz="4" w:space="0" w:color="A6A6A6"/>
            </w:tcBorders>
            <w:shd w:val="clear" w:color="auto" w:fill="auto"/>
            <w:noWrap/>
            <w:vAlign w:val="center"/>
            <w:hideMark/>
          </w:tcPr>
          <w:p w:rsidR="00FA54CF" w:rsidRPr="00FA54CF" w:rsidRDefault="00FA54CF" w:rsidP="00FA54CF">
            <w:pPr>
              <w:rPr>
                <w:rFonts w:ascii="Arial" w:eastAsia="Times New Roman" w:hAnsi="Arial" w:cs="Arial"/>
                <w:sz w:val="22"/>
                <w:szCs w:val="22"/>
                <w:lang w:eastAsia="fr-FR"/>
              </w:rPr>
            </w:pPr>
            <w:r w:rsidRPr="00FA54CF">
              <w:rPr>
                <w:rFonts w:ascii="Arial" w:eastAsia="Times New Roman" w:hAnsi="Arial" w:cs="Arial"/>
                <w:sz w:val="22"/>
                <w:szCs w:val="22"/>
                <w:lang w:eastAsia="fr-FR"/>
              </w:rPr>
              <w:t>Etablissements publics</w:t>
            </w:r>
          </w:p>
        </w:tc>
        <w:tc>
          <w:tcPr>
            <w:tcW w:w="2740" w:type="dxa"/>
            <w:tcBorders>
              <w:top w:val="nil"/>
              <w:left w:val="nil"/>
              <w:bottom w:val="single" w:sz="4" w:space="0" w:color="A6A6A6"/>
              <w:right w:val="single" w:sz="4" w:space="0" w:color="A6A6A6"/>
            </w:tcBorders>
            <w:shd w:val="clear" w:color="auto" w:fill="auto"/>
            <w:vAlign w:val="center"/>
            <w:hideMark/>
          </w:tcPr>
          <w:p w:rsidR="00FA54CF" w:rsidRPr="00FA54CF" w:rsidRDefault="00FA54CF" w:rsidP="00FA54CF">
            <w:pPr>
              <w:jc w:val="center"/>
              <w:rPr>
                <w:rFonts w:ascii="Arial" w:eastAsia="Times New Roman" w:hAnsi="Arial" w:cs="Arial"/>
                <w:sz w:val="22"/>
                <w:szCs w:val="22"/>
                <w:lang w:eastAsia="fr-FR"/>
              </w:rPr>
            </w:pPr>
            <w:r w:rsidRPr="00FA54CF">
              <w:rPr>
                <w:rFonts w:ascii="Arial" w:eastAsia="Times New Roman" w:hAnsi="Arial" w:cs="Arial"/>
                <w:sz w:val="22"/>
                <w:szCs w:val="22"/>
                <w:lang w:eastAsia="fr-FR"/>
              </w:rPr>
              <w:t>2164</w:t>
            </w:r>
          </w:p>
        </w:tc>
      </w:tr>
      <w:tr w:rsidR="00FA54CF" w:rsidRPr="00FA54CF" w:rsidTr="001445B4">
        <w:trPr>
          <w:trHeight w:val="390"/>
          <w:jc w:val="center"/>
        </w:trPr>
        <w:tc>
          <w:tcPr>
            <w:tcW w:w="3720" w:type="dxa"/>
            <w:tcBorders>
              <w:top w:val="nil"/>
              <w:left w:val="single" w:sz="4" w:space="0" w:color="A6A6A6"/>
              <w:bottom w:val="single" w:sz="4" w:space="0" w:color="A6A6A6"/>
              <w:right w:val="single" w:sz="4" w:space="0" w:color="A6A6A6"/>
            </w:tcBorders>
            <w:shd w:val="clear" w:color="auto" w:fill="auto"/>
            <w:noWrap/>
            <w:vAlign w:val="center"/>
            <w:hideMark/>
          </w:tcPr>
          <w:p w:rsidR="00FA54CF" w:rsidRPr="00FA54CF" w:rsidRDefault="00FA54CF" w:rsidP="00FA54CF">
            <w:pPr>
              <w:rPr>
                <w:rFonts w:ascii="Arial" w:eastAsia="Times New Roman" w:hAnsi="Arial" w:cs="Arial"/>
                <w:sz w:val="22"/>
                <w:szCs w:val="22"/>
                <w:lang w:eastAsia="fr-FR"/>
              </w:rPr>
            </w:pPr>
            <w:r w:rsidRPr="00FA54CF">
              <w:rPr>
                <w:rFonts w:ascii="Arial" w:eastAsia="Times New Roman" w:hAnsi="Arial" w:cs="Arial"/>
                <w:sz w:val="22"/>
                <w:szCs w:val="22"/>
                <w:lang w:eastAsia="fr-FR"/>
              </w:rPr>
              <w:t>Services à compétence nationale</w:t>
            </w:r>
          </w:p>
        </w:tc>
        <w:tc>
          <w:tcPr>
            <w:tcW w:w="2740" w:type="dxa"/>
            <w:tcBorders>
              <w:top w:val="nil"/>
              <w:left w:val="nil"/>
              <w:bottom w:val="single" w:sz="4" w:space="0" w:color="A6A6A6"/>
              <w:right w:val="single" w:sz="4" w:space="0" w:color="A6A6A6"/>
            </w:tcBorders>
            <w:shd w:val="clear" w:color="auto" w:fill="auto"/>
            <w:vAlign w:val="center"/>
            <w:hideMark/>
          </w:tcPr>
          <w:p w:rsidR="00FA54CF" w:rsidRPr="00FA54CF" w:rsidRDefault="00FA54CF" w:rsidP="00FA54CF">
            <w:pPr>
              <w:jc w:val="center"/>
              <w:rPr>
                <w:rFonts w:ascii="Arial" w:eastAsia="Times New Roman" w:hAnsi="Arial" w:cs="Arial"/>
                <w:sz w:val="22"/>
                <w:szCs w:val="22"/>
                <w:lang w:eastAsia="fr-FR"/>
              </w:rPr>
            </w:pPr>
            <w:r w:rsidRPr="00FA54CF">
              <w:rPr>
                <w:rFonts w:ascii="Arial" w:eastAsia="Times New Roman" w:hAnsi="Arial" w:cs="Arial"/>
                <w:sz w:val="22"/>
                <w:szCs w:val="22"/>
                <w:lang w:eastAsia="fr-FR"/>
              </w:rPr>
              <w:t>69</w:t>
            </w:r>
          </w:p>
        </w:tc>
      </w:tr>
      <w:tr w:rsidR="00FA54CF" w:rsidRPr="00FA54CF" w:rsidTr="001445B4">
        <w:trPr>
          <w:trHeight w:val="390"/>
          <w:jc w:val="center"/>
        </w:trPr>
        <w:tc>
          <w:tcPr>
            <w:tcW w:w="3720" w:type="dxa"/>
            <w:tcBorders>
              <w:top w:val="nil"/>
              <w:left w:val="single" w:sz="4" w:space="0" w:color="A6A6A6"/>
              <w:bottom w:val="single" w:sz="4" w:space="0" w:color="A6A6A6"/>
              <w:right w:val="single" w:sz="4" w:space="0" w:color="A6A6A6"/>
            </w:tcBorders>
            <w:shd w:val="clear" w:color="CCCCFF" w:fill="008080"/>
            <w:noWrap/>
            <w:vAlign w:val="center"/>
            <w:hideMark/>
          </w:tcPr>
          <w:p w:rsidR="00FA54CF" w:rsidRPr="00FA54CF" w:rsidRDefault="00FA54CF" w:rsidP="00FA54CF">
            <w:pPr>
              <w:jc w:val="center"/>
              <w:rPr>
                <w:rFonts w:ascii="Arial" w:eastAsia="Times New Roman" w:hAnsi="Arial" w:cs="Arial"/>
                <w:b/>
                <w:bCs/>
                <w:color w:val="FFFFFF"/>
                <w:sz w:val="22"/>
                <w:szCs w:val="22"/>
                <w:lang w:eastAsia="fr-FR"/>
              </w:rPr>
            </w:pPr>
            <w:r w:rsidRPr="00FA54CF">
              <w:rPr>
                <w:rFonts w:ascii="Arial" w:eastAsia="Times New Roman" w:hAnsi="Arial" w:cs="Arial"/>
                <w:b/>
                <w:bCs/>
                <w:color w:val="FFFFFF"/>
                <w:sz w:val="22"/>
                <w:szCs w:val="22"/>
                <w:lang w:eastAsia="fr-FR"/>
              </w:rPr>
              <w:t>Total</w:t>
            </w:r>
          </w:p>
        </w:tc>
        <w:tc>
          <w:tcPr>
            <w:tcW w:w="2740" w:type="dxa"/>
            <w:tcBorders>
              <w:top w:val="nil"/>
              <w:left w:val="nil"/>
              <w:bottom w:val="single" w:sz="4" w:space="0" w:color="A6A6A6"/>
              <w:right w:val="single" w:sz="4" w:space="0" w:color="A6A6A6"/>
            </w:tcBorders>
            <w:shd w:val="clear" w:color="CCCCFF" w:fill="008080"/>
            <w:vAlign w:val="center"/>
            <w:hideMark/>
          </w:tcPr>
          <w:p w:rsidR="00FA54CF" w:rsidRPr="00FA54CF" w:rsidRDefault="00FA54CF" w:rsidP="00FA54CF">
            <w:pPr>
              <w:jc w:val="center"/>
              <w:rPr>
                <w:rFonts w:ascii="Arial" w:eastAsia="Times New Roman" w:hAnsi="Arial" w:cs="Arial"/>
                <w:b/>
                <w:bCs/>
                <w:color w:val="FFFFFF"/>
                <w:sz w:val="22"/>
                <w:szCs w:val="22"/>
                <w:lang w:eastAsia="fr-FR"/>
              </w:rPr>
            </w:pPr>
            <w:r w:rsidRPr="00FA54CF">
              <w:rPr>
                <w:rFonts w:ascii="Arial" w:eastAsia="Times New Roman" w:hAnsi="Arial" w:cs="Arial"/>
                <w:b/>
                <w:bCs/>
                <w:color w:val="FFFFFF"/>
                <w:sz w:val="22"/>
                <w:szCs w:val="22"/>
                <w:lang w:eastAsia="fr-FR"/>
              </w:rPr>
              <w:t>2361</w:t>
            </w:r>
          </w:p>
        </w:tc>
      </w:tr>
    </w:tbl>
    <w:p w:rsidR="00FA54CF" w:rsidRPr="00FA54CF" w:rsidRDefault="00FA54CF" w:rsidP="00FA54CF">
      <w:pPr>
        <w:widowControl w:val="0"/>
        <w:autoSpaceDE w:val="0"/>
        <w:autoSpaceDN w:val="0"/>
        <w:adjustRightInd w:val="0"/>
        <w:jc w:val="both"/>
        <w:rPr>
          <w:rFonts w:ascii="Cambria" w:eastAsia="Cambria" w:hAnsi="Cambria" w:cs="Times New Roman"/>
          <w:sz w:val="22"/>
          <w:u w:val="single"/>
        </w:rPr>
      </w:pPr>
    </w:p>
    <w:p w:rsidR="00FA54CF" w:rsidRPr="00FA54CF" w:rsidRDefault="00FA54CF" w:rsidP="00FA54CF">
      <w:pPr>
        <w:widowControl w:val="0"/>
        <w:autoSpaceDE w:val="0"/>
        <w:autoSpaceDN w:val="0"/>
        <w:adjustRightInd w:val="0"/>
        <w:jc w:val="both"/>
        <w:rPr>
          <w:rFonts w:ascii="Cambria" w:eastAsia="Cambria" w:hAnsi="Cambria" w:cs="Times New Roman"/>
          <w:sz w:val="22"/>
          <w:u w:val="single"/>
        </w:rPr>
      </w:pPr>
    </w:p>
    <w:p w:rsidR="00FA54CF" w:rsidRPr="00FA54CF" w:rsidRDefault="00FA54CF" w:rsidP="00FA54CF">
      <w:pPr>
        <w:spacing w:after="160" w:line="259" w:lineRule="auto"/>
        <w:rPr>
          <w:rFonts w:ascii="Cambria" w:eastAsia="Cambria" w:hAnsi="Cambria" w:cs="Times New Roman"/>
          <w:sz w:val="22"/>
          <w:u w:val="single"/>
        </w:rPr>
      </w:pPr>
      <w:r w:rsidRPr="00FA54CF">
        <w:rPr>
          <w:rFonts w:ascii="Cambria" w:eastAsia="Cambria" w:hAnsi="Cambria" w:cs="Times New Roman"/>
          <w:sz w:val="22"/>
          <w:u w:val="single"/>
        </w:rPr>
        <w:br w:type="page"/>
      </w:r>
    </w:p>
    <w:p w:rsidR="00FA54CF" w:rsidRPr="00FA54CF" w:rsidRDefault="00FA54CF" w:rsidP="00FA54CF">
      <w:pPr>
        <w:widowControl w:val="0"/>
        <w:autoSpaceDE w:val="0"/>
        <w:autoSpaceDN w:val="0"/>
        <w:adjustRightInd w:val="0"/>
        <w:jc w:val="both"/>
        <w:rPr>
          <w:rFonts w:ascii="Cambria" w:eastAsia="Cambria" w:hAnsi="Cambria" w:cs="Times New Roman"/>
          <w:sz w:val="22"/>
          <w:u w:val="single"/>
        </w:rPr>
      </w:pPr>
    </w:p>
    <w:p w:rsidR="00FA54CF" w:rsidRPr="00FA54CF" w:rsidRDefault="00FA54CF" w:rsidP="00FA54CF">
      <w:pPr>
        <w:jc w:val="both"/>
        <w:rPr>
          <w:rFonts w:ascii="Florencesans Exp" w:eastAsia="Cambria" w:hAnsi="Florencesans Exp" w:cs="Times New Roman"/>
        </w:rPr>
      </w:pPr>
      <w:r w:rsidRPr="00FA54CF">
        <w:rPr>
          <w:rFonts w:ascii="Florencesans Exp" w:eastAsia="Cambria" w:hAnsi="Florencesans Exp" w:cs="Times New Roman"/>
          <w:lang w:eastAsia="fr-FR"/>
        </w:rPr>
        <w:t xml:space="preserve">7. B. 2. </w:t>
      </w:r>
      <w:r w:rsidRPr="00FA54CF">
        <w:rPr>
          <w:rFonts w:ascii="Florencesans Exp" w:eastAsia="Cambria" w:hAnsi="Florencesans Exp" w:cs="Times New Roman"/>
        </w:rPr>
        <w:t xml:space="preserve">LES MOUVEMENTS D'AMPLEUR NATIONALE </w:t>
      </w:r>
    </w:p>
    <w:p w:rsidR="00FA54CF" w:rsidRPr="00FA54CF" w:rsidRDefault="00FA54CF" w:rsidP="00FA54CF">
      <w:pPr>
        <w:spacing w:before="240"/>
        <w:rPr>
          <w:rFonts w:ascii="Arial" w:eastAsia="Cambria" w:hAnsi="Arial" w:cs="Arial"/>
          <w:b/>
          <w:color w:val="008080"/>
          <w:u w:val="single"/>
          <w:lang w:eastAsia="fr-FR"/>
        </w:rPr>
      </w:pPr>
      <w:r w:rsidRPr="00FA54CF">
        <w:rPr>
          <w:rFonts w:ascii="Arial" w:eastAsia="Cambria" w:hAnsi="Arial" w:cs="Arial"/>
          <w:color w:val="008080"/>
          <w:u w:val="single"/>
        </w:rPr>
        <w:t>7 préavis - 1270 jours non travaillés pour fait de grève</w:t>
      </w:r>
    </w:p>
    <w:p w:rsidR="00FA54CF" w:rsidRPr="00FA54CF" w:rsidRDefault="00FA54CF" w:rsidP="002F7B25">
      <w:pPr>
        <w:widowControl w:val="0"/>
        <w:autoSpaceDE w:val="0"/>
        <w:autoSpaceDN w:val="0"/>
        <w:adjustRightInd w:val="0"/>
        <w:rPr>
          <w:rFonts w:ascii="BlairMdITC TT-Medium" w:eastAsia="Cambria" w:hAnsi="BlairMdITC TT-Medium" w:cs="Times New Roman"/>
        </w:rPr>
      </w:pPr>
    </w:p>
    <w:p w:rsidR="00FA54CF" w:rsidRPr="00FA54CF" w:rsidRDefault="00FA54CF" w:rsidP="002F7B25">
      <w:pPr>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Sept journées de mobilisation interprofessionnelles ont été organisées sur l'année 2013 à l'initiative, majoritairement, de l'Union Syndicale Solidaires, de l'UGFF-CGT, de la FSU et de FO. Contrairement à d'autres années, ces préavis n'ont pas été déposés par une seule et même organisation syndicale. </w:t>
      </w:r>
    </w:p>
    <w:p w:rsidR="00FA54CF" w:rsidRPr="00FA54CF" w:rsidRDefault="00FA54CF" w:rsidP="002F7B25">
      <w:pPr>
        <w:spacing w:before="100" w:beforeAutospacing="1"/>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Les syndicats précités se sont, en effet, généralement associés pour demander la suppression du jour de carence, défendre les salaires, le pouvoir d'achat et les missions publiques ou encore pour dénoncer la précarisation de l'emploi public, le gel de la valeur du point d'indice et l'augmentation des retenues pour pension civile. </w:t>
      </w:r>
    </w:p>
    <w:p w:rsidR="00FA54CF" w:rsidRPr="00FA54CF" w:rsidRDefault="00FA54CF" w:rsidP="002F7B25">
      <w:pPr>
        <w:spacing w:before="100" w:beforeAutospacing="1"/>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Un préavis a également été consacré à la réforme des retraites en septembre 2013. L'UGFF-CGT, la FSU, FO et Solidaires ont souhaité organiser une journée d'action unitaire interprofessionnelle avant la présentation du projet de loi du gouvernement au Conseil des Ministres le 18 septembre. Toutefois, à l'inverse de 2010, la CDFT, la CFE-CGC et la CFTC n'ont pas rejoint ce mouvement, espérant obtenir de nouvelles avancées sur le dossier des retraites lors du débat parlementaire prévu début octobre. </w:t>
      </w:r>
    </w:p>
    <w:p w:rsidR="00FA54CF" w:rsidRPr="00FA54CF" w:rsidRDefault="00FA54CF" w:rsidP="002F7B25">
      <w:pPr>
        <w:spacing w:before="100" w:beforeAutospacing="1"/>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Un second préavis de grève contestant la réforme des retraites engagée par le gouvernement a été déposé pour le 15 octobre 2013. Cette contestation était portée par quatre syndicats : MGF FO, UGFF CGT (pour l’ensemble de la fonction publique d’état), FSU (pour l’ensemble de la fonction publique), Union syndicale Solidaires Fonction Publique (pour les personnels titulaires, stagiaires, contractuels et auxiliaires des trois versants de la fonction publique et des établissements publics ainsi que les personnels titulaires et non titulaires de droit public exerçant leurs fonctions dans les SA et les établissements d’enseignements privé). </w:t>
      </w:r>
    </w:p>
    <w:p w:rsidR="00FA54CF" w:rsidRPr="00FA54CF" w:rsidRDefault="00FA54CF" w:rsidP="002F7B25">
      <w:pPr>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Cette mobilisation visait plus particulièrement : </w:t>
      </w:r>
    </w:p>
    <w:p w:rsidR="00FA54CF" w:rsidRPr="00FA54CF" w:rsidRDefault="00FA54CF" w:rsidP="002F7B25">
      <w:pPr>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l’allongement de la durée de cotisation ;</w:t>
      </w:r>
    </w:p>
    <w:p w:rsidR="00FA54CF" w:rsidRPr="00FA54CF" w:rsidRDefault="00FA54CF" w:rsidP="002F7B25">
      <w:pPr>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les mesures de financement de la réforme ;</w:t>
      </w:r>
    </w:p>
    <w:p w:rsidR="00FA54CF" w:rsidRPr="00FA54CF" w:rsidRDefault="00FA54CF" w:rsidP="002F7B25">
      <w:pPr>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le maintien du système de répartition ;</w:t>
      </w:r>
    </w:p>
    <w:p w:rsidR="00FA54CF" w:rsidRPr="00FA54CF" w:rsidRDefault="00FA54CF" w:rsidP="002F7B25">
      <w:pPr>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le maintien du code des pensions civiles et militaires ;</w:t>
      </w:r>
    </w:p>
    <w:p w:rsidR="00FA54CF" w:rsidRPr="00FA54CF" w:rsidRDefault="00FA54CF" w:rsidP="002F7B25">
      <w:pPr>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la revalorisation des pensions.</w:t>
      </w:r>
    </w:p>
    <w:p w:rsidR="00021904" w:rsidRDefault="00FA54CF" w:rsidP="00021904">
      <w:pPr>
        <w:spacing w:before="100" w:beforeAutospacing="1"/>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 xml:space="preserve">Un troisième préavis contestant la réforme des retraites a été déposé pour la journée du 26 novembre 2013. Un dernier préavis a été déposé pour la semaine du 09 au 13 décembre 2013 contestant la réforme des retraites et la baisse du pouvoir d’achat : 18 grévistes sur l’ensemble de la semaine. </w:t>
      </w:r>
    </w:p>
    <w:p w:rsidR="00FA54CF" w:rsidRPr="00FA54CF" w:rsidRDefault="00FA54CF" w:rsidP="00021904">
      <w:pPr>
        <w:spacing w:after="119"/>
        <w:jc w:val="both"/>
        <w:rPr>
          <w:rFonts w:ascii="Arial" w:eastAsia="Times New Roman" w:hAnsi="Arial" w:cs="Arial"/>
          <w:sz w:val="22"/>
          <w:szCs w:val="22"/>
          <w:lang w:eastAsia="fr-FR"/>
        </w:rPr>
      </w:pPr>
      <w:r w:rsidRPr="00FA54CF">
        <w:rPr>
          <w:rFonts w:ascii="Arial" w:eastAsia="Times New Roman" w:hAnsi="Arial" w:cs="Arial"/>
          <w:sz w:val="22"/>
          <w:szCs w:val="22"/>
          <w:lang w:eastAsia="fr-FR"/>
        </w:rPr>
        <w:t>Le préavis de grève du 31 janvier, l'un des plus mobilisateurs, a été soutenu par trois des quatre organisations syndicales susmentionnées (Solidaires, l'UGFF CGT, FSU). Il était, par ailleurs, doublé :</w:t>
      </w:r>
    </w:p>
    <w:p w:rsidR="00FA54CF" w:rsidRPr="00FA54CF" w:rsidRDefault="00FA54CF" w:rsidP="002F7B25">
      <w:pPr>
        <w:numPr>
          <w:ilvl w:val="0"/>
          <w:numId w:val="37"/>
        </w:numPr>
        <w:spacing w:before="100" w:beforeAutospacing="1" w:after="160"/>
        <w:jc w:val="both"/>
        <w:rPr>
          <w:rFonts w:ascii="Arial" w:eastAsia="Times New Roman" w:hAnsi="Arial" w:cs="Arial"/>
          <w:sz w:val="22"/>
          <w:szCs w:val="22"/>
          <w:lang w:eastAsia="fr-FR"/>
        </w:rPr>
      </w:pPr>
      <w:r w:rsidRPr="00FA54CF">
        <w:rPr>
          <w:rFonts w:ascii="Arial" w:eastAsia="Times New Roman" w:hAnsi="Arial" w:cs="Arial"/>
          <w:b/>
          <w:bCs/>
          <w:sz w:val="22"/>
          <w:szCs w:val="22"/>
          <w:lang w:eastAsia="fr-FR"/>
        </w:rPr>
        <w:t>d'un</w:t>
      </w:r>
      <w:r w:rsidRPr="00FA54CF">
        <w:rPr>
          <w:rFonts w:ascii="Arial" w:eastAsia="Times New Roman" w:hAnsi="Arial" w:cs="Arial"/>
          <w:sz w:val="22"/>
          <w:szCs w:val="22"/>
          <w:lang w:eastAsia="fr-FR"/>
        </w:rPr>
        <w:t xml:space="preserve"> </w:t>
      </w:r>
      <w:r w:rsidRPr="00FA54CF">
        <w:rPr>
          <w:rFonts w:ascii="Arial" w:eastAsia="Times New Roman" w:hAnsi="Arial" w:cs="Arial"/>
          <w:b/>
          <w:bCs/>
          <w:sz w:val="22"/>
          <w:szCs w:val="22"/>
          <w:lang w:eastAsia="fr-FR"/>
        </w:rPr>
        <w:t>préavis spécifique Culture</w:t>
      </w:r>
      <w:r w:rsidRPr="00FA54CF">
        <w:rPr>
          <w:rFonts w:ascii="Arial" w:eastAsia="Times New Roman" w:hAnsi="Arial" w:cs="Arial"/>
          <w:sz w:val="22"/>
          <w:szCs w:val="22"/>
          <w:lang w:eastAsia="fr-FR"/>
        </w:rPr>
        <w:t xml:space="preserve"> déposé par la CGT-Culture, SUD Culture Solidaires, l'UNSA et le SNAC-FSU qui ont décliné les thématiques de mobilisation nationales au service public de la culture ;</w:t>
      </w:r>
    </w:p>
    <w:p w:rsidR="00FA54CF" w:rsidRPr="00FA54CF" w:rsidRDefault="00FA54CF" w:rsidP="002F7B25">
      <w:pPr>
        <w:numPr>
          <w:ilvl w:val="0"/>
          <w:numId w:val="37"/>
        </w:numPr>
        <w:spacing w:before="100" w:beforeAutospacing="1" w:after="160"/>
        <w:jc w:val="both"/>
        <w:rPr>
          <w:rFonts w:ascii="Arial" w:eastAsia="Times New Roman" w:hAnsi="Arial" w:cs="Arial"/>
          <w:sz w:val="22"/>
          <w:szCs w:val="22"/>
          <w:lang w:eastAsia="fr-FR"/>
        </w:rPr>
      </w:pPr>
      <w:r w:rsidRPr="00FA54CF">
        <w:rPr>
          <w:rFonts w:ascii="Arial" w:eastAsia="Times New Roman" w:hAnsi="Arial" w:cs="Arial"/>
          <w:b/>
          <w:bCs/>
          <w:sz w:val="22"/>
          <w:szCs w:val="22"/>
          <w:lang w:eastAsia="fr-FR"/>
        </w:rPr>
        <w:t>d'un préavis concernant l'INRAP</w:t>
      </w:r>
      <w:r w:rsidRPr="00FA54CF">
        <w:rPr>
          <w:rFonts w:ascii="Arial" w:eastAsia="Times New Roman" w:hAnsi="Arial" w:cs="Arial"/>
          <w:sz w:val="22"/>
          <w:szCs w:val="22"/>
          <w:lang w:eastAsia="fr-FR"/>
        </w:rPr>
        <w:t xml:space="preserve"> </w:t>
      </w:r>
      <w:r w:rsidRPr="00FA54CF">
        <w:rPr>
          <w:rFonts w:ascii="Arial" w:eastAsia="Times New Roman" w:hAnsi="Arial" w:cs="Arial"/>
          <w:b/>
          <w:bCs/>
          <w:sz w:val="22"/>
          <w:szCs w:val="22"/>
          <w:lang w:eastAsia="fr-FR"/>
        </w:rPr>
        <w:t>et les services régionaux de l'archéologie (SRA)</w:t>
      </w:r>
      <w:r w:rsidRPr="00FA54CF">
        <w:rPr>
          <w:rFonts w:ascii="Arial" w:eastAsia="Times New Roman" w:hAnsi="Arial" w:cs="Arial"/>
          <w:sz w:val="22"/>
          <w:szCs w:val="22"/>
          <w:lang w:eastAsia="fr-FR"/>
        </w:rPr>
        <w:t> déposé par le SGPA CGT-Culture, SUD Culture Solidaires, le SNAC-FSU et la CNT-CCS. Ces syndicats ont, entre autres, rappelé les dérives créées par la loi</w:t>
      </w:r>
      <w:r w:rsidRPr="00FA54CF">
        <w:rPr>
          <w:rFonts w:ascii="Arial" w:eastAsia="Times New Roman" w:hAnsi="Arial" w:cs="Arial"/>
          <w:b/>
          <w:bCs/>
          <w:sz w:val="22"/>
          <w:szCs w:val="22"/>
          <w:lang w:eastAsia="fr-FR"/>
        </w:rPr>
        <w:t xml:space="preserve"> </w:t>
      </w:r>
      <w:r w:rsidRPr="00FA54CF">
        <w:rPr>
          <w:rFonts w:ascii="Arial" w:eastAsia="Times New Roman" w:hAnsi="Arial" w:cs="Arial"/>
          <w:sz w:val="22"/>
          <w:szCs w:val="22"/>
          <w:lang w:eastAsia="fr-FR"/>
        </w:rPr>
        <w:t>n° 2003-707 du 1er août 2003 modifiant la loi n° 2001-44 du 17 janvier 2001 relative à l'archéologie préventive et demander la mise en place d'un plan de résorption de la précarité à l'INRAP à hauteur de 200 emplois et la création d'emplois dans les SRA.</w:t>
      </w:r>
    </w:p>
    <w:p w:rsidR="00FA54CF" w:rsidRPr="00FA54CF" w:rsidRDefault="00FA54CF" w:rsidP="00FA54CF">
      <w:pPr>
        <w:spacing w:after="119"/>
        <w:rPr>
          <w:rFonts w:ascii="Florencesans Exp" w:eastAsia="Cambria" w:hAnsi="Florencesans Exp" w:cs="Times New Roman"/>
        </w:rPr>
      </w:pPr>
      <w:r w:rsidRPr="00FA54CF">
        <w:rPr>
          <w:rFonts w:ascii="Florencesans Exp" w:eastAsia="Cambria" w:hAnsi="Florencesans Exp" w:cs="Times New Roman"/>
          <w:lang w:eastAsia="fr-FR"/>
        </w:rPr>
        <w:lastRenderedPageBreak/>
        <w:t xml:space="preserve">7. B. 3. </w:t>
      </w:r>
      <w:r w:rsidRPr="00FA54CF">
        <w:rPr>
          <w:rFonts w:ascii="Florencesans Exp" w:eastAsia="Cambria" w:hAnsi="Florencesans Exp" w:cs="Times New Roman"/>
        </w:rPr>
        <w:t xml:space="preserve">LES MOUVEMENTS MINISTERIELS OU LOCAUX </w:t>
      </w:r>
    </w:p>
    <w:p w:rsidR="00FA54CF" w:rsidRPr="00FA54CF" w:rsidRDefault="00FA54CF" w:rsidP="00FA54CF">
      <w:pPr>
        <w:spacing w:before="240"/>
        <w:rPr>
          <w:rFonts w:ascii="Arial" w:eastAsia="Cambria" w:hAnsi="Arial" w:cs="Arial"/>
          <w:color w:val="008080"/>
          <w:u w:val="single"/>
        </w:rPr>
      </w:pPr>
      <w:r w:rsidRPr="00FA54CF">
        <w:rPr>
          <w:rFonts w:ascii="Arial" w:eastAsia="Cambria" w:hAnsi="Arial" w:cs="Arial"/>
          <w:color w:val="008080"/>
          <w:u w:val="single"/>
        </w:rPr>
        <w:t>8 préavis dont 7 suivis – 1091 jours non travaillés pour fait de grève</w:t>
      </w:r>
    </w:p>
    <w:p w:rsidR="00FA54CF" w:rsidRPr="00FA54CF" w:rsidRDefault="00FA54CF" w:rsidP="00FA54CF">
      <w:pPr>
        <w:widowControl w:val="0"/>
        <w:autoSpaceDE w:val="0"/>
        <w:autoSpaceDN w:val="0"/>
        <w:adjustRightInd w:val="0"/>
        <w:jc w:val="both"/>
        <w:rPr>
          <w:rFonts w:ascii="Cambria" w:eastAsia="Cambria" w:hAnsi="Cambria" w:cs="Times New Roman"/>
          <w:sz w:val="16"/>
        </w:rPr>
      </w:pPr>
    </w:p>
    <w:p w:rsidR="00FA54CF" w:rsidRDefault="00FA54CF" w:rsidP="00FA54CF">
      <w:pPr>
        <w:widowControl w:val="0"/>
        <w:autoSpaceDE w:val="0"/>
        <w:autoSpaceDN w:val="0"/>
        <w:adjustRightInd w:val="0"/>
        <w:spacing w:before="240"/>
        <w:jc w:val="center"/>
        <w:rPr>
          <w:rFonts w:ascii="Arial" w:eastAsia="Cambria" w:hAnsi="Arial" w:cs="Times New Roman"/>
          <w:b/>
          <w:iCs/>
        </w:rPr>
      </w:pPr>
      <w:r w:rsidRPr="00FA54CF">
        <w:rPr>
          <w:rFonts w:ascii="Arial" w:eastAsia="Cambria" w:hAnsi="Arial" w:cs="Times New Roman"/>
          <w:b/>
          <w:iCs/>
        </w:rPr>
        <w:t>Les journées nationales d'action qui ont été suivies sur l'année 2013</w:t>
      </w:r>
    </w:p>
    <w:p w:rsidR="00FA54CF" w:rsidRPr="00FA54CF" w:rsidRDefault="00A157BD" w:rsidP="00FA54CF">
      <w:pPr>
        <w:widowControl w:val="0"/>
        <w:autoSpaceDE w:val="0"/>
        <w:autoSpaceDN w:val="0"/>
        <w:adjustRightInd w:val="0"/>
        <w:jc w:val="both"/>
        <w:rPr>
          <w:rFonts w:ascii="Cambria" w:eastAsia="Cambria" w:hAnsi="Cambria" w:cs="Times New Roman"/>
          <w:i/>
          <w:iCs/>
          <w:sz w:val="22"/>
          <w:szCs w:val="12"/>
        </w:rPr>
      </w:pPr>
      <w:r w:rsidRPr="00A157BD">
        <w:rPr>
          <w:noProof/>
          <w:lang w:eastAsia="fr-FR"/>
        </w:rPr>
        <w:drawing>
          <wp:inline distT="0" distB="0" distL="0" distR="0" wp14:anchorId="6D052448" wp14:editId="794DBDC3">
            <wp:extent cx="5760720" cy="3338649"/>
            <wp:effectExtent l="0" t="0" r="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60720" cy="3338649"/>
                    </a:xfrm>
                    <a:prstGeom prst="rect">
                      <a:avLst/>
                    </a:prstGeom>
                    <a:noFill/>
                    <a:ln>
                      <a:noFill/>
                    </a:ln>
                  </pic:spPr>
                </pic:pic>
              </a:graphicData>
            </a:graphic>
          </wp:inline>
        </w:drawing>
      </w:r>
    </w:p>
    <w:p w:rsidR="00FA54CF" w:rsidRPr="00FA54CF" w:rsidRDefault="00837980" w:rsidP="00FA54CF">
      <w:pPr>
        <w:widowControl w:val="0"/>
        <w:autoSpaceDE w:val="0"/>
        <w:autoSpaceDN w:val="0"/>
        <w:adjustRightInd w:val="0"/>
        <w:jc w:val="both"/>
        <w:rPr>
          <w:rFonts w:ascii="Arial" w:eastAsia="Cambria" w:hAnsi="Arial" w:cs="Times New Roman"/>
          <w:b/>
          <w:bCs/>
          <w:sz w:val="22"/>
        </w:rPr>
      </w:pPr>
      <w:r w:rsidRPr="00FA54CF">
        <w:rPr>
          <w:rFonts w:ascii="Times New Roman" w:eastAsia="Times New Roman" w:hAnsi="Times New Roman" w:cs="Times New Roman"/>
          <w:noProof/>
          <w:lang w:eastAsia="fr-FR"/>
        </w:rPr>
        <mc:AlternateContent>
          <mc:Choice Requires="wps">
            <w:drawing>
              <wp:anchor distT="0" distB="0" distL="114300" distR="114300" simplePos="0" relativeHeight="251873280" behindDoc="0" locked="0" layoutInCell="1" allowOverlap="1" wp14:anchorId="55CF0014" wp14:editId="0142D36A">
                <wp:simplePos x="0" y="0"/>
                <wp:positionH relativeFrom="page">
                  <wp:align>left</wp:align>
                </wp:positionH>
                <wp:positionV relativeFrom="paragraph">
                  <wp:posOffset>266065</wp:posOffset>
                </wp:positionV>
                <wp:extent cx="1828800" cy="1828800"/>
                <wp:effectExtent l="0" t="285750" r="0" b="281940"/>
                <wp:wrapNone/>
                <wp:docPr id="294" name="Zone de texte 2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scene3d>
                          <a:camera prst="isometricRightUp"/>
                          <a:lightRig rig="threePt" dir="t"/>
                        </a:scene3d>
                      </wps:spPr>
                      <wps:txbx>
                        <w:txbxContent>
                          <w:p w:rsidR="007B1397" w:rsidRPr="00837980" w:rsidRDefault="007B1397" w:rsidP="00FA54CF">
                            <w:pPr>
                              <w:widowControl w:val="0"/>
                              <w:autoSpaceDE w:val="0"/>
                              <w:autoSpaceDN w:val="0"/>
                              <w:adjustRightInd w:val="0"/>
                              <w:jc w:val="center"/>
                              <w:rPr>
                                <w:rFonts w:ascii="Arial" w:eastAsia="Cambria" w:hAnsi="Arial" w:cs="Times New Roman"/>
                                <w:b/>
                                <w:color w:val="FF0000"/>
                                <w:sz w:val="48"/>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837980">
                              <w:rPr>
                                <w:rFonts w:ascii="Arial" w:eastAsia="Cambria" w:hAnsi="Arial" w:cs="Times New Roman"/>
                                <w:b/>
                                <w:color w:val="FF0000"/>
                                <w:sz w:val="48"/>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5CF0014" id="Zone de texte 294" o:spid="_x0000_s1097" type="#_x0000_t202" style="position:absolute;left:0;text-align:left;margin-left:0;margin-top:20.95pt;width:2in;height:2in;z-index:251873280;visibility:visible;mso-wrap-style:non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" filled="f" stroked="f">
                <v:textbox style="mso-fit-shape-to-text:t">
                  <w:txbxContent>
                    <w:p w:rsidR="007B1397" w:rsidRPr="00837980" w:rsidRDefault="007B1397" w:rsidP="00FA54CF">
                      <w:pPr>
                        <w:widowControl w:val="0"/>
                        <w:autoSpaceDE w:val="0"/>
                        <w:autoSpaceDN w:val="0"/>
                        <w:adjustRightInd w:val="0"/>
                        <w:jc w:val="center"/>
                        <w:rPr>
                          <w:rFonts w:ascii="Arial" w:eastAsia="Cambria" w:hAnsi="Arial" w:cs="Times New Roman"/>
                          <w:b/>
                          <w:color w:val="FF0000"/>
                          <w:sz w:val="48"/>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837980">
                        <w:rPr>
                          <w:rFonts w:ascii="Arial" w:eastAsia="Cambria" w:hAnsi="Arial" w:cs="Times New Roman"/>
                          <w:b/>
                          <w:color w:val="FF0000"/>
                          <w:sz w:val="48"/>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v:textbox>
                <w10:wrap anchorx="page"/>
              </v:shape>
            </w:pict>
          </mc:Fallback>
        </mc:AlternateContent>
      </w:r>
    </w:p>
    <w:p w:rsidR="00FA54CF" w:rsidRPr="00FA54CF" w:rsidRDefault="00FA54CF" w:rsidP="00FA54CF">
      <w:pPr>
        <w:spacing w:after="160" w:line="259" w:lineRule="auto"/>
        <w:rPr>
          <w:rFonts w:ascii="Calibri" w:eastAsia="Calibri" w:hAnsi="Calibri" w:cs="Times New Roman"/>
          <w:sz w:val="22"/>
          <w:szCs w:val="22"/>
        </w:rPr>
      </w:pPr>
    </w:p>
    <w:p w:rsidR="00FA54CF" w:rsidRPr="00FA54CF" w:rsidRDefault="00FA54CF" w:rsidP="00FA54CF">
      <w:pPr>
        <w:spacing w:line="259" w:lineRule="auto"/>
        <w:rPr>
          <w:rFonts w:ascii="Calibri" w:eastAsia="Calibri" w:hAnsi="Calibri" w:cs="Times New Roman"/>
          <w:sz w:val="22"/>
          <w:szCs w:val="22"/>
        </w:rPr>
      </w:pPr>
    </w:p>
    <w:p w:rsidR="00FA54CF" w:rsidRPr="00FA54CF" w:rsidRDefault="00FA54CF" w:rsidP="00FA54CF">
      <w:pPr>
        <w:widowControl w:val="0"/>
        <w:autoSpaceDE w:val="0"/>
        <w:autoSpaceDN w:val="0"/>
        <w:adjustRightInd w:val="0"/>
        <w:rPr>
          <w:rFonts w:ascii="Florencesans Exp" w:eastAsia="Cambria" w:hAnsi="Florencesans Exp" w:cs="Times New Roman"/>
          <w:b/>
          <w:color w:val="008080"/>
          <w:sz w:val="28"/>
        </w:rPr>
      </w:pPr>
      <w:r w:rsidRPr="00FA54CF">
        <w:rPr>
          <w:rFonts w:ascii="Florencesans Exp" w:eastAsia="Cambria" w:hAnsi="Florencesans Exp" w:cs="Times New Roman"/>
          <w:b/>
          <w:color w:val="008080"/>
          <w:sz w:val="28"/>
        </w:rPr>
        <w:t>7. C. LES ACCORDS NEGOCIES</w:t>
      </w:r>
    </w:p>
    <w:p w:rsidR="00FA54CF" w:rsidRPr="00FA54CF" w:rsidRDefault="00FA54CF" w:rsidP="00FA54CF">
      <w:pPr>
        <w:spacing w:line="259" w:lineRule="auto"/>
        <w:rPr>
          <w:rFonts w:ascii="Calibri" w:eastAsia="Calibri" w:hAnsi="Calibri" w:cs="Times New Roman"/>
          <w:sz w:val="22"/>
          <w:szCs w:val="22"/>
        </w:rPr>
      </w:pPr>
    </w:p>
    <w:p w:rsidR="00FA54CF" w:rsidRPr="00FA54CF" w:rsidRDefault="00FA54CF" w:rsidP="00FA54CF">
      <w:pPr>
        <w:spacing w:before="100" w:beforeAutospacing="1"/>
        <w:jc w:val="both"/>
        <w:rPr>
          <w:rFonts w:ascii="Arial" w:eastAsia="Times New Roman" w:hAnsi="Arial" w:cs="Arial"/>
          <w:sz w:val="22"/>
          <w:szCs w:val="22"/>
          <w:lang w:eastAsia="fr-FR"/>
        </w:rPr>
      </w:pPr>
      <w:r w:rsidRPr="00FA54CF">
        <w:rPr>
          <w:rFonts w:ascii="Arial" w:eastAsia="Times New Roman" w:hAnsi="Arial" w:cs="Arial"/>
          <w:color w:val="000000"/>
          <w:sz w:val="22"/>
          <w:szCs w:val="22"/>
          <w:lang w:eastAsia="fr-FR"/>
        </w:rPr>
        <w:t>Deux accords négociés ont été signés au cours de l’année 2013 :</w:t>
      </w:r>
    </w:p>
    <w:p w:rsidR="00FA54CF" w:rsidRPr="00FA54CF" w:rsidRDefault="00FA54CF" w:rsidP="0034289D">
      <w:pPr>
        <w:numPr>
          <w:ilvl w:val="0"/>
          <w:numId w:val="38"/>
        </w:numPr>
        <w:spacing w:before="100" w:beforeAutospacing="1" w:after="119" w:line="259" w:lineRule="auto"/>
        <w:jc w:val="both"/>
        <w:rPr>
          <w:rFonts w:ascii="Arial" w:eastAsia="Times New Roman" w:hAnsi="Arial" w:cs="Arial"/>
          <w:sz w:val="22"/>
          <w:szCs w:val="22"/>
          <w:lang w:eastAsia="fr-FR"/>
        </w:rPr>
      </w:pPr>
      <w:r w:rsidRPr="00FA54CF">
        <w:rPr>
          <w:rFonts w:ascii="Arial" w:eastAsia="Times New Roman" w:hAnsi="Arial" w:cs="Arial"/>
          <w:sz w:val="22"/>
          <w:szCs w:val="22"/>
          <w:u w:val="single"/>
          <w:lang w:eastAsia="fr-FR"/>
        </w:rPr>
        <w:t>8 février 2013</w:t>
      </w:r>
      <w:r w:rsidRPr="00FA54CF">
        <w:rPr>
          <w:rFonts w:ascii="Arial" w:eastAsia="Times New Roman" w:hAnsi="Arial" w:cs="Arial"/>
          <w:sz w:val="22"/>
          <w:szCs w:val="22"/>
          <w:lang w:eastAsia="fr-FR"/>
        </w:rPr>
        <w:t xml:space="preserve"> : dans le cadre des engagements de la Ministre de la culture et de la communication pour le dialogue social, un nouveau protocole relatif au régime indemnitaire de la filière des métiers d'art a été signé le jeudi 08 février 2013 par le secrétaire général et les représentants de la CGT-Culture, de la CFDT-Culture, de l'UNSA et de la CFTC-Culture. </w:t>
      </w:r>
      <w:r w:rsidRPr="00FA54CF">
        <w:rPr>
          <w:rFonts w:ascii="Arial" w:eastAsia="Times New Roman" w:hAnsi="Arial" w:cs="Arial"/>
          <w:color w:val="000000"/>
          <w:sz w:val="22"/>
          <w:szCs w:val="22"/>
          <w:lang w:eastAsia="fr-FR"/>
        </w:rPr>
        <w:t>Ce protocole a pour objet de préciser les modalités de revalorisation du régime indemnitaire des agents de la filière des métiers d'art et le programme de travail associé.</w:t>
      </w:r>
    </w:p>
    <w:p w:rsidR="00FA54CF" w:rsidRPr="00FA54CF" w:rsidRDefault="00FA54CF" w:rsidP="0034289D">
      <w:pPr>
        <w:numPr>
          <w:ilvl w:val="0"/>
          <w:numId w:val="39"/>
        </w:numPr>
        <w:spacing w:before="100" w:beforeAutospacing="1" w:after="160" w:line="259" w:lineRule="auto"/>
        <w:jc w:val="both"/>
        <w:rPr>
          <w:rFonts w:ascii="Arial" w:eastAsia="Times New Roman" w:hAnsi="Arial" w:cs="Arial"/>
          <w:sz w:val="22"/>
          <w:szCs w:val="22"/>
          <w:lang w:eastAsia="fr-FR"/>
        </w:rPr>
      </w:pPr>
      <w:r w:rsidRPr="00FA54CF">
        <w:rPr>
          <w:rFonts w:ascii="Arial" w:eastAsia="Times New Roman" w:hAnsi="Arial" w:cs="Arial"/>
          <w:color w:val="000000"/>
          <w:sz w:val="22"/>
          <w:szCs w:val="22"/>
          <w:u w:val="single"/>
          <w:lang w:eastAsia="fr-FR"/>
        </w:rPr>
        <w:t>9 septembre 2013</w:t>
      </w:r>
      <w:r w:rsidRPr="00FA54CF">
        <w:rPr>
          <w:rFonts w:ascii="Arial" w:eastAsia="Times New Roman" w:hAnsi="Arial" w:cs="Arial"/>
          <w:color w:val="000000"/>
          <w:sz w:val="22"/>
          <w:szCs w:val="22"/>
          <w:lang w:eastAsia="fr-FR"/>
        </w:rPr>
        <w:t> : accord de réduction de l’emploi précaire à l’Inrap, adopté à l’unanimité par les organisations syndicales de l'Institut le 5 septembre dernier au Comité technique central (accord devant permettre à un certain nombre d'agents de bénéficier d'un contrat à durée indéterminée).</w:t>
      </w:r>
    </w:p>
    <w:p w:rsidR="00FA54CF" w:rsidRPr="00FA54CF" w:rsidRDefault="00FA54CF" w:rsidP="00FA54CF">
      <w:pPr>
        <w:spacing w:line="259" w:lineRule="auto"/>
        <w:jc w:val="both"/>
        <w:rPr>
          <w:rFonts w:ascii="Arial" w:eastAsia="Calibri" w:hAnsi="Arial" w:cs="Arial"/>
          <w:sz w:val="22"/>
          <w:szCs w:val="22"/>
        </w:rPr>
      </w:pPr>
    </w:p>
    <w:p w:rsidR="00FA54CF" w:rsidRPr="00FA54CF" w:rsidRDefault="00FA54CF" w:rsidP="00FA54CF">
      <w:pPr>
        <w:spacing w:line="259" w:lineRule="auto"/>
        <w:jc w:val="both"/>
        <w:rPr>
          <w:rFonts w:ascii="Arial" w:eastAsia="Calibri" w:hAnsi="Arial" w:cs="Arial"/>
          <w:sz w:val="22"/>
          <w:szCs w:val="22"/>
        </w:rPr>
        <w:sectPr w:rsidR="00FA54CF" w:rsidRPr="00FA54CF" w:rsidSect="001445B4">
          <w:headerReference w:type="even" r:id="rId242"/>
          <w:headerReference w:type="default" r:id="rId243"/>
          <w:headerReference w:type="first" r:id="rId244"/>
          <w:pgSz w:w="11906" w:h="16838"/>
          <w:pgMar w:top="1417" w:right="1417" w:bottom="1417" w:left="1417" w:header="708" w:footer="708" w:gutter="0"/>
          <w:cols w:space="708"/>
          <w:titlePg/>
          <w:docGrid w:linePitch="360"/>
        </w:sectPr>
      </w:pPr>
    </w:p>
    <w:p w:rsidR="00FA54CF" w:rsidRPr="00FA54CF" w:rsidRDefault="00FA54CF" w:rsidP="00FA54CF">
      <w:pPr>
        <w:spacing w:line="259" w:lineRule="auto"/>
        <w:jc w:val="both"/>
        <w:rPr>
          <w:rFonts w:ascii="Arial" w:eastAsia="Calibri" w:hAnsi="Arial" w:cs="Arial"/>
          <w:sz w:val="22"/>
          <w:szCs w:val="22"/>
        </w:rPr>
      </w:pPr>
    </w:p>
    <w:p w:rsidR="00E63FC7" w:rsidRPr="00E63FC7" w:rsidRDefault="00E63FC7" w:rsidP="00E63FC7">
      <w:pPr>
        <w:tabs>
          <w:tab w:val="left" w:pos="1220"/>
        </w:tabs>
        <w:rPr>
          <w:rFonts w:ascii="BlairMdITC TT-Medium" w:eastAsia="Cambria" w:hAnsi="BlairMdITC TT-Medium" w:cs="Times New Roman"/>
          <w:b/>
          <w:color w:val="800000"/>
          <w:sz w:val="28"/>
        </w:rPr>
      </w:pPr>
      <w:r w:rsidRPr="00E63FC7">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75328" behindDoc="0" locked="0" layoutInCell="1" allowOverlap="1" wp14:anchorId="0C639B64" wp14:editId="644CF42A">
                <wp:simplePos x="0" y="0"/>
                <wp:positionH relativeFrom="column">
                  <wp:posOffset>0</wp:posOffset>
                </wp:positionH>
                <wp:positionV relativeFrom="paragraph">
                  <wp:posOffset>-228600</wp:posOffset>
                </wp:positionV>
                <wp:extent cx="914400" cy="914400"/>
                <wp:effectExtent l="5715" t="7620" r="3810" b="1905"/>
                <wp:wrapNone/>
                <wp:docPr id="295" name="Ellips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6FCF"/>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58C24B" id="Ellipse 295" o:spid="_x0000_s1026" style="position:absolute;margin-left:0;margin-top:-18pt;width:1in;height:1in;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" fillcolor="#ff6fcf" stroked="f" strokecolor="#4a7ebb" strokeweight="1.5pt">
                <v:shadow opacity="22938f" offset="0"/>
                <v:textbox inset=",7.2pt,,7.2pt"/>
              </v:oval>
            </w:pict>
          </mc:Fallback>
        </mc:AlternateContent>
      </w:r>
      <w:r w:rsidRPr="00E63FC7">
        <w:rPr>
          <w:rFonts w:ascii="BlairMdITC TT-Medium" w:eastAsia="Cambria" w:hAnsi="BlairMdITC TT-Medium" w:cs="Times New Roman"/>
          <w:b/>
          <w:noProof/>
          <w:color w:val="800000"/>
          <w:sz w:val="48"/>
          <w:lang w:eastAsia="fr-FR"/>
        </w:rPr>
        <mc:AlternateContent>
          <mc:Choice Requires="wps">
            <w:drawing>
              <wp:anchor distT="0" distB="0" distL="114300" distR="114300" simplePos="0" relativeHeight="251876352" behindDoc="0" locked="0" layoutInCell="1" allowOverlap="1" wp14:anchorId="773FC8DE" wp14:editId="6509F624">
                <wp:simplePos x="0" y="0"/>
                <wp:positionH relativeFrom="column">
                  <wp:posOffset>228600</wp:posOffset>
                </wp:positionH>
                <wp:positionV relativeFrom="paragraph">
                  <wp:posOffset>17145</wp:posOffset>
                </wp:positionV>
                <wp:extent cx="457200" cy="457200"/>
                <wp:effectExtent l="0" t="0" r="3810" b="3810"/>
                <wp:wrapNone/>
                <wp:docPr id="296" name="Zone de texte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Pr="00B346E7" w:rsidRDefault="007B1397" w:rsidP="00E63FC7">
                            <w:pPr>
                              <w:jc w:val="center"/>
                              <w:rPr>
                                <w:rFonts w:ascii="Apple Casual" w:eastAsia="GB18030 Bitmap" w:hAnsi="Apple Casual"/>
                                <w:b/>
                                <w:color w:val="FFFFFF"/>
                                <w:sz w:val="48"/>
                              </w:rPr>
                            </w:pPr>
                            <w:r w:rsidRPr="00B346E7">
                              <w:rPr>
                                <w:rFonts w:ascii="Apple Casual" w:eastAsia="GB18030 Bitmap" w:hAnsi="Apple Casual"/>
                                <w:b/>
                                <w:color w:val="FFFFFF"/>
                                <w:sz w:val="48"/>
                              </w:rPr>
                              <w:t>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FC8DE" id="Zone de texte 296" o:spid="_x0000_s1098" type="#_x0000_t202" style="position:absolute;margin-left:18pt;margin-top:1.35pt;width:36pt;height:3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" filled="f" stroked="f">
                <v:textbox inset=",7.2pt,,7.2pt">
                  <w:txbxContent>
                    <w:p w:rsidR="007B1397" w:rsidRPr="00B346E7" w:rsidRDefault="007B1397" w:rsidP="00E63FC7">
                      <w:pPr>
                        <w:jc w:val="center"/>
                        <w:rPr>
                          <w:rFonts w:ascii="Apple Casual" w:eastAsia="GB18030 Bitmap" w:hAnsi="Apple Casual"/>
                          <w:b/>
                          <w:color w:val="FFFFFF"/>
                          <w:sz w:val="48"/>
                        </w:rPr>
                      </w:pPr>
                      <w:r w:rsidRPr="00B346E7">
                        <w:rPr>
                          <w:rFonts w:ascii="Apple Casual" w:eastAsia="GB18030 Bitmap" w:hAnsi="Apple Casual"/>
                          <w:b/>
                          <w:color w:val="FFFFFF"/>
                          <w:sz w:val="48"/>
                        </w:rPr>
                        <w:t>8</w:t>
                      </w:r>
                    </w:p>
                  </w:txbxContent>
                </v:textbox>
              </v:shape>
            </w:pict>
          </mc:Fallback>
        </mc:AlternateContent>
      </w:r>
    </w:p>
    <w:p w:rsidR="00E63FC7" w:rsidRPr="00E63FC7" w:rsidRDefault="00E63FC7" w:rsidP="00E63FC7">
      <w:pPr>
        <w:tabs>
          <w:tab w:val="left" w:pos="1220"/>
        </w:tabs>
        <w:rPr>
          <w:rFonts w:ascii="BlairMdITC TT-Medium" w:eastAsia="Cambria" w:hAnsi="BlairMdITC TT-Medium" w:cs="Times New Roman"/>
          <w:b/>
          <w:color w:val="FF6FCF"/>
          <w:sz w:val="48"/>
        </w:rPr>
      </w:pPr>
    </w:p>
    <w:p w:rsidR="00E63FC7" w:rsidRPr="00E63FC7" w:rsidRDefault="00E63FC7" w:rsidP="00E63FC7">
      <w:pPr>
        <w:tabs>
          <w:tab w:val="left" w:pos="1220"/>
        </w:tabs>
        <w:rPr>
          <w:rFonts w:ascii="BlairMdITC TT-Medium" w:eastAsia="Cambria" w:hAnsi="BlairMdITC TT-Medium" w:cs="Times New Roman"/>
          <w:b/>
          <w:color w:val="FF6FCF"/>
          <w:sz w:val="28"/>
        </w:rPr>
      </w:pPr>
    </w:p>
    <w:p w:rsidR="00E63FC7" w:rsidRPr="00E63FC7" w:rsidRDefault="00E63FC7" w:rsidP="00E63FC7">
      <w:pPr>
        <w:tabs>
          <w:tab w:val="left" w:pos="1220"/>
        </w:tabs>
        <w:rPr>
          <w:rFonts w:ascii="BlairMdITC TT-Medium" w:eastAsia="Cambria" w:hAnsi="BlairMdITC TT-Medium" w:cs="Times New Roman"/>
          <w:b/>
          <w:color w:val="FF6FCF"/>
          <w:sz w:val="28"/>
        </w:rPr>
      </w:pPr>
    </w:p>
    <w:p w:rsidR="00E63FC7" w:rsidRPr="00E63FC7" w:rsidRDefault="00E63FC7" w:rsidP="00E63FC7">
      <w:pPr>
        <w:tabs>
          <w:tab w:val="left" w:pos="1220"/>
        </w:tabs>
        <w:rPr>
          <w:rFonts w:ascii="Florencesans Exp" w:eastAsia="Cambria" w:hAnsi="Florencesans Exp" w:cs="Times New Roman"/>
          <w:b/>
          <w:color w:val="FF6FCF"/>
          <w:sz w:val="48"/>
        </w:rPr>
      </w:pPr>
      <w:r w:rsidRPr="00E63FC7">
        <w:rPr>
          <w:rFonts w:ascii="Florencesans Exp" w:eastAsia="Cambria" w:hAnsi="Florencesans Exp" w:cs="Times New Roman"/>
          <w:b/>
          <w:color w:val="FF6FCF"/>
          <w:sz w:val="48"/>
        </w:rPr>
        <w:t>ANNEXES</w:t>
      </w:r>
    </w:p>
    <w:p w:rsidR="00E63FC7" w:rsidRPr="00E63FC7" w:rsidRDefault="00E63FC7" w:rsidP="00E63FC7">
      <w:pPr>
        <w:tabs>
          <w:tab w:val="left" w:pos="1220"/>
        </w:tabs>
        <w:rPr>
          <w:rFonts w:ascii="BlairMdITC TT-Medium" w:eastAsia="Cambria" w:hAnsi="BlairMdITC TT-Medium" w:cs="Times New Roman"/>
          <w:b/>
          <w:color w:val="800000"/>
          <w:sz w:val="48"/>
        </w:rPr>
      </w:pPr>
    </w:p>
    <w:p w:rsidR="00E63FC7" w:rsidRPr="00E63FC7" w:rsidRDefault="00E63FC7" w:rsidP="00E63FC7">
      <w:pPr>
        <w:spacing w:after="160" w:line="259" w:lineRule="auto"/>
        <w:rPr>
          <w:rFonts w:ascii="BlairMdITC TT-Medium" w:eastAsia="Cambria" w:hAnsi="BlairMdITC TT-Medium" w:cs="Times New Roman"/>
          <w:b/>
          <w:color w:val="800000"/>
          <w:sz w:val="48"/>
        </w:rPr>
      </w:pPr>
      <w:r w:rsidRPr="00E63FC7">
        <w:rPr>
          <w:rFonts w:ascii="BlairMdITC TT-Medium" w:eastAsia="Cambria" w:hAnsi="BlairMdITC TT-Medium" w:cs="Times New Roman"/>
          <w:b/>
          <w:color w:val="800000"/>
          <w:sz w:val="48"/>
        </w:rPr>
        <w:br w:type="page"/>
      </w:r>
    </w:p>
    <w:p w:rsidR="00E63FC7" w:rsidRPr="00E63FC7" w:rsidRDefault="00E63FC7" w:rsidP="00E63FC7">
      <w:pPr>
        <w:tabs>
          <w:tab w:val="left" w:pos="1220"/>
        </w:tabs>
        <w:rPr>
          <w:rFonts w:ascii="BlairMdITC TT-Medium" w:eastAsia="Cambria" w:hAnsi="BlairMdITC TT-Medium" w:cs="Times New Roman"/>
          <w:b/>
          <w:color w:val="FF6FCF"/>
          <w:sz w:val="28"/>
        </w:rPr>
      </w:pPr>
    </w:p>
    <w:p w:rsidR="00E63FC7" w:rsidRPr="00E63FC7" w:rsidRDefault="00E63FC7" w:rsidP="00E63FC7">
      <w:pPr>
        <w:tabs>
          <w:tab w:val="left" w:pos="1220"/>
        </w:tabs>
        <w:ind w:left="851" w:hanging="851"/>
        <w:rPr>
          <w:rFonts w:ascii="Florencesans Exp" w:eastAsia="Cambria" w:hAnsi="Florencesans Exp" w:cs="Times New Roman"/>
          <w:b/>
          <w:color w:val="FF6FCF"/>
          <w:sz w:val="28"/>
        </w:rPr>
      </w:pPr>
      <w:r w:rsidRPr="00E63FC7">
        <w:rPr>
          <w:rFonts w:ascii="Florencesans Exp" w:eastAsia="Cambria" w:hAnsi="Florencesans Exp" w:cs="Times New Roman"/>
          <w:b/>
          <w:color w:val="FF6FCF"/>
          <w:sz w:val="28"/>
        </w:rPr>
        <w:t>8. A. LES SANCTIONS DISCIPLINAIRES PAR FILIERE ET PAR GROUPE (DONNEES T2-T3)</w:t>
      </w:r>
    </w:p>
    <w:p w:rsidR="00E63FC7" w:rsidRPr="00E63FC7" w:rsidRDefault="00E63FC7" w:rsidP="00E63FC7">
      <w:pPr>
        <w:tabs>
          <w:tab w:val="left" w:pos="1220"/>
        </w:tabs>
        <w:rPr>
          <w:rFonts w:ascii="BlairMdITC TT-Medium" w:eastAsia="Cambria" w:hAnsi="BlairMdITC TT-Medium" w:cs="Times New Roman"/>
          <w:b/>
          <w:color w:val="FF6FCF"/>
          <w:sz w:val="28"/>
        </w:rPr>
      </w:pPr>
    </w:p>
    <w:p w:rsidR="00E63FC7" w:rsidRPr="00E63FC7" w:rsidRDefault="00E63FC7" w:rsidP="00E63FC7">
      <w:pPr>
        <w:tabs>
          <w:tab w:val="left" w:pos="1220"/>
        </w:tabs>
        <w:rPr>
          <w:rFonts w:ascii="BlairMdITC TT-Medium" w:eastAsia="Cambria" w:hAnsi="BlairMdITC TT-Medium" w:cs="Times New Roman"/>
          <w:b/>
          <w:color w:val="FF6FCF"/>
          <w:sz w:val="28"/>
        </w:rPr>
      </w:pPr>
      <w:r w:rsidRPr="00E63FC7">
        <w:rPr>
          <w:rFonts w:ascii="Calibri" w:eastAsia="Calibri" w:hAnsi="Calibri" w:cs="Times New Roman"/>
          <w:noProof/>
          <w:sz w:val="22"/>
          <w:szCs w:val="22"/>
          <w:lang w:eastAsia="fr-FR"/>
        </w:rPr>
        <w:drawing>
          <wp:inline distT="0" distB="0" distL="0" distR="0" wp14:anchorId="4A34A8E8" wp14:editId="6140A059">
            <wp:extent cx="6116320" cy="6088221"/>
            <wp:effectExtent l="0" t="0" r="0" b="825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16320" cy="6088221"/>
                    </a:xfrm>
                    <a:prstGeom prst="rect">
                      <a:avLst/>
                    </a:prstGeom>
                    <a:noFill/>
                    <a:ln>
                      <a:noFill/>
                    </a:ln>
                  </pic:spPr>
                </pic:pic>
              </a:graphicData>
            </a:graphic>
          </wp:inline>
        </w:drawing>
      </w:r>
    </w:p>
    <w:p w:rsidR="00E63FC7" w:rsidRPr="00E63FC7" w:rsidRDefault="00E63FC7" w:rsidP="00E63FC7">
      <w:pPr>
        <w:tabs>
          <w:tab w:val="left" w:pos="1220"/>
        </w:tabs>
        <w:rPr>
          <w:rFonts w:ascii="BlairMdITC TT-Medium" w:eastAsia="Cambria" w:hAnsi="BlairMdITC TT-Medium" w:cs="Times New Roman"/>
          <w:b/>
          <w:color w:val="FF6FCF"/>
          <w:sz w:val="28"/>
        </w:rPr>
      </w:pPr>
    </w:p>
    <w:p w:rsidR="00E63FC7" w:rsidRPr="00E63FC7" w:rsidRDefault="00A26705" w:rsidP="00A26705">
      <w:pPr>
        <w:spacing w:after="160" w:line="259" w:lineRule="auto"/>
        <w:rPr>
          <w:rFonts w:ascii="BlairMdITC TT-Medium" w:eastAsia="Cambria" w:hAnsi="BlairMdITC TT-Medium" w:cs="Times New Roman"/>
          <w:b/>
          <w:color w:val="FF6FCF"/>
          <w:sz w:val="28"/>
        </w:rPr>
      </w:pPr>
      <w:r w:rsidRPr="00A26705">
        <w:rPr>
          <w:rFonts w:ascii="Arial" w:eastAsia="Times New Roman" w:hAnsi="Arial" w:cs="Arial"/>
          <w:color w:val="000000"/>
          <w:sz w:val="22"/>
          <w:szCs w:val="22"/>
          <w:lang w:eastAsia="fr-FR"/>
        </w:rPr>
        <w:t>Précision :</w:t>
      </w:r>
      <w:r>
        <w:rPr>
          <w:rFonts w:ascii="Arial" w:eastAsia="Times New Roman" w:hAnsi="Arial" w:cs="Arial"/>
          <w:color w:val="000000"/>
          <w:sz w:val="22"/>
          <w:szCs w:val="22"/>
          <w:lang w:eastAsia="fr-FR"/>
        </w:rPr>
        <w:t xml:space="preserve"> </w:t>
      </w:r>
      <w:r w:rsidRPr="00A26705">
        <w:rPr>
          <w:rFonts w:ascii="Arial" w:eastAsia="Times New Roman" w:hAnsi="Arial" w:cs="Arial"/>
          <w:color w:val="000000"/>
          <w:sz w:val="22"/>
          <w:szCs w:val="22"/>
          <w:lang w:eastAsia="fr-FR"/>
        </w:rPr>
        <w:t>aucune CCP disciplinaire concernant des agents</w:t>
      </w:r>
      <w:r>
        <w:rPr>
          <w:rFonts w:ascii="Arial" w:eastAsia="Times New Roman" w:hAnsi="Arial" w:cs="Arial"/>
          <w:color w:val="000000"/>
          <w:sz w:val="22"/>
          <w:szCs w:val="22"/>
          <w:lang w:eastAsia="fr-FR"/>
        </w:rPr>
        <w:t xml:space="preserve"> </w:t>
      </w:r>
      <w:r w:rsidRPr="00A26705">
        <w:rPr>
          <w:rFonts w:ascii="Arial" w:eastAsia="Times New Roman" w:hAnsi="Arial" w:cs="Arial"/>
          <w:color w:val="000000"/>
          <w:sz w:val="22"/>
          <w:szCs w:val="22"/>
          <w:lang w:eastAsia="fr-FR"/>
        </w:rPr>
        <w:t>contractuels rémunérés sur le T2 n'a été organisée en 2013.</w:t>
      </w:r>
      <w:r w:rsidR="00E63FC7" w:rsidRPr="00E63FC7">
        <w:rPr>
          <w:rFonts w:ascii="BlairMdITC TT-Medium" w:eastAsia="Cambria" w:hAnsi="BlairMdITC TT-Medium" w:cs="Times New Roman"/>
          <w:b/>
          <w:color w:val="FF6FCF"/>
          <w:sz w:val="28"/>
        </w:rPr>
        <w:br w:type="page"/>
      </w:r>
    </w:p>
    <w:p w:rsidR="00E63FC7" w:rsidRPr="00E63FC7" w:rsidRDefault="00E63FC7" w:rsidP="00E63FC7">
      <w:pPr>
        <w:tabs>
          <w:tab w:val="left" w:pos="1220"/>
        </w:tabs>
        <w:rPr>
          <w:rFonts w:ascii="BlairMdITC TT-Medium" w:eastAsia="Cambria" w:hAnsi="BlairMdITC TT-Medium" w:cs="Times New Roman"/>
          <w:b/>
          <w:color w:val="FF6FCF"/>
          <w:sz w:val="28"/>
        </w:rPr>
      </w:pPr>
      <w:r w:rsidRPr="00E63FC7">
        <w:rPr>
          <w:rFonts w:ascii="Calibri" w:eastAsia="Calibri" w:hAnsi="Calibri" w:cs="Times New Roman"/>
          <w:noProof/>
          <w:sz w:val="22"/>
          <w:szCs w:val="22"/>
          <w:lang w:eastAsia="fr-FR"/>
        </w:rPr>
        <w:lastRenderedPageBreak/>
        <mc:AlternateContent>
          <mc:Choice Requires="wps">
            <w:drawing>
              <wp:anchor distT="0" distB="0" distL="114300" distR="114300" simplePos="0" relativeHeight="251877376" behindDoc="0" locked="0" layoutInCell="1" allowOverlap="1" wp14:anchorId="07546EE5" wp14:editId="4D2F04A2">
                <wp:simplePos x="0" y="0"/>
                <wp:positionH relativeFrom="column">
                  <wp:posOffset>-1054100</wp:posOffset>
                </wp:positionH>
                <wp:positionV relativeFrom="paragraph">
                  <wp:posOffset>-525318</wp:posOffset>
                </wp:positionV>
                <wp:extent cx="1828800" cy="1828800"/>
                <wp:effectExtent l="0" t="323850" r="0" b="318770"/>
                <wp:wrapNone/>
                <wp:docPr id="297" name="Zone de texte 2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scene3d>
                          <a:camera prst="isometricRightUp"/>
                          <a:lightRig rig="threePt" dir="t"/>
                        </a:scene3d>
                      </wps:spPr>
                      <wps:txbx>
                        <w:txbxContent>
                          <w:p w:rsidR="007B1397" w:rsidRPr="00E63FC7" w:rsidRDefault="007B1397" w:rsidP="00E63FC7">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E63FC7">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07546EE5" id="Zone de texte 297" o:spid="_x0000_s1099" type="#_x0000_t202" style="position:absolute;margin-left:-83pt;margin-top:-41.35pt;width:2in;height:2in;z-index:251877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" filled="f" stroked="f">
                <v:textbox style="mso-fit-shape-to-text:t">
                  <w:txbxContent>
                    <w:p w:rsidR="007B1397" w:rsidRPr="00E63FC7" w:rsidRDefault="007B1397" w:rsidP="00E63FC7">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E63FC7">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v:textbox>
              </v:shape>
            </w:pict>
          </mc:Fallback>
        </mc:AlternateContent>
      </w:r>
    </w:p>
    <w:p w:rsidR="00E63FC7" w:rsidRPr="00E63FC7" w:rsidRDefault="00E63FC7" w:rsidP="00E63FC7">
      <w:pPr>
        <w:ind w:left="851" w:hanging="851"/>
        <w:rPr>
          <w:rFonts w:ascii="Florencesans Exp" w:eastAsia="Cambria" w:hAnsi="Florencesans Exp" w:cs="Times New Roman"/>
          <w:b/>
          <w:color w:val="E917DF"/>
          <w:sz w:val="28"/>
        </w:rPr>
      </w:pPr>
      <w:r w:rsidRPr="00E63FC7">
        <w:rPr>
          <w:rFonts w:ascii="Florencesans Exp" w:eastAsia="Cambria" w:hAnsi="Florencesans Exp" w:cs="Times New Roman"/>
          <w:b/>
          <w:color w:val="E917DF"/>
          <w:sz w:val="28"/>
        </w:rPr>
        <w:t>8. B LES CONGES POUR EVENEMENTS FAMILIAUX (DONNEES T2 ET T3 EN PERSONNES PHYSIQUES)</w:t>
      </w:r>
    </w:p>
    <w:p w:rsidR="00E63FC7" w:rsidRPr="00E63FC7" w:rsidRDefault="00E63FC7" w:rsidP="00E63FC7">
      <w:pPr>
        <w:jc w:val="center"/>
        <w:rPr>
          <w:rFonts w:ascii="Arial" w:eastAsia="Cambria" w:hAnsi="Arial" w:cs="Arial"/>
          <w:color w:val="FF0000"/>
          <w:sz w:val="22"/>
          <w:szCs w:val="22"/>
        </w:rPr>
      </w:pPr>
    </w:p>
    <w:p w:rsidR="00E63FC7" w:rsidRPr="00E63FC7" w:rsidRDefault="00E63FC7" w:rsidP="00E63FC7">
      <w:pPr>
        <w:rPr>
          <w:rFonts w:ascii="Arial" w:eastAsia="Cambria" w:hAnsi="Arial" w:cs="Arial"/>
          <w:sz w:val="22"/>
          <w:szCs w:val="22"/>
        </w:rPr>
      </w:pPr>
    </w:p>
    <w:p w:rsidR="00E63FC7" w:rsidRPr="00E63FC7" w:rsidRDefault="00E63FC7" w:rsidP="00E63FC7">
      <w:pPr>
        <w:rPr>
          <w:rFonts w:ascii="Arial" w:eastAsia="Cambria" w:hAnsi="Arial" w:cs="Arial"/>
          <w:sz w:val="22"/>
          <w:szCs w:val="22"/>
        </w:rPr>
      </w:pPr>
    </w:p>
    <w:p w:rsidR="00E63FC7" w:rsidRPr="00E63FC7" w:rsidRDefault="00E63FC7" w:rsidP="00E63FC7">
      <w:pPr>
        <w:jc w:val="both"/>
        <w:rPr>
          <w:rFonts w:ascii="Arial" w:eastAsia="Cambria" w:hAnsi="Arial" w:cs="Arial"/>
          <w:b/>
          <w:sz w:val="22"/>
          <w:szCs w:val="22"/>
          <w:u w:val="single"/>
        </w:rPr>
      </w:pPr>
      <w:r w:rsidRPr="00E63FC7">
        <w:rPr>
          <w:rFonts w:ascii="Arial" w:eastAsia="Cambria" w:hAnsi="Arial" w:cs="Arial"/>
          <w:b/>
          <w:sz w:val="22"/>
          <w:szCs w:val="22"/>
          <w:u w:val="single"/>
        </w:rPr>
        <w:t>Les congés pour évènements familiaux concernant tous les agents publics (fonctionnaire, contractuel, fonctionnaire stagiaire)</w:t>
      </w:r>
    </w:p>
    <w:p w:rsidR="00E63FC7" w:rsidRPr="00E63FC7" w:rsidRDefault="00E63FC7" w:rsidP="00E63FC7">
      <w:pPr>
        <w:jc w:val="both"/>
        <w:rPr>
          <w:rFonts w:ascii="Arial" w:eastAsia="Cambria" w:hAnsi="Arial" w:cs="Arial"/>
          <w:b/>
          <w:sz w:val="22"/>
          <w:szCs w:val="22"/>
        </w:rPr>
      </w:pPr>
    </w:p>
    <w:p w:rsidR="00E63FC7" w:rsidRPr="00E63FC7" w:rsidRDefault="00E63FC7" w:rsidP="00E63FC7">
      <w:pPr>
        <w:keepNext/>
        <w:keepLines/>
        <w:spacing w:line="259" w:lineRule="auto"/>
        <w:jc w:val="both"/>
        <w:outlineLvl w:val="0"/>
        <w:rPr>
          <w:rFonts w:ascii="Arial" w:eastAsia="Times New Roman" w:hAnsi="Arial" w:cs="Arial"/>
          <w:b/>
          <w:bCs/>
          <w:sz w:val="22"/>
          <w:szCs w:val="22"/>
        </w:rPr>
      </w:pPr>
      <w:r w:rsidRPr="00E63FC7">
        <w:rPr>
          <w:rFonts w:ascii="Arial" w:eastAsia="Times New Roman" w:hAnsi="Arial" w:cs="Arial"/>
          <w:b/>
          <w:bCs/>
          <w:sz w:val="22"/>
          <w:szCs w:val="22"/>
        </w:rPr>
        <w:t>Le congé pour maternité ou pour adoption</w:t>
      </w:r>
    </w:p>
    <w:p w:rsidR="00E63FC7" w:rsidRPr="00E63FC7" w:rsidRDefault="00E63FC7" w:rsidP="00E63FC7">
      <w:pPr>
        <w:jc w:val="both"/>
        <w:rPr>
          <w:rFonts w:ascii="Arial" w:eastAsia="Times New Roman" w:hAnsi="Arial" w:cs="Arial"/>
          <w:sz w:val="22"/>
          <w:szCs w:val="22"/>
          <w:lang w:eastAsia="fr-FR"/>
        </w:rPr>
      </w:pPr>
      <w:r w:rsidRPr="00E63FC7">
        <w:rPr>
          <w:rFonts w:ascii="Arial" w:eastAsia="Times New Roman" w:hAnsi="Arial" w:cs="Arial"/>
          <w:sz w:val="22"/>
          <w:szCs w:val="22"/>
          <w:lang w:eastAsia="fr-FR"/>
        </w:rPr>
        <w:t>Le fonctionnaire et le fonctionnaire stagiaire en activité ont droit au congé pour maternité ou pour adoption, avec traitement, d'une durée égale à celle prévue par la législation sur la sécurité sociale.</w:t>
      </w:r>
    </w:p>
    <w:p w:rsidR="00E63FC7" w:rsidRPr="00E63FC7" w:rsidRDefault="00E63FC7" w:rsidP="00E63FC7">
      <w:pPr>
        <w:jc w:val="both"/>
        <w:rPr>
          <w:rFonts w:ascii="Arial" w:eastAsia="Times New Roman" w:hAnsi="Arial" w:cs="Arial"/>
          <w:sz w:val="22"/>
          <w:szCs w:val="22"/>
          <w:lang w:eastAsia="fr-FR"/>
        </w:rPr>
      </w:pPr>
      <w:r w:rsidRPr="00E63FC7">
        <w:rPr>
          <w:rFonts w:ascii="Arial" w:eastAsia="Times New Roman" w:hAnsi="Arial" w:cs="Arial"/>
          <w:sz w:val="22"/>
          <w:szCs w:val="22"/>
          <w:lang w:eastAsia="fr-FR"/>
        </w:rPr>
        <w:t>L'agent non titulaire en activité a droit, après 6 mois de services, à un congé de maternité ou pour adoption rémunéré, d'une durée égale à celle fixée par la législation sur la sécurité sociale. Pendant toute la durée de ce congé, l'intéressé perçoit son plein traitement.</w:t>
      </w:r>
    </w:p>
    <w:p w:rsidR="00E63FC7" w:rsidRPr="00E63FC7" w:rsidRDefault="00E63FC7" w:rsidP="00E63FC7">
      <w:pPr>
        <w:jc w:val="both"/>
        <w:rPr>
          <w:rFonts w:ascii="Arial" w:eastAsia="Calibri" w:hAnsi="Arial" w:cs="Arial"/>
          <w:sz w:val="22"/>
          <w:szCs w:val="22"/>
        </w:rPr>
      </w:pPr>
    </w:p>
    <w:p w:rsidR="00E63FC7" w:rsidRPr="00E63FC7" w:rsidRDefault="00E63FC7" w:rsidP="00E63FC7">
      <w:pPr>
        <w:keepNext/>
        <w:keepLines/>
        <w:spacing w:line="259" w:lineRule="auto"/>
        <w:jc w:val="both"/>
        <w:outlineLvl w:val="0"/>
        <w:rPr>
          <w:rFonts w:ascii="Arial" w:eastAsia="Times New Roman" w:hAnsi="Arial" w:cs="Arial"/>
          <w:b/>
          <w:bCs/>
          <w:sz w:val="22"/>
          <w:szCs w:val="22"/>
        </w:rPr>
      </w:pPr>
      <w:r w:rsidRPr="00E63FC7">
        <w:rPr>
          <w:rFonts w:ascii="Arial" w:eastAsia="Times New Roman" w:hAnsi="Arial" w:cs="Arial"/>
          <w:b/>
          <w:bCs/>
          <w:sz w:val="22"/>
          <w:szCs w:val="22"/>
        </w:rPr>
        <w:t>Le congé de paternité et d'accueil de l'enfant</w:t>
      </w:r>
    </w:p>
    <w:p w:rsidR="00E63FC7" w:rsidRPr="00E63FC7" w:rsidRDefault="00E63FC7" w:rsidP="00E63FC7">
      <w:pPr>
        <w:jc w:val="both"/>
        <w:rPr>
          <w:rFonts w:ascii="Arial" w:eastAsia="Times New Roman" w:hAnsi="Arial" w:cs="Arial"/>
          <w:sz w:val="22"/>
          <w:szCs w:val="22"/>
          <w:lang w:eastAsia="fr-FR"/>
        </w:rPr>
      </w:pPr>
      <w:r w:rsidRPr="00E63FC7">
        <w:rPr>
          <w:rFonts w:ascii="Arial" w:eastAsia="Times New Roman" w:hAnsi="Arial" w:cs="Arial"/>
          <w:sz w:val="22"/>
          <w:szCs w:val="22"/>
          <w:lang w:eastAsia="fr-FR"/>
        </w:rPr>
        <w:t>Par la loi n°2012-1404 du 17 décembre 2012 de financement de la sécurité sociale pour 2013, le congé de paternité a été élargi pour devenir un congé de paternité et d'accueil de l'enfant. Ce congé continue de bénéficier au père de l'enfant mais est également ouvert à la personne vivant maritalement avec la mère indépendamment de son lien de filiation avec l'enfant qui vient de naître. Il peut s'agir du conjoint de la mère, du partenaire ayant conclu un PACS avec elle ou de son concubin dès lors qu'il justifie d'une vie commune.</w:t>
      </w:r>
    </w:p>
    <w:p w:rsidR="00E63FC7" w:rsidRPr="00E63FC7" w:rsidRDefault="00E63FC7" w:rsidP="00E63FC7">
      <w:pPr>
        <w:jc w:val="both"/>
        <w:rPr>
          <w:rFonts w:ascii="Arial" w:eastAsia="Calibri" w:hAnsi="Arial" w:cs="Arial"/>
          <w:sz w:val="22"/>
          <w:szCs w:val="22"/>
        </w:rPr>
      </w:pPr>
    </w:p>
    <w:p w:rsidR="00E63FC7" w:rsidRPr="00E63FC7" w:rsidRDefault="00E63FC7" w:rsidP="00E63FC7">
      <w:pPr>
        <w:keepNext/>
        <w:keepLines/>
        <w:spacing w:line="259" w:lineRule="auto"/>
        <w:jc w:val="both"/>
        <w:outlineLvl w:val="0"/>
        <w:rPr>
          <w:rFonts w:ascii="Arial" w:eastAsia="Times New Roman" w:hAnsi="Arial" w:cs="Arial"/>
          <w:b/>
          <w:bCs/>
          <w:sz w:val="22"/>
          <w:szCs w:val="22"/>
        </w:rPr>
      </w:pPr>
      <w:r w:rsidRPr="00E63FC7">
        <w:rPr>
          <w:rFonts w:ascii="Arial" w:eastAsia="Times New Roman" w:hAnsi="Arial" w:cs="Arial"/>
          <w:b/>
          <w:bCs/>
          <w:sz w:val="22"/>
          <w:szCs w:val="22"/>
        </w:rPr>
        <w:t>Le congé parental</w:t>
      </w:r>
    </w:p>
    <w:p w:rsidR="00E63FC7" w:rsidRPr="00E63FC7" w:rsidRDefault="00E63FC7" w:rsidP="00E63FC7">
      <w:pPr>
        <w:jc w:val="both"/>
        <w:rPr>
          <w:rFonts w:ascii="Arial" w:eastAsia="Times New Roman" w:hAnsi="Arial" w:cs="Arial"/>
          <w:sz w:val="22"/>
          <w:szCs w:val="22"/>
          <w:lang w:eastAsia="fr-FR"/>
        </w:rPr>
      </w:pPr>
      <w:r w:rsidRPr="00E63FC7">
        <w:rPr>
          <w:rFonts w:ascii="Arial" w:eastAsia="Times New Roman" w:hAnsi="Arial" w:cs="Arial"/>
          <w:sz w:val="22"/>
          <w:szCs w:val="22"/>
          <w:lang w:eastAsia="fr-FR"/>
        </w:rPr>
        <w:t>Le congé parental est la position du fonctionnaire (au sens de l'article 32 de la loi du 11 janvier 1984) qui est placé hors de son administration ou service d'origine pour élever son enfant.</w:t>
      </w:r>
    </w:p>
    <w:p w:rsidR="00E63FC7" w:rsidRPr="00E63FC7" w:rsidRDefault="00E63FC7" w:rsidP="00E63FC7">
      <w:pPr>
        <w:jc w:val="both"/>
        <w:rPr>
          <w:rFonts w:ascii="Arial" w:eastAsia="Calibri" w:hAnsi="Arial" w:cs="Arial"/>
          <w:sz w:val="22"/>
          <w:szCs w:val="22"/>
        </w:rPr>
      </w:pPr>
    </w:p>
    <w:p w:rsidR="00E63FC7" w:rsidRPr="00E63FC7" w:rsidRDefault="00E63FC7" w:rsidP="00E63FC7">
      <w:pPr>
        <w:jc w:val="both"/>
        <w:rPr>
          <w:rFonts w:ascii="Arial" w:eastAsia="Cambria" w:hAnsi="Arial" w:cs="Arial"/>
          <w:sz w:val="22"/>
          <w:szCs w:val="22"/>
        </w:rPr>
      </w:pPr>
      <w:r w:rsidRPr="00E63FC7">
        <w:rPr>
          <w:rFonts w:ascii="Arial" w:eastAsia="Calibri" w:hAnsi="Arial" w:cs="Arial"/>
          <w:sz w:val="22"/>
          <w:szCs w:val="22"/>
        </w:rPr>
        <w:t>Il est accordé de droit, sur sa demande, à l'agent non titulaire (mère ou père) employé de manière continue et justifiant d'une ancienneté minimale d'un an à la date de naissance de son enfant ou de l'arrivée au foyer d'un enfant qui est adopté ou confié en vue de son adoption et qui n'a pas encore atteint l'âge de la fin de l'obligation scolaire. Le congé parental peut être demandé à l'occasion de chaque naissance ou de chaque adoption.</w:t>
      </w:r>
    </w:p>
    <w:p w:rsidR="00E63FC7" w:rsidRPr="00E63FC7" w:rsidRDefault="00E63FC7" w:rsidP="00E63FC7">
      <w:pPr>
        <w:jc w:val="both"/>
        <w:rPr>
          <w:rFonts w:ascii="Arial" w:eastAsia="Times New Roman" w:hAnsi="Arial" w:cs="Arial"/>
          <w:sz w:val="22"/>
          <w:szCs w:val="22"/>
          <w:lang w:eastAsia="fr-FR"/>
        </w:rPr>
      </w:pPr>
    </w:p>
    <w:p w:rsidR="00E63FC7" w:rsidRPr="00E63FC7" w:rsidRDefault="00E63FC7" w:rsidP="00E63FC7">
      <w:pPr>
        <w:keepNext/>
        <w:keepLines/>
        <w:spacing w:line="259" w:lineRule="auto"/>
        <w:jc w:val="both"/>
        <w:outlineLvl w:val="0"/>
        <w:rPr>
          <w:rFonts w:ascii="Arial" w:eastAsia="Times New Roman" w:hAnsi="Arial" w:cs="Arial"/>
          <w:b/>
          <w:bCs/>
          <w:sz w:val="22"/>
          <w:szCs w:val="22"/>
        </w:rPr>
      </w:pPr>
      <w:r w:rsidRPr="00E63FC7">
        <w:rPr>
          <w:rFonts w:ascii="Arial" w:eastAsia="Times New Roman" w:hAnsi="Arial" w:cs="Arial"/>
          <w:b/>
          <w:bCs/>
          <w:sz w:val="22"/>
          <w:szCs w:val="22"/>
        </w:rPr>
        <w:t>Le congé de présence parentale</w:t>
      </w:r>
    </w:p>
    <w:p w:rsidR="00E63FC7" w:rsidRPr="00E63FC7" w:rsidRDefault="00E63FC7" w:rsidP="00E63FC7">
      <w:pPr>
        <w:jc w:val="both"/>
        <w:rPr>
          <w:rFonts w:ascii="Arial" w:eastAsia="Times New Roman" w:hAnsi="Arial" w:cs="Arial"/>
          <w:sz w:val="22"/>
          <w:szCs w:val="22"/>
          <w:lang w:eastAsia="fr-FR"/>
        </w:rPr>
      </w:pPr>
      <w:r w:rsidRPr="00E63FC7">
        <w:rPr>
          <w:rFonts w:ascii="Arial" w:eastAsia="Times New Roman" w:hAnsi="Arial" w:cs="Arial"/>
          <w:sz w:val="22"/>
          <w:szCs w:val="22"/>
          <w:lang w:eastAsia="fr-FR"/>
        </w:rPr>
        <w:t>Le congé de présence parentale est accordé à l'agent lorsque la maladie, l'accident ou le handicap d'un enfant à charge présente une particulière gravité rendant indispensables une présence soutenue de sa mère ou de son père et des soins contraignants. Ce congé est accordé de droit, sur demande écrite de l'agent.</w:t>
      </w:r>
    </w:p>
    <w:p w:rsidR="00E63FC7" w:rsidRPr="00E63FC7" w:rsidRDefault="00E63FC7" w:rsidP="00E63FC7">
      <w:pPr>
        <w:jc w:val="both"/>
        <w:rPr>
          <w:rFonts w:ascii="Arial" w:eastAsia="Times New Roman" w:hAnsi="Arial" w:cs="Arial"/>
          <w:sz w:val="22"/>
          <w:szCs w:val="22"/>
          <w:lang w:eastAsia="fr-FR"/>
        </w:rPr>
      </w:pPr>
    </w:p>
    <w:p w:rsidR="00E63FC7" w:rsidRPr="00E63FC7" w:rsidRDefault="00E63FC7" w:rsidP="00E63FC7">
      <w:pPr>
        <w:keepNext/>
        <w:keepLines/>
        <w:spacing w:line="259" w:lineRule="auto"/>
        <w:jc w:val="both"/>
        <w:outlineLvl w:val="0"/>
        <w:rPr>
          <w:rFonts w:ascii="Arial" w:eastAsia="Times New Roman" w:hAnsi="Arial" w:cs="Arial"/>
          <w:b/>
          <w:bCs/>
          <w:sz w:val="22"/>
          <w:szCs w:val="22"/>
        </w:rPr>
      </w:pPr>
      <w:r w:rsidRPr="00E63FC7">
        <w:rPr>
          <w:rFonts w:ascii="Arial" w:eastAsia="Times New Roman" w:hAnsi="Arial" w:cs="Arial"/>
          <w:b/>
          <w:bCs/>
          <w:sz w:val="22"/>
          <w:szCs w:val="22"/>
        </w:rPr>
        <w:t>Le congé pour solidarité familiale</w:t>
      </w:r>
    </w:p>
    <w:p w:rsidR="00E63FC7" w:rsidRPr="00E63FC7" w:rsidRDefault="00E63FC7" w:rsidP="00E63FC7">
      <w:pPr>
        <w:jc w:val="both"/>
        <w:rPr>
          <w:rFonts w:ascii="Arial" w:eastAsia="Times New Roman" w:hAnsi="Arial" w:cs="Arial"/>
          <w:sz w:val="22"/>
          <w:szCs w:val="22"/>
          <w:lang w:eastAsia="fr-FR"/>
        </w:rPr>
      </w:pPr>
      <w:r w:rsidRPr="00E63FC7">
        <w:rPr>
          <w:rFonts w:ascii="Arial" w:eastAsia="Times New Roman" w:hAnsi="Arial" w:cs="Arial"/>
          <w:sz w:val="22"/>
          <w:szCs w:val="22"/>
          <w:lang w:eastAsia="fr-FR"/>
        </w:rPr>
        <w:t>Un agent public (fonctionnaire, contractuel, fonctionnaire stagiaire) peut faire une demande de solidarité familiale lorsqu'un ascendant, un descendant, un frère, une sœur, une personne partageant le même domicile ou l'ayant désigné comme sa personne de confiance souffre d'une pathologie mettant en jeu le pronostic vital ou est en phase avancée ou terminale d'une affection grave et incurable, quelle qu'en soit la cause.</w:t>
      </w:r>
    </w:p>
    <w:p w:rsidR="00E63FC7" w:rsidRPr="00E63FC7" w:rsidRDefault="00E63FC7" w:rsidP="00E63FC7">
      <w:pPr>
        <w:jc w:val="both"/>
        <w:rPr>
          <w:rFonts w:ascii="Arial" w:eastAsia="Cambria" w:hAnsi="Arial" w:cs="Arial"/>
          <w:b/>
          <w:sz w:val="22"/>
          <w:szCs w:val="22"/>
        </w:rPr>
      </w:pPr>
    </w:p>
    <w:p w:rsidR="00E63FC7" w:rsidRPr="00E63FC7" w:rsidRDefault="00E63FC7" w:rsidP="00E63FC7">
      <w:pPr>
        <w:spacing w:after="160" w:line="259" w:lineRule="auto"/>
        <w:rPr>
          <w:rFonts w:ascii="Arial" w:eastAsia="Cambria" w:hAnsi="Arial" w:cs="Arial"/>
          <w:b/>
          <w:sz w:val="22"/>
          <w:szCs w:val="22"/>
        </w:rPr>
      </w:pPr>
      <w:r w:rsidRPr="00E63FC7">
        <w:rPr>
          <w:rFonts w:ascii="Arial" w:eastAsia="Cambria" w:hAnsi="Arial" w:cs="Arial"/>
          <w:b/>
          <w:sz w:val="22"/>
          <w:szCs w:val="22"/>
        </w:rPr>
        <w:br w:type="page"/>
      </w:r>
    </w:p>
    <w:p w:rsidR="00E63FC7" w:rsidRPr="00E63FC7" w:rsidRDefault="00E63FC7" w:rsidP="00E63FC7">
      <w:pPr>
        <w:jc w:val="both"/>
        <w:rPr>
          <w:rFonts w:ascii="Arial" w:eastAsia="Cambria" w:hAnsi="Arial" w:cs="Arial"/>
          <w:b/>
          <w:sz w:val="22"/>
          <w:szCs w:val="22"/>
          <w:u w:val="single"/>
        </w:rPr>
      </w:pPr>
    </w:p>
    <w:p w:rsidR="00E63FC7" w:rsidRPr="00E63FC7" w:rsidRDefault="00E63FC7" w:rsidP="00E63FC7">
      <w:pPr>
        <w:jc w:val="both"/>
        <w:rPr>
          <w:rFonts w:ascii="Arial" w:eastAsia="Cambria" w:hAnsi="Arial" w:cs="Arial"/>
          <w:b/>
          <w:sz w:val="22"/>
          <w:szCs w:val="22"/>
          <w:u w:val="single"/>
        </w:rPr>
      </w:pPr>
    </w:p>
    <w:p w:rsidR="00E63FC7" w:rsidRPr="00E63FC7" w:rsidRDefault="00E63FC7" w:rsidP="00E63FC7">
      <w:pPr>
        <w:jc w:val="both"/>
        <w:rPr>
          <w:rFonts w:ascii="Arial" w:eastAsia="Cambria" w:hAnsi="Arial" w:cs="Arial"/>
          <w:b/>
          <w:sz w:val="22"/>
          <w:szCs w:val="22"/>
          <w:u w:val="single"/>
        </w:rPr>
      </w:pPr>
      <w:r w:rsidRPr="00E63FC7">
        <w:rPr>
          <w:rFonts w:ascii="Arial" w:eastAsia="Cambria" w:hAnsi="Arial" w:cs="Arial"/>
          <w:b/>
          <w:sz w:val="22"/>
          <w:szCs w:val="22"/>
          <w:u w:val="single"/>
        </w:rPr>
        <w:t>Les congés pour évènements familiaux concernant uniquement les fonctionnaires</w:t>
      </w:r>
    </w:p>
    <w:p w:rsidR="00E63FC7" w:rsidRPr="00E63FC7" w:rsidRDefault="00E63FC7" w:rsidP="00E63FC7">
      <w:pPr>
        <w:jc w:val="both"/>
        <w:rPr>
          <w:rFonts w:ascii="Arial" w:eastAsia="Cambria" w:hAnsi="Arial" w:cs="Arial"/>
          <w:b/>
          <w:sz w:val="22"/>
          <w:szCs w:val="22"/>
        </w:rPr>
      </w:pPr>
    </w:p>
    <w:p w:rsidR="00E63FC7" w:rsidRPr="00E63FC7" w:rsidRDefault="00E63FC7" w:rsidP="00E63FC7">
      <w:pPr>
        <w:keepNext/>
        <w:keepLines/>
        <w:spacing w:line="259" w:lineRule="auto"/>
        <w:jc w:val="both"/>
        <w:outlineLvl w:val="0"/>
        <w:rPr>
          <w:rFonts w:ascii="Arial" w:eastAsia="Times New Roman" w:hAnsi="Arial" w:cs="Arial"/>
          <w:b/>
          <w:bCs/>
          <w:sz w:val="22"/>
          <w:szCs w:val="22"/>
        </w:rPr>
      </w:pPr>
      <w:r w:rsidRPr="00E63FC7">
        <w:rPr>
          <w:rFonts w:ascii="Arial" w:eastAsia="Times New Roman" w:hAnsi="Arial" w:cs="Arial"/>
          <w:b/>
          <w:bCs/>
          <w:sz w:val="22"/>
          <w:szCs w:val="22"/>
        </w:rPr>
        <w:t>La disponibilité</w:t>
      </w:r>
    </w:p>
    <w:p w:rsidR="00E63FC7" w:rsidRPr="00E63FC7" w:rsidRDefault="00E63FC7" w:rsidP="00E63FC7">
      <w:pPr>
        <w:jc w:val="both"/>
        <w:rPr>
          <w:rFonts w:ascii="Arial" w:eastAsia="Times New Roman" w:hAnsi="Arial" w:cs="Arial"/>
          <w:sz w:val="22"/>
          <w:szCs w:val="22"/>
          <w:lang w:eastAsia="fr-FR"/>
        </w:rPr>
      </w:pPr>
      <w:r w:rsidRPr="00E63FC7">
        <w:rPr>
          <w:rFonts w:ascii="Arial" w:eastAsia="Times New Roman" w:hAnsi="Arial" w:cs="Arial"/>
          <w:sz w:val="22"/>
          <w:szCs w:val="22"/>
          <w:lang w:eastAsia="fr-FR"/>
        </w:rPr>
        <w:t>La disponibilité est la position du fonctionnaire qui, placé hors de son administration ou service d'origine, cesse de bénéficier, dans cette position, de ses droits à l'avancement et à la retraite. La disponibilité est prononcée, soit à la demande de l'intéressé, soit d'office.</w:t>
      </w:r>
    </w:p>
    <w:p w:rsidR="00E63FC7" w:rsidRPr="00E63FC7" w:rsidRDefault="00E63FC7" w:rsidP="00E63FC7">
      <w:pPr>
        <w:jc w:val="both"/>
        <w:rPr>
          <w:rFonts w:ascii="Arial" w:eastAsia="Times New Roman" w:hAnsi="Arial" w:cs="Arial"/>
          <w:sz w:val="22"/>
          <w:szCs w:val="22"/>
          <w:lang w:eastAsia="fr-FR"/>
        </w:rPr>
      </w:pPr>
    </w:p>
    <w:p w:rsidR="00E63FC7" w:rsidRPr="00E63FC7" w:rsidRDefault="00E63FC7" w:rsidP="00E63FC7">
      <w:pPr>
        <w:keepNext/>
        <w:keepLines/>
        <w:spacing w:line="259" w:lineRule="auto"/>
        <w:jc w:val="both"/>
        <w:outlineLvl w:val="0"/>
        <w:rPr>
          <w:rFonts w:ascii="Arial" w:eastAsia="Times New Roman" w:hAnsi="Arial" w:cs="Arial"/>
          <w:bCs/>
          <w:sz w:val="22"/>
          <w:szCs w:val="22"/>
          <w:u w:val="single"/>
        </w:rPr>
      </w:pPr>
      <w:r w:rsidRPr="00E63FC7">
        <w:rPr>
          <w:rFonts w:ascii="Arial" w:eastAsia="Times New Roman" w:hAnsi="Arial" w:cs="Arial"/>
          <w:bCs/>
          <w:sz w:val="22"/>
          <w:szCs w:val="22"/>
          <w:u w:val="single"/>
        </w:rPr>
        <w:t xml:space="preserve">Disponibilités accordées de droit pour : </w:t>
      </w:r>
    </w:p>
    <w:p w:rsidR="00E63FC7" w:rsidRPr="00E63FC7" w:rsidRDefault="00E63FC7" w:rsidP="00E63FC7">
      <w:pPr>
        <w:numPr>
          <w:ilvl w:val="0"/>
          <w:numId w:val="2"/>
        </w:numPr>
        <w:spacing w:after="160" w:line="259" w:lineRule="auto"/>
        <w:contextualSpacing/>
        <w:jc w:val="both"/>
        <w:rPr>
          <w:rFonts w:ascii="Arial" w:eastAsia="Calibri" w:hAnsi="Arial" w:cs="Arial"/>
          <w:sz w:val="22"/>
          <w:szCs w:val="22"/>
        </w:rPr>
      </w:pPr>
      <w:r w:rsidRPr="00E63FC7">
        <w:rPr>
          <w:rFonts w:ascii="Arial" w:eastAsia="Calibri" w:hAnsi="Arial" w:cs="Arial"/>
          <w:sz w:val="22"/>
          <w:szCs w:val="22"/>
        </w:rPr>
        <w:t xml:space="preserve">donner des soins à la suite d'un accident ou d'une maladie grave au conjoint, au partenaire lié par un PACS, à un enfant ou un ascendant ; </w:t>
      </w:r>
    </w:p>
    <w:p w:rsidR="00E63FC7" w:rsidRPr="00E63FC7" w:rsidRDefault="00E63FC7" w:rsidP="00E63FC7">
      <w:pPr>
        <w:numPr>
          <w:ilvl w:val="0"/>
          <w:numId w:val="2"/>
        </w:numPr>
        <w:spacing w:after="160" w:line="259" w:lineRule="auto"/>
        <w:contextualSpacing/>
        <w:jc w:val="both"/>
        <w:rPr>
          <w:rFonts w:ascii="Arial" w:eastAsia="Calibri" w:hAnsi="Arial" w:cs="Arial"/>
          <w:sz w:val="22"/>
          <w:szCs w:val="22"/>
        </w:rPr>
      </w:pPr>
      <w:r w:rsidRPr="00E63FC7">
        <w:rPr>
          <w:rFonts w:ascii="Arial" w:eastAsia="Calibri" w:hAnsi="Arial" w:cs="Arial"/>
          <w:sz w:val="22"/>
          <w:szCs w:val="22"/>
        </w:rPr>
        <w:t xml:space="preserve">pour élever un enfant de moins de 8 ans ou en cas de handicap nécessitant la présence d'une tierce personne donner des soins à un enfant à charge, au conjoint, au partenaire lié par un PACS, ou un ascendant ; </w:t>
      </w:r>
    </w:p>
    <w:p w:rsidR="00E63FC7" w:rsidRPr="00E63FC7" w:rsidRDefault="00E63FC7" w:rsidP="00E63FC7">
      <w:pPr>
        <w:numPr>
          <w:ilvl w:val="0"/>
          <w:numId w:val="2"/>
        </w:numPr>
        <w:spacing w:after="160" w:line="259" w:lineRule="auto"/>
        <w:contextualSpacing/>
        <w:jc w:val="both"/>
        <w:rPr>
          <w:rFonts w:ascii="Arial" w:eastAsia="Calibri" w:hAnsi="Arial" w:cs="Arial"/>
          <w:sz w:val="22"/>
          <w:szCs w:val="22"/>
        </w:rPr>
      </w:pPr>
      <w:r w:rsidRPr="00E63FC7">
        <w:rPr>
          <w:rFonts w:ascii="Arial" w:eastAsia="Calibri" w:hAnsi="Arial" w:cs="Arial"/>
          <w:sz w:val="22"/>
          <w:szCs w:val="22"/>
        </w:rPr>
        <w:t xml:space="preserve">pour suivre son conjoint ou le partenaire lié par un PACS astreint professionnellement à une résidence éloignée ; </w:t>
      </w:r>
    </w:p>
    <w:p w:rsidR="00E63FC7" w:rsidRPr="00E63FC7" w:rsidRDefault="00E63FC7" w:rsidP="00E63FC7">
      <w:pPr>
        <w:numPr>
          <w:ilvl w:val="0"/>
          <w:numId w:val="2"/>
        </w:numPr>
        <w:spacing w:after="160" w:line="259" w:lineRule="auto"/>
        <w:contextualSpacing/>
        <w:jc w:val="both"/>
        <w:rPr>
          <w:rFonts w:ascii="Arial" w:eastAsia="Calibri" w:hAnsi="Arial" w:cs="Arial"/>
          <w:sz w:val="22"/>
          <w:szCs w:val="22"/>
        </w:rPr>
      </w:pPr>
      <w:r w:rsidRPr="00E63FC7">
        <w:rPr>
          <w:rFonts w:ascii="Arial" w:eastAsia="Calibri" w:hAnsi="Arial" w:cs="Arial"/>
          <w:sz w:val="22"/>
          <w:szCs w:val="22"/>
        </w:rPr>
        <w:t xml:space="preserve">pour se rendre dans les DOM, TOM ou à l'étranger pour l'adoption d'un ou plusieurs enfants ; </w:t>
      </w:r>
    </w:p>
    <w:p w:rsidR="00E63FC7" w:rsidRPr="00E63FC7" w:rsidRDefault="00E63FC7" w:rsidP="00E63FC7">
      <w:pPr>
        <w:numPr>
          <w:ilvl w:val="0"/>
          <w:numId w:val="2"/>
        </w:numPr>
        <w:spacing w:after="160" w:line="259" w:lineRule="auto"/>
        <w:contextualSpacing/>
        <w:jc w:val="both"/>
        <w:rPr>
          <w:rFonts w:ascii="Arial" w:eastAsia="Calibri" w:hAnsi="Arial" w:cs="Arial"/>
          <w:sz w:val="22"/>
          <w:szCs w:val="22"/>
        </w:rPr>
      </w:pPr>
      <w:r w:rsidRPr="00E63FC7">
        <w:rPr>
          <w:rFonts w:ascii="Arial" w:eastAsia="Calibri" w:hAnsi="Arial" w:cs="Arial"/>
          <w:sz w:val="22"/>
          <w:szCs w:val="22"/>
        </w:rPr>
        <w:t>pour exercer un mandat d'élu local.</w:t>
      </w:r>
    </w:p>
    <w:p w:rsidR="00E63FC7" w:rsidRPr="00E63FC7" w:rsidRDefault="00E63FC7" w:rsidP="00E63FC7">
      <w:pPr>
        <w:ind w:left="720"/>
        <w:contextualSpacing/>
        <w:jc w:val="both"/>
        <w:rPr>
          <w:rFonts w:ascii="Arial" w:eastAsia="Calibri" w:hAnsi="Arial" w:cs="Arial"/>
          <w:sz w:val="22"/>
          <w:szCs w:val="22"/>
        </w:rPr>
      </w:pPr>
    </w:p>
    <w:p w:rsidR="00E63FC7" w:rsidRPr="00E63FC7" w:rsidRDefault="00E63FC7" w:rsidP="00E63FC7">
      <w:pPr>
        <w:keepNext/>
        <w:keepLines/>
        <w:spacing w:line="259" w:lineRule="auto"/>
        <w:jc w:val="both"/>
        <w:outlineLvl w:val="0"/>
        <w:rPr>
          <w:rFonts w:ascii="Arial" w:eastAsia="Times New Roman" w:hAnsi="Arial" w:cs="Arial"/>
          <w:bCs/>
          <w:sz w:val="22"/>
          <w:szCs w:val="22"/>
          <w:u w:val="single"/>
        </w:rPr>
      </w:pPr>
      <w:r w:rsidRPr="00E63FC7">
        <w:rPr>
          <w:rFonts w:ascii="Arial" w:eastAsia="Times New Roman" w:hAnsi="Arial" w:cs="Arial"/>
          <w:bCs/>
          <w:sz w:val="22"/>
          <w:szCs w:val="22"/>
          <w:u w:val="single"/>
        </w:rPr>
        <w:t xml:space="preserve">Disponibilités accordées selon les nécessités du service pour : </w:t>
      </w:r>
    </w:p>
    <w:p w:rsidR="00E63FC7" w:rsidRPr="00E63FC7" w:rsidRDefault="00E63FC7" w:rsidP="00E63FC7">
      <w:pPr>
        <w:numPr>
          <w:ilvl w:val="0"/>
          <w:numId w:val="2"/>
        </w:numPr>
        <w:spacing w:after="160" w:line="259" w:lineRule="auto"/>
        <w:contextualSpacing/>
        <w:jc w:val="both"/>
        <w:rPr>
          <w:rFonts w:ascii="Arial" w:eastAsia="Calibri" w:hAnsi="Arial" w:cs="Arial"/>
          <w:sz w:val="22"/>
          <w:szCs w:val="22"/>
        </w:rPr>
      </w:pPr>
      <w:r w:rsidRPr="00E63FC7">
        <w:rPr>
          <w:rFonts w:ascii="Arial" w:eastAsia="Calibri" w:hAnsi="Arial" w:cs="Arial"/>
          <w:sz w:val="22"/>
          <w:szCs w:val="22"/>
        </w:rPr>
        <w:t xml:space="preserve">études et recherches d'intérêt général ; </w:t>
      </w:r>
    </w:p>
    <w:p w:rsidR="00E63FC7" w:rsidRPr="00E63FC7" w:rsidRDefault="00E63FC7" w:rsidP="00E63FC7">
      <w:pPr>
        <w:numPr>
          <w:ilvl w:val="0"/>
          <w:numId w:val="2"/>
        </w:numPr>
        <w:spacing w:after="160" w:line="259" w:lineRule="auto"/>
        <w:contextualSpacing/>
        <w:jc w:val="both"/>
        <w:rPr>
          <w:rFonts w:ascii="Arial" w:eastAsia="Calibri" w:hAnsi="Arial" w:cs="Arial"/>
          <w:sz w:val="22"/>
          <w:szCs w:val="22"/>
        </w:rPr>
      </w:pPr>
      <w:r w:rsidRPr="00E63FC7">
        <w:rPr>
          <w:rFonts w:ascii="Arial" w:eastAsia="Calibri" w:hAnsi="Arial" w:cs="Arial"/>
          <w:sz w:val="22"/>
          <w:szCs w:val="22"/>
        </w:rPr>
        <w:t xml:space="preserve">convenances personnelles ; </w:t>
      </w:r>
    </w:p>
    <w:p w:rsidR="00E63FC7" w:rsidRPr="00E63FC7" w:rsidRDefault="00E63FC7" w:rsidP="00E63FC7">
      <w:pPr>
        <w:numPr>
          <w:ilvl w:val="0"/>
          <w:numId w:val="2"/>
        </w:numPr>
        <w:spacing w:after="160" w:line="259" w:lineRule="auto"/>
        <w:contextualSpacing/>
        <w:jc w:val="both"/>
        <w:rPr>
          <w:rFonts w:ascii="Arial" w:eastAsia="Calibri" w:hAnsi="Arial" w:cs="Arial"/>
          <w:sz w:val="22"/>
          <w:szCs w:val="22"/>
        </w:rPr>
      </w:pPr>
      <w:r w:rsidRPr="00E63FC7">
        <w:rPr>
          <w:rFonts w:ascii="Arial" w:eastAsia="Calibri" w:hAnsi="Arial" w:cs="Arial"/>
          <w:sz w:val="22"/>
          <w:szCs w:val="22"/>
        </w:rPr>
        <w:t>création ou reprise d'une entreprise (sous conditions d'ancienneté).</w:t>
      </w:r>
    </w:p>
    <w:p w:rsidR="00E63FC7" w:rsidRPr="00E63FC7" w:rsidRDefault="00E63FC7" w:rsidP="00E63FC7">
      <w:pPr>
        <w:jc w:val="both"/>
        <w:rPr>
          <w:rFonts w:ascii="Arial" w:eastAsia="Calibri" w:hAnsi="Arial" w:cs="Arial"/>
          <w:sz w:val="22"/>
          <w:szCs w:val="22"/>
        </w:rPr>
      </w:pPr>
    </w:p>
    <w:p w:rsidR="00E63FC7" w:rsidRPr="00E63FC7" w:rsidRDefault="00E63FC7" w:rsidP="00E63FC7">
      <w:pPr>
        <w:jc w:val="both"/>
        <w:rPr>
          <w:rFonts w:ascii="Arial" w:eastAsia="Calibri" w:hAnsi="Arial" w:cs="Arial"/>
          <w:sz w:val="22"/>
          <w:szCs w:val="22"/>
        </w:rPr>
      </w:pPr>
    </w:p>
    <w:p w:rsidR="00E63FC7" w:rsidRPr="00E63FC7" w:rsidRDefault="00E63FC7" w:rsidP="00E63FC7">
      <w:pPr>
        <w:jc w:val="both"/>
        <w:rPr>
          <w:rFonts w:ascii="Arial" w:eastAsia="Cambria" w:hAnsi="Arial" w:cs="Arial"/>
          <w:b/>
          <w:sz w:val="22"/>
          <w:szCs w:val="22"/>
          <w:u w:val="single"/>
        </w:rPr>
      </w:pPr>
      <w:r w:rsidRPr="00E63FC7">
        <w:rPr>
          <w:rFonts w:ascii="Arial" w:eastAsia="Cambria" w:hAnsi="Arial" w:cs="Arial"/>
          <w:b/>
          <w:sz w:val="22"/>
          <w:szCs w:val="22"/>
          <w:u w:val="single"/>
        </w:rPr>
        <w:t>Les congés pour évènements familiaux concernant uniquement les agents contractuels</w:t>
      </w:r>
    </w:p>
    <w:p w:rsidR="00E63FC7" w:rsidRPr="00E63FC7" w:rsidRDefault="00E63FC7" w:rsidP="00E63FC7">
      <w:pPr>
        <w:jc w:val="both"/>
        <w:rPr>
          <w:rFonts w:ascii="Arial" w:eastAsia="Cambria" w:hAnsi="Arial" w:cs="Arial"/>
          <w:b/>
          <w:sz w:val="22"/>
          <w:szCs w:val="22"/>
        </w:rPr>
      </w:pPr>
    </w:p>
    <w:p w:rsidR="00E63FC7" w:rsidRPr="00E63FC7" w:rsidRDefault="00E63FC7" w:rsidP="00E63FC7">
      <w:pPr>
        <w:keepNext/>
        <w:keepLines/>
        <w:spacing w:line="259" w:lineRule="auto"/>
        <w:jc w:val="both"/>
        <w:outlineLvl w:val="0"/>
        <w:rPr>
          <w:rFonts w:ascii="Arial" w:eastAsia="Times New Roman" w:hAnsi="Arial" w:cs="Arial"/>
          <w:b/>
          <w:bCs/>
          <w:sz w:val="22"/>
          <w:szCs w:val="22"/>
        </w:rPr>
      </w:pPr>
      <w:r w:rsidRPr="00E63FC7">
        <w:rPr>
          <w:rFonts w:ascii="Arial" w:eastAsia="Times New Roman" w:hAnsi="Arial" w:cs="Arial"/>
          <w:b/>
          <w:bCs/>
          <w:sz w:val="22"/>
          <w:szCs w:val="22"/>
        </w:rPr>
        <w:t>Les congés pour raisons familiales ou personnelles</w:t>
      </w:r>
    </w:p>
    <w:p w:rsidR="00E63FC7" w:rsidRPr="00E63FC7" w:rsidRDefault="00E63FC7" w:rsidP="00E63FC7">
      <w:pPr>
        <w:jc w:val="both"/>
        <w:rPr>
          <w:rFonts w:ascii="Arial" w:eastAsia="Times New Roman" w:hAnsi="Arial" w:cs="Arial"/>
          <w:sz w:val="22"/>
          <w:szCs w:val="22"/>
          <w:lang w:eastAsia="fr-FR"/>
        </w:rPr>
      </w:pPr>
      <w:r w:rsidRPr="00E63FC7">
        <w:rPr>
          <w:rFonts w:ascii="Arial" w:eastAsia="Times New Roman" w:hAnsi="Arial" w:cs="Arial"/>
          <w:sz w:val="22"/>
          <w:szCs w:val="22"/>
          <w:lang w:eastAsia="fr-FR"/>
        </w:rPr>
        <w:t>Les congés pour raisons familiales peuvent être accordés aux agents contractuels en CDD ou en CDI. Les congés pour convenances personnelles ne peuvent être accordés qu'aux agents contractuels en CDI.</w:t>
      </w:r>
    </w:p>
    <w:p w:rsidR="00E63FC7" w:rsidRPr="00E63FC7" w:rsidRDefault="00E63FC7" w:rsidP="00E63FC7">
      <w:pPr>
        <w:jc w:val="both"/>
        <w:rPr>
          <w:rFonts w:ascii="Arial" w:eastAsia="Times New Roman" w:hAnsi="Arial" w:cs="Arial"/>
          <w:sz w:val="22"/>
          <w:szCs w:val="22"/>
          <w:lang w:eastAsia="fr-FR"/>
        </w:rPr>
      </w:pPr>
    </w:p>
    <w:p w:rsidR="00E63FC7" w:rsidRPr="00E63FC7" w:rsidRDefault="00E63FC7" w:rsidP="00E63FC7">
      <w:pPr>
        <w:keepNext/>
        <w:keepLines/>
        <w:spacing w:line="259" w:lineRule="auto"/>
        <w:jc w:val="both"/>
        <w:outlineLvl w:val="0"/>
        <w:rPr>
          <w:rFonts w:ascii="Arial" w:eastAsia="Times New Roman" w:hAnsi="Arial" w:cs="Arial"/>
          <w:b/>
          <w:bCs/>
          <w:sz w:val="22"/>
          <w:szCs w:val="22"/>
        </w:rPr>
      </w:pPr>
      <w:r w:rsidRPr="00E63FC7">
        <w:rPr>
          <w:rFonts w:ascii="Arial" w:eastAsia="Times New Roman" w:hAnsi="Arial" w:cs="Arial"/>
          <w:b/>
          <w:bCs/>
          <w:sz w:val="22"/>
          <w:szCs w:val="22"/>
        </w:rPr>
        <w:t xml:space="preserve">Le congé pour création ou reprise d'entreprise </w:t>
      </w:r>
    </w:p>
    <w:p w:rsidR="00E63FC7" w:rsidRPr="00E63FC7" w:rsidRDefault="00E63FC7" w:rsidP="00E63FC7">
      <w:pPr>
        <w:jc w:val="both"/>
        <w:rPr>
          <w:rFonts w:ascii="Arial" w:eastAsia="Times New Roman" w:hAnsi="Arial" w:cs="Arial"/>
          <w:color w:val="000000"/>
          <w:sz w:val="22"/>
          <w:szCs w:val="22"/>
          <w:lang w:eastAsia="fr-FR"/>
        </w:rPr>
      </w:pPr>
      <w:r w:rsidRPr="00E63FC7">
        <w:rPr>
          <w:rFonts w:ascii="Arial" w:eastAsia="Times New Roman" w:hAnsi="Arial" w:cs="Arial"/>
          <w:color w:val="000000"/>
          <w:sz w:val="22"/>
          <w:szCs w:val="22"/>
          <w:lang w:eastAsia="fr-FR"/>
        </w:rPr>
        <w:t>L'agent non titulaire peut solliciter dans la mesure permise par le service un congé sans rémunération pour la création d'une entreprise s'il se propose de créer ou de reprendre une entreprise au sens de l'article L. 351-24 du code du travail.</w:t>
      </w:r>
    </w:p>
    <w:p w:rsidR="00E63FC7" w:rsidRPr="00E63FC7" w:rsidRDefault="00E63FC7" w:rsidP="00E63FC7">
      <w:pPr>
        <w:jc w:val="both"/>
        <w:rPr>
          <w:rFonts w:ascii="Arial" w:eastAsia="Times New Roman" w:hAnsi="Arial" w:cs="Arial"/>
          <w:color w:val="000000"/>
          <w:sz w:val="22"/>
          <w:szCs w:val="22"/>
          <w:lang w:eastAsia="fr-FR"/>
        </w:rPr>
      </w:pPr>
    </w:p>
    <w:p w:rsidR="00E63FC7" w:rsidRPr="00E63FC7" w:rsidRDefault="00E63FC7" w:rsidP="00E63FC7">
      <w:pPr>
        <w:spacing w:after="160" w:line="259" w:lineRule="auto"/>
        <w:rPr>
          <w:rFonts w:ascii="Arial" w:eastAsia="Cambria" w:hAnsi="Arial" w:cs="Arial"/>
          <w:sz w:val="22"/>
          <w:szCs w:val="22"/>
        </w:rPr>
      </w:pPr>
      <w:r w:rsidRPr="00E63FC7">
        <w:rPr>
          <w:rFonts w:ascii="Arial" w:eastAsia="Cambria" w:hAnsi="Arial" w:cs="Arial"/>
          <w:sz w:val="22"/>
          <w:szCs w:val="22"/>
        </w:rPr>
        <w:br w:type="page"/>
      </w:r>
    </w:p>
    <w:p w:rsidR="00E63FC7" w:rsidRPr="00E63FC7" w:rsidRDefault="00E63FC7" w:rsidP="00E63FC7">
      <w:pPr>
        <w:rPr>
          <w:rFonts w:ascii="Arial" w:eastAsia="Cambria" w:hAnsi="Arial" w:cs="Arial"/>
          <w:sz w:val="22"/>
          <w:szCs w:val="22"/>
        </w:rPr>
      </w:pPr>
    </w:p>
    <w:p w:rsidR="00E63FC7" w:rsidRPr="00E63FC7" w:rsidRDefault="00E63FC7" w:rsidP="0034289D">
      <w:pPr>
        <w:numPr>
          <w:ilvl w:val="0"/>
          <w:numId w:val="40"/>
        </w:numPr>
        <w:spacing w:after="160" w:line="259" w:lineRule="auto"/>
        <w:contextualSpacing/>
        <w:rPr>
          <w:rFonts w:ascii="Arial" w:eastAsia="Cambria" w:hAnsi="Arial" w:cs="Arial"/>
        </w:rPr>
      </w:pPr>
      <w:r w:rsidRPr="00E63FC7">
        <w:rPr>
          <w:rFonts w:ascii="Florencesans Exp" w:eastAsia="Cambria" w:hAnsi="Florencesans Exp" w:cs="Times New Roman"/>
        </w:rPr>
        <w:t>B. 1. LE CONGE DE PATERNITE ET D’ACCUEIL DE L’ENFANT</w:t>
      </w:r>
    </w:p>
    <w:p w:rsidR="00E63FC7" w:rsidRPr="00E63FC7" w:rsidRDefault="00E63FC7" w:rsidP="00E63FC7">
      <w:pPr>
        <w:rPr>
          <w:rFonts w:ascii="Arial" w:eastAsia="Cambria" w:hAnsi="Arial" w:cs="Arial"/>
          <w:sz w:val="22"/>
          <w:szCs w:val="22"/>
        </w:rPr>
      </w:pPr>
    </w:p>
    <w:p w:rsidR="00E63FC7" w:rsidRPr="00E63FC7" w:rsidRDefault="00E63FC7" w:rsidP="00E63FC7">
      <w:pPr>
        <w:rPr>
          <w:rFonts w:ascii="Arial" w:eastAsia="Cambria" w:hAnsi="Arial" w:cs="Arial"/>
          <w:sz w:val="22"/>
          <w:szCs w:val="22"/>
        </w:rPr>
      </w:pPr>
    </w:p>
    <w:p w:rsidR="00E63FC7" w:rsidRPr="00E63FC7" w:rsidRDefault="00E63FC7" w:rsidP="00E63FC7">
      <w:pPr>
        <w:jc w:val="center"/>
        <w:rPr>
          <w:rFonts w:ascii="Arial" w:eastAsia="Cambria" w:hAnsi="Arial" w:cs="Arial"/>
          <w:b/>
          <w:sz w:val="22"/>
          <w:szCs w:val="22"/>
          <w:u w:val="single"/>
        </w:rPr>
      </w:pPr>
      <w:r w:rsidRPr="00E63FC7">
        <w:rPr>
          <w:rFonts w:ascii="Arial" w:eastAsia="Cambria" w:hAnsi="Arial" w:cs="Arial"/>
          <w:b/>
          <w:sz w:val="22"/>
          <w:szCs w:val="22"/>
          <w:u w:val="single"/>
        </w:rPr>
        <w:t>Nombre moyen de jours de congé paternité et d’accueil de l’enfant pris en 2013</w:t>
      </w:r>
    </w:p>
    <w:p w:rsidR="00E63FC7" w:rsidRPr="00E63FC7" w:rsidRDefault="00E63FC7" w:rsidP="00E63FC7">
      <w:pPr>
        <w:jc w:val="center"/>
        <w:rPr>
          <w:rFonts w:ascii="Arial" w:eastAsia="Cambria" w:hAnsi="Arial" w:cs="Arial"/>
          <w:b/>
          <w:sz w:val="22"/>
          <w:szCs w:val="22"/>
          <w:u w:val="single"/>
        </w:rPr>
      </w:pPr>
      <w:r w:rsidRPr="00E63FC7">
        <w:rPr>
          <w:rFonts w:ascii="Calibri" w:eastAsia="Calibri" w:hAnsi="Calibri" w:cs="Times New Roman"/>
          <w:b/>
          <w:noProof/>
          <w:sz w:val="22"/>
          <w:szCs w:val="22"/>
          <w:u w:val="single"/>
          <w:lang w:eastAsia="fr-FR"/>
        </w:rPr>
        <w:drawing>
          <wp:anchor distT="0" distB="0" distL="114300" distR="114300" simplePos="0" relativeHeight="251879424" behindDoc="1" locked="0" layoutInCell="1" allowOverlap="1" wp14:anchorId="1FD19298" wp14:editId="45F19F98">
            <wp:simplePos x="0" y="0"/>
            <wp:positionH relativeFrom="margin">
              <wp:align>center</wp:align>
            </wp:positionH>
            <wp:positionV relativeFrom="paragraph">
              <wp:posOffset>222250</wp:posOffset>
            </wp:positionV>
            <wp:extent cx="6817995" cy="1289050"/>
            <wp:effectExtent l="0" t="0" r="1905" b="6350"/>
            <wp:wrapTight wrapText="bothSides">
              <wp:wrapPolygon edited="0">
                <wp:start x="0" y="0"/>
                <wp:lineTo x="0" y="21387"/>
                <wp:lineTo x="21546" y="21387"/>
                <wp:lineTo x="21546" y="0"/>
                <wp:lineTo x="0" y="0"/>
              </wp:wrapPolygon>
            </wp:wrapTight>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6817995" cy="1289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3FC7" w:rsidRPr="00E63FC7" w:rsidRDefault="00E63FC7" w:rsidP="00E63FC7">
      <w:pPr>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r w:rsidRPr="00E63FC7">
        <w:rPr>
          <w:rFonts w:ascii="Arial" w:eastAsia="Cambria" w:hAnsi="Arial" w:cs="Arial"/>
          <w:sz w:val="22"/>
          <w:szCs w:val="22"/>
        </w:rPr>
        <w:t>En 2013, les agents ayant bénéficié d’un congé paternité et d’accueil de l’enfant ont pris en moyenne :</w:t>
      </w:r>
    </w:p>
    <w:p w:rsidR="00E63FC7" w:rsidRPr="00E63FC7" w:rsidRDefault="00E63FC7" w:rsidP="00E63FC7">
      <w:pPr>
        <w:numPr>
          <w:ilvl w:val="0"/>
          <w:numId w:val="2"/>
        </w:numPr>
        <w:spacing w:after="160" w:line="259" w:lineRule="auto"/>
        <w:contextualSpacing/>
        <w:jc w:val="both"/>
        <w:rPr>
          <w:rFonts w:ascii="Arial" w:eastAsia="Cambria" w:hAnsi="Arial" w:cs="Arial"/>
          <w:sz w:val="22"/>
          <w:szCs w:val="22"/>
        </w:rPr>
      </w:pPr>
      <w:r w:rsidRPr="00E63FC7">
        <w:rPr>
          <w:rFonts w:ascii="Arial" w:eastAsia="Cambria" w:hAnsi="Arial" w:cs="Arial"/>
          <w:sz w:val="22"/>
          <w:szCs w:val="22"/>
        </w:rPr>
        <w:t>10 jours de congés contre 11 jours de congés théoriques en cas de naissance simple</w:t>
      </w:r>
    </w:p>
    <w:p w:rsidR="00E63FC7" w:rsidRPr="00E63FC7" w:rsidRDefault="00E63FC7" w:rsidP="00E63FC7">
      <w:pPr>
        <w:numPr>
          <w:ilvl w:val="0"/>
          <w:numId w:val="2"/>
        </w:numPr>
        <w:spacing w:after="160" w:line="259" w:lineRule="auto"/>
        <w:contextualSpacing/>
        <w:jc w:val="both"/>
        <w:rPr>
          <w:rFonts w:ascii="Arial" w:eastAsia="Cambria" w:hAnsi="Arial" w:cs="Arial"/>
          <w:sz w:val="22"/>
          <w:szCs w:val="22"/>
        </w:rPr>
      </w:pPr>
      <w:r w:rsidRPr="00E63FC7">
        <w:rPr>
          <w:rFonts w:ascii="Arial" w:eastAsia="Cambria" w:hAnsi="Arial" w:cs="Arial"/>
          <w:sz w:val="22"/>
          <w:szCs w:val="22"/>
        </w:rPr>
        <w:t>16 jours de congés contre 18 jours de congés théoriques en cas de naissance multiple.</w:t>
      </w:r>
    </w:p>
    <w:p w:rsidR="00E63FC7" w:rsidRPr="00E63FC7" w:rsidRDefault="00E63FC7" w:rsidP="00E63FC7">
      <w:pPr>
        <w:rPr>
          <w:rFonts w:ascii="Arial" w:eastAsia="Cambria" w:hAnsi="Arial" w:cs="Arial"/>
          <w:sz w:val="22"/>
          <w:szCs w:val="22"/>
        </w:rPr>
      </w:pPr>
    </w:p>
    <w:p w:rsidR="00E63FC7" w:rsidRPr="00E63FC7" w:rsidRDefault="00E63FC7" w:rsidP="00E63FC7">
      <w:pPr>
        <w:rPr>
          <w:rFonts w:ascii="Arial" w:eastAsia="Cambria" w:hAnsi="Arial" w:cs="Arial"/>
          <w:sz w:val="22"/>
          <w:szCs w:val="22"/>
        </w:rPr>
      </w:pPr>
    </w:p>
    <w:p w:rsidR="00E63FC7" w:rsidRPr="00E63FC7" w:rsidRDefault="00E63FC7" w:rsidP="0034289D">
      <w:pPr>
        <w:numPr>
          <w:ilvl w:val="0"/>
          <w:numId w:val="41"/>
        </w:numPr>
        <w:spacing w:after="160" w:line="259" w:lineRule="auto"/>
        <w:contextualSpacing/>
        <w:rPr>
          <w:rFonts w:ascii="Arial" w:eastAsia="Cambria" w:hAnsi="Arial" w:cs="Arial"/>
        </w:rPr>
      </w:pPr>
      <w:r w:rsidRPr="00E63FC7">
        <w:rPr>
          <w:rFonts w:ascii="Florencesans Exp" w:eastAsia="Cambria" w:hAnsi="Florencesans Exp" w:cs="Times New Roman"/>
        </w:rPr>
        <w:t>B. 2. LES AUTRES CONGES POUR EVENEMENTS FAMILIAUX</w:t>
      </w:r>
    </w:p>
    <w:p w:rsidR="00E63FC7" w:rsidRPr="00E63FC7" w:rsidRDefault="00E63FC7" w:rsidP="00E63FC7">
      <w:pPr>
        <w:rPr>
          <w:rFonts w:ascii="Arial" w:eastAsia="Cambria" w:hAnsi="Arial" w:cs="Arial"/>
          <w:sz w:val="22"/>
          <w:szCs w:val="22"/>
        </w:rPr>
      </w:pPr>
    </w:p>
    <w:p w:rsidR="00E63FC7" w:rsidRPr="00E63FC7" w:rsidRDefault="00E63FC7" w:rsidP="00E63FC7">
      <w:pPr>
        <w:rPr>
          <w:rFonts w:ascii="Arial" w:eastAsia="Cambria" w:hAnsi="Arial" w:cs="Arial"/>
          <w:sz w:val="22"/>
          <w:szCs w:val="22"/>
        </w:rPr>
      </w:pPr>
    </w:p>
    <w:p w:rsidR="00E63FC7" w:rsidRPr="00E63FC7" w:rsidRDefault="00E63FC7" w:rsidP="00E63FC7">
      <w:pPr>
        <w:jc w:val="center"/>
        <w:rPr>
          <w:rFonts w:ascii="Arial" w:eastAsia="Cambria" w:hAnsi="Arial" w:cs="Arial"/>
          <w:b/>
          <w:sz w:val="22"/>
          <w:szCs w:val="22"/>
          <w:u w:val="single"/>
        </w:rPr>
      </w:pPr>
      <w:r w:rsidRPr="00E63FC7">
        <w:rPr>
          <w:rFonts w:ascii="Arial" w:eastAsia="Cambria" w:hAnsi="Arial" w:cs="Arial"/>
          <w:b/>
          <w:sz w:val="22"/>
          <w:szCs w:val="22"/>
          <w:u w:val="single"/>
        </w:rPr>
        <w:t>Nombre d’agents ayant bénéficié d’un congé de plus de six mois en 2013</w:t>
      </w:r>
    </w:p>
    <w:p w:rsidR="00E63FC7" w:rsidRPr="00E63FC7" w:rsidRDefault="00E63FC7" w:rsidP="00E63FC7">
      <w:pPr>
        <w:jc w:val="center"/>
        <w:rPr>
          <w:rFonts w:ascii="Arial" w:eastAsia="Cambria" w:hAnsi="Arial" w:cs="Arial"/>
          <w:sz w:val="22"/>
          <w:szCs w:val="22"/>
        </w:rPr>
      </w:pPr>
      <w:r w:rsidRPr="00E63FC7">
        <w:rPr>
          <w:rFonts w:ascii="Calibri" w:eastAsia="Calibri" w:hAnsi="Calibri" w:cs="Times New Roman"/>
          <w:noProof/>
          <w:sz w:val="22"/>
          <w:szCs w:val="22"/>
          <w:lang w:eastAsia="fr-FR"/>
        </w:rPr>
        <w:drawing>
          <wp:anchor distT="0" distB="0" distL="114300" distR="114300" simplePos="0" relativeHeight="251880448" behindDoc="1" locked="0" layoutInCell="1" allowOverlap="1" wp14:anchorId="618463E8" wp14:editId="2EF9A562">
            <wp:simplePos x="0" y="0"/>
            <wp:positionH relativeFrom="margin">
              <wp:align>center</wp:align>
            </wp:positionH>
            <wp:positionV relativeFrom="paragraph">
              <wp:posOffset>161925</wp:posOffset>
            </wp:positionV>
            <wp:extent cx="6991985" cy="922655"/>
            <wp:effectExtent l="0" t="0" r="0" b="0"/>
            <wp:wrapTight wrapText="bothSides">
              <wp:wrapPolygon edited="0">
                <wp:start x="0" y="0"/>
                <wp:lineTo x="0" y="20961"/>
                <wp:lineTo x="21539" y="20961"/>
                <wp:lineTo x="21539" y="0"/>
                <wp:lineTo x="0" y="0"/>
              </wp:wrapPolygon>
            </wp:wrapTight>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991985" cy="922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3FC7" w:rsidRPr="00E63FC7" w:rsidRDefault="00E63FC7" w:rsidP="00E63FC7">
      <w:pPr>
        <w:rPr>
          <w:rFonts w:ascii="Arial" w:eastAsia="Cambria" w:hAnsi="Arial" w:cs="Arial"/>
          <w:sz w:val="22"/>
          <w:szCs w:val="22"/>
        </w:rPr>
      </w:pPr>
    </w:p>
    <w:p w:rsidR="00E63FC7" w:rsidRPr="00E63FC7" w:rsidRDefault="00E63FC7" w:rsidP="00E63FC7">
      <w:pPr>
        <w:rPr>
          <w:rFonts w:ascii="Arial" w:eastAsia="Cambria" w:hAnsi="Arial" w:cs="Arial"/>
          <w:sz w:val="22"/>
          <w:szCs w:val="22"/>
        </w:rPr>
      </w:pPr>
    </w:p>
    <w:p w:rsidR="00E63FC7" w:rsidRPr="00E63FC7" w:rsidRDefault="00E63FC7" w:rsidP="00E63FC7">
      <w:pPr>
        <w:rPr>
          <w:rFonts w:ascii="Arial" w:eastAsia="Cambria" w:hAnsi="Arial" w:cs="Arial"/>
          <w:sz w:val="22"/>
          <w:szCs w:val="22"/>
        </w:rPr>
      </w:pPr>
    </w:p>
    <w:p w:rsidR="00E63FC7" w:rsidRPr="00E63FC7" w:rsidRDefault="00E63FC7" w:rsidP="00E63FC7">
      <w:pPr>
        <w:tabs>
          <w:tab w:val="left" w:pos="1220"/>
        </w:tabs>
        <w:rPr>
          <w:rFonts w:ascii="BlairMdITC TT-Medium" w:eastAsia="Cambria" w:hAnsi="BlairMdITC TT-Medium" w:cs="Times New Roman"/>
          <w:b/>
          <w:color w:val="FF6FCF"/>
          <w:sz w:val="28"/>
        </w:rPr>
      </w:pPr>
    </w:p>
    <w:p w:rsidR="00E63FC7" w:rsidRPr="00E63FC7" w:rsidRDefault="00E63FC7" w:rsidP="00E63FC7">
      <w:pPr>
        <w:spacing w:after="160" w:line="259" w:lineRule="auto"/>
        <w:rPr>
          <w:rFonts w:ascii="BlairMdITC TT-Medium" w:eastAsia="Cambria" w:hAnsi="BlairMdITC TT-Medium" w:cs="Times New Roman"/>
          <w:b/>
          <w:color w:val="FF6FCF"/>
          <w:sz w:val="28"/>
        </w:rPr>
      </w:pPr>
      <w:r w:rsidRPr="00E63FC7">
        <w:rPr>
          <w:rFonts w:ascii="BlairMdITC TT-Medium" w:eastAsia="Cambria" w:hAnsi="BlairMdITC TT-Medium" w:cs="Times New Roman"/>
          <w:b/>
          <w:color w:val="FF6FCF"/>
          <w:sz w:val="28"/>
        </w:rPr>
        <w:br w:type="page"/>
      </w:r>
    </w:p>
    <w:p w:rsidR="00E63FC7" w:rsidRPr="00E63FC7" w:rsidRDefault="00E63FC7" w:rsidP="00E63FC7">
      <w:pPr>
        <w:rPr>
          <w:rFonts w:ascii="Cambria" w:eastAsia="Cambria" w:hAnsi="Cambria" w:cs="Times New Roman"/>
        </w:rPr>
      </w:pPr>
      <w:r w:rsidRPr="00E63FC7">
        <w:rPr>
          <w:rFonts w:ascii="Calibri" w:eastAsia="Calibri" w:hAnsi="Calibri" w:cs="Times New Roman"/>
          <w:noProof/>
          <w:sz w:val="22"/>
          <w:szCs w:val="22"/>
          <w:lang w:eastAsia="fr-FR"/>
        </w:rPr>
        <w:lastRenderedPageBreak/>
        <mc:AlternateContent>
          <mc:Choice Requires="wps">
            <w:drawing>
              <wp:anchor distT="0" distB="0" distL="114300" distR="114300" simplePos="0" relativeHeight="251878400" behindDoc="0" locked="0" layoutInCell="1" allowOverlap="1" wp14:anchorId="3A4A5BDF" wp14:editId="51B3477D">
                <wp:simplePos x="0" y="0"/>
                <wp:positionH relativeFrom="page">
                  <wp:align>left</wp:align>
                </wp:positionH>
                <wp:positionV relativeFrom="paragraph">
                  <wp:posOffset>-501650</wp:posOffset>
                </wp:positionV>
                <wp:extent cx="1828800" cy="1828800"/>
                <wp:effectExtent l="0" t="323850" r="0" b="318770"/>
                <wp:wrapNone/>
                <wp:docPr id="298" name="Zone de texte 2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scene3d>
                          <a:camera prst="isometricRightUp"/>
                          <a:lightRig rig="threePt" dir="t"/>
                        </a:scene3d>
                      </wps:spPr>
                      <wps:txbx>
                        <w:txbxContent>
                          <w:p w:rsidR="007B1397" w:rsidRPr="00E63FC7" w:rsidRDefault="007B1397" w:rsidP="00E63FC7">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E63FC7">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3A4A5BDF" id="Zone de texte 298" o:spid="_x0000_s1100" type="#_x0000_t202" style="position:absolute;margin-left:0;margin-top:-39.5pt;width:2in;height:2in;z-index:251878400;visibility:visible;mso-wrap-style:none;mso-wrap-distance-left:9pt;mso-wrap-distance-top:0;mso-wrap-distance-right:9pt;mso-wrap-distance-bottom:0;mso-position-horizontal:lef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" filled="f" stroked="f">
                <v:textbox style="mso-fit-shape-to-text:t">
                  <w:txbxContent>
                    <w:p w:rsidR="007B1397" w:rsidRPr="00E63FC7" w:rsidRDefault="007B1397" w:rsidP="00E63FC7">
                      <w:pPr>
                        <w:widowControl w:val="0"/>
                        <w:autoSpaceDE w:val="0"/>
                        <w:autoSpaceDN w:val="0"/>
                        <w:adjustRightInd w:val="0"/>
                        <w:jc w:val="center"/>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E63FC7">
                        <w:rPr>
                          <w:rFonts w:ascii="Arial" w:eastAsia="Cambria" w:hAnsi="Arial" w:cs="Times New Roman"/>
                          <w:b/>
                          <w:color w:val="FF0000"/>
                          <w:sz w:val="56"/>
                          <w:szCs w:val="72"/>
                          <w:u w:val="double"/>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NOUVEAU</w:t>
                      </w:r>
                    </w:p>
                  </w:txbxContent>
                </v:textbox>
                <w10:wrap anchorx="page"/>
              </v:shape>
            </w:pict>
          </mc:Fallback>
        </mc:AlternateContent>
      </w:r>
    </w:p>
    <w:p w:rsidR="00E63FC7" w:rsidRPr="00E63FC7" w:rsidRDefault="00E63FC7" w:rsidP="00E63FC7">
      <w:pPr>
        <w:tabs>
          <w:tab w:val="left" w:pos="1220"/>
        </w:tabs>
        <w:ind w:left="851" w:hanging="851"/>
        <w:rPr>
          <w:rFonts w:ascii="Florencesans Exp" w:eastAsia="Cambria" w:hAnsi="Florencesans Exp" w:cs="Times New Roman"/>
          <w:b/>
          <w:color w:val="FF6FCF"/>
          <w:sz w:val="28"/>
        </w:rPr>
      </w:pPr>
      <w:r w:rsidRPr="00E63FC7">
        <w:rPr>
          <w:rFonts w:ascii="Florencesans Exp" w:eastAsia="Cambria" w:hAnsi="Florencesans Exp" w:cs="Times New Roman"/>
          <w:b/>
          <w:color w:val="FF6FCF"/>
          <w:sz w:val="28"/>
        </w:rPr>
        <w:t>8. C. LE COMPTE EPARGNE TEMPS (DONNEES T2)</w:t>
      </w:r>
    </w:p>
    <w:p w:rsidR="00E63FC7" w:rsidRPr="00E63FC7" w:rsidRDefault="00E63FC7" w:rsidP="00E63FC7">
      <w:pPr>
        <w:tabs>
          <w:tab w:val="left" w:pos="1220"/>
        </w:tabs>
        <w:rPr>
          <w:rFonts w:ascii="BlairMdITC TT-Medium" w:eastAsia="Cambria" w:hAnsi="BlairMdITC TT-Medium" w:cs="Times New Roman"/>
          <w:b/>
          <w:color w:val="FF6FCF"/>
          <w:sz w:val="28"/>
        </w:rPr>
      </w:pPr>
    </w:p>
    <w:p w:rsidR="00E63FC7" w:rsidRPr="00E63FC7" w:rsidRDefault="00E63FC7" w:rsidP="00E63FC7">
      <w:pPr>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r w:rsidRPr="00E63FC7">
        <w:rPr>
          <w:rFonts w:ascii="Arial" w:eastAsia="Cambria" w:hAnsi="Arial" w:cs="Arial"/>
          <w:sz w:val="22"/>
          <w:szCs w:val="22"/>
        </w:rPr>
        <w:t>En 2013, le ministère de la culture et de la communication dénombre 4 069 comptes épargne temps (CET) ouverts pour un total de 98 239 jours épargnés, soit une moyenne de 24 jours par CET.</w:t>
      </w: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r w:rsidRPr="00E63FC7">
        <w:rPr>
          <w:rFonts w:ascii="Calibri" w:eastAsia="Calibri" w:hAnsi="Calibri" w:cs="Times New Roman"/>
          <w:noProof/>
          <w:sz w:val="22"/>
          <w:szCs w:val="22"/>
          <w:lang w:eastAsia="fr-FR"/>
        </w:rPr>
        <w:drawing>
          <wp:anchor distT="0" distB="0" distL="114300" distR="114300" simplePos="0" relativeHeight="251881472" behindDoc="1" locked="0" layoutInCell="1" allowOverlap="1" wp14:anchorId="65CA5934" wp14:editId="1ECD1515">
            <wp:simplePos x="0" y="0"/>
            <wp:positionH relativeFrom="column">
              <wp:posOffset>403860</wp:posOffset>
            </wp:positionH>
            <wp:positionV relativeFrom="paragraph">
              <wp:posOffset>4445</wp:posOffset>
            </wp:positionV>
            <wp:extent cx="5289550" cy="2355850"/>
            <wp:effectExtent l="0" t="0" r="6350" b="6350"/>
            <wp:wrapTight wrapText="bothSides">
              <wp:wrapPolygon edited="0">
                <wp:start x="0" y="0"/>
                <wp:lineTo x="0" y="21484"/>
                <wp:lineTo x="21548" y="21484"/>
                <wp:lineTo x="21548" y="14846"/>
                <wp:lineTo x="19292" y="13973"/>
                <wp:lineTo x="20692" y="13973"/>
                <wp:lineTo x="21548" y="12925"/>
                <wp:lineTo x="21548" y="8558"/>
                <wp:lineTo x="21393" y="8384"/>
                <wp:lineTo x="16647" y="8384"/>
                <wp:lineTo x="21470" y="7161"/>
                <wp:lineTo x="21548" y="6288"/>
                <wp:lineTo x="19292" y="5589"/>
                <wp:lineTo x="20537" y="5589"/>
                <wp:lineTo x="21548" y="4367"/>
                <wp:lineTo x="21548" y="0"/>
                <wp:lineTo x="0" y="0"/>
              </wp:wrapPolygon>
            </wp:wrapTight>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89550" cy="2355850"/>
                    </a:xfrm>
                    <a:prstGeom prst="rect">
                      <a:avLst/>
                    </a:prstGeom>
                    <a:noFill/>
                    <a:ln>
                      <a:noFill/>
                    </a:ln>
                  </pic:spPr>
                </pic:pic>
              </a:graphicData>
            </a:graphic>
          </wp:anchor>
        </w:drawing>
      </w: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r w:rsidRPr="00E63FC7">
        <w:rPr>
          <w:rFonts w:ascii="Calibri" w:eastAsia="Calibri" w:hAnsi="Calibri" w:cs="Times New Roman"/>
          <w:noProof/>
          <w:sz w:val="22"/>
          <w:szCs w:val="22"/>
          <w:lang w:eastAsia="fr-FR"/>
        </w:rPr>
        <w:drawing>
          <wp:anchor distT="0" distB="0" distL="114300" distR="114300" simplePos="0" relativeHeight="251882496" behindDoc="1" locked="0" layoutInCell="1" allowOverlap="1" wp14:anchorId="3CAE7D67" wp14:editId="0D0DA9CB">
            <wp:simplePos x="0" y="0"/>
            <wp:positionH relativeFrom="column">
              <wp:posOffset>1388110</wp:posOffset>
            </wp:positionH>
            <wp:positionV relativeFrom="paragraph">
              <wp:posOffset>5715</wp:posOffset>
            </wp:positionV>
            <wp:extent cx="3295650" cy="2463800"/>
            <wp:effectExtent l="0" t="0" r="0" b="0"/>
            <wp:wrapTight wrapText="bothSides">
              <wp:wrapPolygon edited="0">
                <wp:start x="0" y="0"/>
                <wp:lineTo x="0" y="21377"/>
                <wp:lineTo x="21475" y="21377"/>
                <wp:lineTo x="21475" y="0"/>
                <wp:lineTo x="0" y="0"/>
              </wp:wrapPolygon>
            </wp:wrapTight>
            <wp:docPr id="303" name="Graphique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14:sizeRelH relativeFrom="margin">
              <wp14:pctWidth>0</wp14:pctWidth>
            </wp14:sizeRelH>
            <wp14:sizeRelV relativeFrom="margin">
              <wp14:pctHeight>0</wp14:pctHeight>
            </wp14:sizeRelV>
          </wp:anchor>
        </w:drawing>
      </w: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r w:rsidRPr="00E63FC7">
        <w:rPr>
          <w:rFonts w:ascii="Arial" w:eastAsia="Cambria" w:hAnsi="Arial" w:cs="Arial"/>
          <w:noProof/>
          <w:sz w:val="22"/>
          <w:szCs w:val="22"/>
          <w:lang w:eastAsia="fr-FR"/>
        </w:rPr>
        <w:drawing>
          <wp:anchor distT="0" distB="0" distL="114300" distR="114300" simplePos="0" relativeHeight="251883520" behindDoc="1" locked="0" layoutInCell="1" allowOverlap="1" wp14:anchorId="60378E43" wp14:editId="4E597F0C">
            <wp:simplePos x="0" y="0"/>
            <wp:positionH relativeFrom="margin">
              <wp:align>center</wp:align>
            </wp:positionH>
            <wp:positionV relativeFrom="paragraph">
              <wp:posOffset>4445</wp:posOffset>
            </wp:positionV>
            <wp:extent cx="3780790" cy="2152650"/>
            <wp:effectExtent l="0" t="0" r="0" b="0"/>
            <wp:wrapTight wrapText="bothSides">
              <wp:wrapPolygon edited="0">
                <wp:start x="0" y="0"/>
                <wp:lineTo x="0" y="21409"/>
                <wp:lineTo x="21440" y="21409"/>
                <wp:lineTo x="21440" y="0"/>
                <wp:lineTo x="0" y="0"/>
              </wp:wrapPolygon>
            </wp:wrapTight>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80790" cy="2152650"/>
                    </a:xfrm>
                    <a:prstGeom prst="rect">
                      <a:avLst/>
                    </a:prstGeom>
                    <a:noFill/>
                  </pic:spPr>
                </pic:pic>
              </a:graphicData>
            </a:graphic>
            <wp14:sizeRelH relativeFrom="margin">
              <wp14:pctWidth>0</wp14:pctWidth>
            </wp14:sizeRelH>
            <wp14:sizeRelV relativeFrom="margin">
              <wp14:pctHeight>0</wp14:pctHeight>
            </wp14:sizeRelV>
          </wp:anchor>
        </w:drawing>
      </w: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Arial" w:eastAsia="Cambria" w:hAnsi="Arial" w:cs="Arial"/>
          <w:sz w:val="22"/>
          <w:szCs w:val="22"/>
        </w:rPr>
      </w:pPr>
    </w:p>
    <w:p w:rsidR="00E63FC7" w:rsidRPr="00E63FC7" w:rsidRDefault="00E63FC7" w:rsidP="00E63FC7">
      <w:pPr>
        <w:jc w:val="both"/>
        <w:rPr>
          <w:rFonts w:ascii="Cambria" w:eastAsia="Cambria" w:hAnsi="Cambria" w:cs="Times New Roman"/>
        </w:rPr>
      </w:pPr>
      <w:r w:rsidRPr="00E63FC7">
        <w:rPr>
          <w:rFonts w:ascii="Cambria" w:eastAsia="Cambria" w:hAnsi="Cambria" w:cs="Times New Roman"/>
        </w:rPr>
        <w:br w:type="page"/>
      </w:r>
    </w:p>
    <w:p w:rsidR="00E63FC7" w:rsidRPr="00E63FC7" w:rsidRDefault="00E63FC7" w:rsidP="00E63FC7">
      <w:pPr>
        <w:tabs>
          <w:tab w:val="left" w:pos="1220"/>
        </w:tabs>
        <w:rPr>
          <w:rFonts w:ascii="BlairMdITC TT-Medium" w:eastAsia="Cambria" w:hAnsi="BlairMdITC TT-Medium" w:cs="Times New Roman"/>
          <w:b/>
          <w:color w:val="FF6FCF"/>
          <w:sz w:val="28"/>
        </w:rPr>
      </w:pPr>
    </w:p>
    <w:p w:rsidR="00E63FC7" w:rsidRPr="00E63FC7" w:rsidRDefault="00E63FC7" w:rsidP="00E63FC7">
      <w:pPr>
        <w:tabs>
          <w:tab w:val="left" w:pos="1220"/>
        </w:tabs>
        <w:rPr>
          <w:rFonts w:ascii="Florencesans Exp" w:eastAsia="Cambria" w:hAnsi="Florencesans Exp" w:cs="Times New Roman"/>
          <w:b/>
          <w:color w:val="FF6FCF"/>
          <w:sz w:val="28"/>
        </w:rPr>
      </w:pPr>
      <w:r w:rsidRPr="00E63FC7">
        <w:rPr>
          <w:rFonts w:ascii="Florencesans Exp" w:eastAsia="Cambria" w:hAnsi="Florencesans Exp" w:cs="Times New Roman"/>
          <w:b/>
          <w:color w:val="FF6FCF"/>
          <w:sz w:val="28"/>
        </w:rPr>
        <w:t>8. D. PLAQUETTE DE L’ACTION SOCIALE EN 2013</w:t>
      </w:r>
    </w:p>
    <w:p w:rsidR="00E63FC7" w:rsidRPr="00E63FC7" w:rsidRDefault="00E63FC7" w:rsidP="00E63FC7">
      <w:pPr>
        <w:tabs>
          <w:tab w:val="left" w:pos="1220"/>
        </w:tabs>
        <w:rPr>
          <w:rFonts w:ascii="BlairMdITC TT-Medium" w:eastAsia="Cambria" w:hAnsi="BlairMdITC TT-Medium" w:cs="Times New Roman"/>
          <w:b/>
          <w:color w:val="FF6FCF"/>
          <w:sz w:val="28"/>
        </w:rPr>
      </w:pPr>
      <w:r w:rsidRPr="00E63FC7">
        <w:rPr>
          <w:rFonts w:ascii="BlairMdITC TT-Medium" w:eastAsia="Cambria" w:hAnsi="BlairMdITC TT-Medium" w:cs="Times New Roman"/>
          <w:b/>
          <w:noProof/>
          <w:color w:val="FF6FCF"/>
          <w:sz w:val="28"/>
          <w:lang w:eastAsia="fr-FR"/>
        </w:rPr>
        <w:drawing>
          <wp:inline distT="0" distB="0" distL="0" distR="0" wp14:anchorId="4B40C82F" wp14:editId="0F4C9CCD">
            <wp:extent cx="5760720" cy="8148261"/>
            <wp:effectExtent l="0" t="0" r="0" b="5715"/>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aquette action sociale mars 2013.jpg"/>
                    <pic:cNvPicPr/>
                  </pic:nvPicPr>
                  <pic:blipFill>
                    <a:blip r:embed="rId251">
                      <a:extLst>
                        <a:ext uri="{28A0092B-C50C-407E-A947-70E740481C1C}">
                          <a14:useLocalDpi xmlns:a14="http://schemas.microsoft.com/office/drawing/2010/main" val="0"/>
                        </a:ext>
                      </a:extLst>
                    </a:blip>
                    <a:stretch>
                      <a:fillRect/>
                    </a:stretch>
                  </pic:blipFill>
                  <pic:spPr>
                    <a:xfrm>
                      <a:off x="0" y="0"/>
                      <a:ext cx="5760720" cy="8148261"/>
                    </a:xfrm>
                    <a:prstGeom prst="rect">
                      <a:avLst/>
                    </a:prstGeom>
                  </pic:spPr>
                </pic:pic>
              </a:graphicData>
            </a:graphic>
          </wp:inline>
        </w:drawing>
      </w:r>
    </w:p>
    <w:p w:rsidR="00E63FC7" w:rsidRPr="00E63FC7" w:rsidRDefault="00E63FC7" w:rsidP="00E63FC7">
      <w:pPr>
        <w:tabs>
          <w:tab w:val="left" w:pos="1220"/>
        </w:tabs>
        <w:jc w:val="center"/>
        <w:rPr>
          <w:rFonts w:ascii="BlairMdITC TT-Medium" w:eastAsia="Cambria" w:hAnsi="BlairMdITC TT-Medium" w:cs="Times New Roman"/>
          <w:b/>
          <w:color w:val="FF6FCF"/>
          <w:sz w:val="28"/>
        </w:rPr>
      </w:pPr>
    </w:p>
    <w:p w:rsidR="00E63FC7" w:rsidRPr="00E63FC7" w:rsidRDefault="00E63FC7" w:rsidP="00E63FC7">
      <w:pPr>
        <w:jc w:val="center"/>
        <w:rPr>
          <w:rFonts w:ascii="Cambria" w:eastAsia="Cambria" w:hAnsi="Cambria" w:cs="Times New Roman"/>
        </w:rPr>
      </w:pPr>
      <w:r w:rsidRPr="00E63FC7">
        <w:rPr>
          <w:rFonts w:ascii="Cambria" w:eastAsia="Cambria" w:hAnsi="Cambria" w:cs="Times New Roman"/>
          <w:noProof/>
          <w:lang w:eastAsia="fr-FR"/>
        </w:rPr>
        <w:lastRenderedPageBreak/>
        <w:drawing>
          <wp:inline distT="0" distB="0" distL="0" distR="0" wp14:anchorId="693032BE" wp14:editId="7917864D">
            <wp:extent cx="6116320" cy="8748764"/>
            <wp:effectExtent l="0" t="0" r="0"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116320" cy="8748764"/>
                    </a:xfrm>
                    <a:prstGeom prst="rect">
                      <a:avLst/>
                    </a:prstGeom>
                    <a:noFill/>
                    <a:ln>
                      <a:noFill/>
                    </a:ln>
                  </pic:spPr>
                </pic:pic>
              </a:graphicData>
            </a:graphic>
          </wp:inline>
        </w:drawing>
      </w:r>
    </w:p>
    <w:p w:rsidR="00E63FC7" w:rsidRPr="00E63FC7" w:rsidRDefault="00E63FC7" w:rsidP="00E63FC7">
      <w:pPr>
        <w:jc w:val="center"/>
        <w:rPr>
          <w:rFonts w:ascii="Cambria" w:eastAsia="Cambria" w:hAnsi="Cambria" w:cs="Times New Roman"/>
        </w:rPr>
      </w:pPr>
      <w:r w:rsidRPr="00E63FC7">
        <w:rPr>
          <w:rFonts w:ascii="Cambria" w:eastAsia="Cambria" w:hAnsi="Cambria" w:cs="Times New Roman"/>
          <w:noProof/>
          <w:lang w:eastAsia="fr-FR"/>
        </w:rPr>
        <w:lastRenderedPageBreak/>
        <w:drawing>
          <wp:inline distT="0" distB="0" distL="0" distR="0" wp14:anchorId="2ADB6BF3" wp14:editId="3EC91A20">
            <wp:extent cx="6116320" cy="8856398"/>
            <wp:effectExtent l="0" t="0" r="0" b="1905"/>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16320" cy="8856398"/>
                    </a:xfrm>
                    <a:prstGeom prst="rect">
                      <a:avLst/>
                    </a:prstGeom>
                    <a:noFill/>
                    <a:ln>
                      <a:noFill/>
                    </a:ln>
                  </pic:spPr>
                </pic:pic>
              </a:graphicData>
            </a:graphic>
          </wp:inline>
        </w:drawing>
      </w:r>
    </w:p>
    <w:p w:rsidR="00353963" w:rsidRDefault="00E63FC7" w:rsidP="00353963">
      <w:pPr>
        <w:tabs>
          <w:tab w:val="left" w:pos="1220"/>
        </w:tabs>
        <w:ind w:left="851" w:hanging="851"/>
        <w:rPr>
          <w:rFonts w:ascii="Cambria" w:eastAsia="Cambria" w:hAnsi="Cambria" w:cs="Times New Roman"/>
        </w:rPr>
      </w:pPr>
      <w:r w:rsidRPr="00E63FC7">
        <w:rPr>
          <w:rFonts w:ascii="Cambria" w:eastAsia="Cambria" w:hAnsi="Cambria" w:cs="Times New Roman"/>
          <w:noProof/>
          <w:lang w:eastAsia="fr-FR"/>
        </w:rPr>
        <w:lastRenderedPageBreak/>
        <w:drawing>
          <wp:inline distT="0" distB="0" distL="0" distR="0" wp14:anchorId="598BE725" wp14:editId="672F55AC">
            <wp:extent cx="6116320" cy="8938916"/>
            <wp:effectExtent l="0" t="0" r="0"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16320" cy="8938916"/>
                    </a:xfrm>
                    <a:prstGeom prst="rect">
                      <a:avLst/>
                    </a:prstGeom>
                    <a:noFill/>
                    <a:ln>
                      <a:noFill/>
                    </a:ln>
                  </pic:spPr>
                </pic:pic>
              </a:graphicData>
            </a:graphic>
          </wp:inline>
        </w:drawing>
      </w:r>
    </w:p>
    <w:p w:rsidR="00353963" w:rsidRPr="00353963" w:rsidRDefault="00353963" w:rsidP="00353963">
      <w:pPr>
        <w:tabs>
          <w:tab w:val="left" w:pos="1220"/>
        </w:tabs>
        <w:rPr>
          <w:rFonts w:ascii="Florencesans Exp" w:eastAsia="Cambria" w:hAnsi="Florencesans Exp" w:cs="Times New Roman"/>
          <w:b/>
          <w:color w:val="FF6FCF"/>
          <w:sz w:val="28"/>
        </w:rPr>
      </w:pPr>
      <w:r w:rsidRPr="00353963">
        <w:rPr>
          <w:rFonts w:ascii="Florencesans Exp" w:eastAsia="Cambria" w:hAnsi="Florencesans Exp" w:cs="Times New Roman"/>
          <w:b/>
          <w:color w:val="FF6FCF"/>
          <w:sz w:val="28"/>
        </w:rPr>
        <w:lastRenderedPageBreak/>
        <w:t xml:space="preserve">8. E. Notice explicative de l’enquête RH EP </w:t>
      </w:r>
    </w:p>
    <w:p w:rsidR="00353963" w:rsidRDefault="00353963" w:rsidP="00353963">
      <w:pPr>
        <w:spacing w:before="100" w:beforeAutospacing="1"/>
        <w:jc w:val="center"/>
        <w:rPr>
          <w:rFonts w:ascii="Times New Roman" w:eastAsia="Times New Roman" w:hAnsi="Times New Roman" w:cs="Times New Roman"/>
          <w:b/>
          <w:bCs/>
          <w:sz w:val="40"/>
          <w:szCs w:val="40"/>
          <w:lang w:eastAsia="fr-FR"/>
        </w:rPr>
      </w:pPr>
    </w:p>
    <w:p w:rsidR="00353963" w:rsidRDefault="00353963" w:rsidP="00353963">
      <w:pPr>
        <w:spacing w:before="100" w:beforeAutospacing="1"/>
        <w:jc w:val="center"/>
        <w:rPr>
          <w:rFonts w:ascii="Times New Roman" w:eastAsia="Times New Roman" w:hAnsi="Times New Roman" w:cs="Times New Roman"/>
          <w:b/>
          <w:bCs/>
          <w:sz w:val="40"/>
          <w:szCs w:val="40"/>
          <w:lang w:eastAsia="fr-FR"/>
        </w:rPr>
      </w:pPr>
    </w:p>
    <w:p w:rsidR="00353963" w:rsidRDefault="00353963" w:rsidP="00353963">
      <w:pPr>
        <w:spacing w:before="100" w:beforeAutospacing="1"/>
        <w:jc w:val="center"/>
        <w:rPr>
          <w:rFonts w:ascii="Times New Roman" w:eastAsia="Times New Roman" w:hAnsi="Times New Roman" w:cs="Times New Roman"/>
          <w:b/>
          <w:bCs/>
          <w:sz w:val="40"/>
          <w:szCs w:val="40"/>
          <w:lang w:eastAsia="fr-FR"/>
        </w:rPr>
      </w:pPr>
    </w:p>
    <w:p w:rsidR="00353963" w:rsidRDefault="00353963" w:rsidP="00353963">
      <w:pPr>
        <w:spacing w:before="100" w:beforeAutospacing="1"/>
        <w:jc w:val="center"/>
        <w:rPr>
          <w:rFonts w:ascii="Times New Roman" w:eastAsia="Times New Roman" w:hAnsi="Times New Roman" w:cs="Times New Roman"/>
          <w:b/>
          <w:bCs/>
          <w:sz w:val="40"/>
          <w:szCs w:val="40"/>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r w:rsidRPr="00353963">
        <w:rPr>
          <w:rFonts w:ascii="Times New Roman" w:eastAsia="Times New Roman" w:hAnsi="Times New Roman" w:cs="Times New Roman"/>
          <w:b/>
          <w:bCs/>
          <w:sz w:val="40"/>
          <w:szCs w:val="40"/>
          <w:lang w:eastAsia="fr-FR"/>
        </w:rPr>
        <w:t xml:space="preserve">Enquête RH 2013 relative aux agents </w:t>
      </w:r>
      <w:r w:rsidRPr="00353963">
        <w:rPr>
          <w:rFonts w:ascii="Times New Roman" w:eastAsia="Times New Roman" w:hAnsi="Times New Roman" w:cs="Times New Roman"/>
          <w:b/>
          <w:bCs/>
          <w:sz w:val="40"/>
          <w:szCs w:val="40"/>
          <w:lang w:eastAsia="fr-FR"/>
        </w:rPr>
        <w:br/>
        <w:t>des établissements publics</w:t>
      </w:r>
    </w:p>
    <w:p w:rsidR="00353963" w:rsidRPr="00353963" w:rsidRDefault="00353963" w:rsidP="00353963">
      <w:pPr>
        <w:spacing w:before="100" w:beforeAutospacing="1"/>
        <w:jc w:val="center"/>
        <w:rPr>
          <w:rFonts w:ascii="Times New Roman" w:eastAsia="Times New Roman" w:hAnsi="Times New Roman" w:cs="Times New Roman"/>
          <w:lang w:eastAsia="fr-FR"/>
        </w:rPr>
      </w:pPr>
      <w:r w:rsidRPr="00353963">
        <w:rPr>
          <w:rFonts w:ascii="Times New Roman" w:eastAsia="Times New Roman" w:hAnsi="Times New Roman" w:cs="Times New Roman"/>
          <w:b/>
          <w:bCs/>
          <w:sz w:val="32"/>
          <w:szCs w:val="32"/>
          <w:lang w:eastAsia="fr-FR"/>
        </w:rPr>
        <w:t xml:space="preserve">Réalisation du bilan social et de </w:t>
      </w:r>
      <w:r w:rsidRPr="00353963">
        <w:rPr>
          <w:rFonts w:ascii="Times New Roman" w:eastAsia="Times New Roman" w:hAnsi="Times New Roman" w:cs="Times New Roman"/>
          <w:b/>
          <w:bCs/>
          <w:sz w:val="32"/>
          <w:szCs w:val="32"/>
          <w:lang w:eastAsia="fr-FR"/>
        </w:rPr>
        <w:br/>
        <w:t xml:space="preserve">l'observatoire de l'emploi contractuel 2013 </w:t>
      </w:r>
      <w:r w:rsidRPr="00353963">
        <w:rPr>
          <w:rFonts w:ascii="Times New Roman" w:eastAsia="Times New Roman" w:hAnsi="Times New Roman" w:cs="Times New Roman"/>
          <w:b/>
          <w:bCs/>
          <w:sz w:val="32"/>
          <w:szCs w:val="32"/>
          <w:lang w:eastAsia="fr-FR"/>
        </w:rPr>
        <w:br/>
        <w:t>du ministère de la culture et de la communication</w:t>
      </w: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r w:rsidRPr="00353963">
        <w:rPr>
          <w:rFonts w:ascii="Times New Roman" w:eastAsia="Times New Roman" w:hAnsi="Times New Roman" w:cs="Times New Roman"/>
          <w:b/>
          <w:bCs/>
          <w:sz w:val="32"/>
          <w:szCs w:val="32"/>
          <w:lang w:eastAsia="fr-FR"/>
        </w:rPr>
        <w:t>- Notice explicative -</w:t>
      </w: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spacing w:before="100" w:beforeAutospacing="1"/>
        <w:jc w:val="center"/>
        <w:rPr>
          <w:rFonts w:ascii="Times New Roman" w:eastAsia="Times New Roman" w:hAnsi="Times New Roman" w:cs="Times New Roman"/>
          <w:lang w:eastAsia="fr-FR"/>
        </w:rPr>
      </w:pPr>
    </w:p>
    <w:p w:rsidR="00353963" w:rsidRPr="00353963" w:rsidRDefault="00353963" w:rsidP="00353963">
      <w:pPr>
        <w:pageBreakBefore/>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lang w:eastAsia="fr-FR"/>
        </w:rPr>
        <w:lastRenderedPageBreak/>
        <w:t>La présente enquête a pour objectif de contribuer à l'élaboration du bilan social 2013 et à l'observatoire de l'emploi contractuel 2013 du ministère de la Culture et de la Communication.</w:t>
      </w:r>
    </w:p>
    <w:p w:rsidR="00353963" w:rsidRPr="00353963" w:rsidRDefault="00353963" w:rsidP="00353963">
      <w:pPr>
        <w:spacing w:before="100" w:beforeAutospacing="1" w:after="119"/>
        <w:outlineLvl w:val="0"/>
        <w:rPr>
          <w:rFonts w:ascii="Liberation Sans" w:eastAsia="Times New Roman" w:hAnsi="Liberation Sans" w:cs="Liberation Sans"/>
          <w:b/>
          <w:bCs/>
          <w:kern w:val="36"/>
          <w:sz w:val="32"/>
          <w:szCs w:val="32"/>
          <w:lang w:eastAsia="fr-FR"/>
        </w:rPr>
      </w:pPr>
      <w:bookmarkStart w:id="7" w:name="__RefHeading__3188_224763442"/>
      <w:bookmarkEnd w:id="7"/>
      <w:r w:rsidRPr="00353963">
        <w:rPr>
          <w:rFonts w:ascii="Liberation Sans" w:eastAsia="Times New Roman" w:hAnsi="Liberation Sans" w:cs="Liberation Sans"/>
          <w:b/>
          <w:bCs/>
          <w:kern w:val="36"/>
          <w:sz w:val="32"/>
          <w:szCs w:val="32"/>
          <w:lang w:eastAsia="fr-FR"/>
        </w:rPr>
        <w:t xml:space="preserve">1. </w:t>
      </w:r>
      <w:r w:rsidRPr="00353963">
        <w:rPr>
          <w:rFonts w:ascii="Liberation Sans" w:eastAsia="Times New Roman" w:hAnsi="Liberation Sans" w:cs="Liberation Sans"/>
          <w:b/>
          <w:bCs/>
          <w:kern w:val="36"/>
          <w:sz w:val="32"/>
          <w:szCs w:val="32"/>
          <w:u w:val="single"/>
          <w:lang w:eastAsia="fr-FR"/>
        </w:rPr>
        <w:t>Principes généraux</w:t>
      </w:r>
      <w:r w:rsidRPr="00353963">
        <w:rPr>
          <w:rFonts w:ascii="Liberation Sans" w:eastAsia="Times New Roman" w:hAnsi="Liberation Sans" w:cs="Liberation Sans"/>
          <w:b/>
          <w:bCs/>
          <w:kern w:val="36"/>
          <w:sz w:val="27"/>
          <w:szCs w:val="27"/>
          <w:u w:val="single"/>
          <w:lang w:eastAsia="fr-FR"/>
        </w:rPr>
        <w:t xml:space="preserve">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L'enquête concerne uniquement les agents sur budget d'établissement (titre 3).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Les informations relatives au personnel rémunéré par le ministère (titre 2) seront renseignées directement par le Service des ressources humaines du Secrétariat général. Les établissements n'ont donc pas à intégrer ces données dans l'enquête. </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L’enquête prend la forme d’un tableur à 2 onglets (en format excel ou calc) : </w:t>
      </w:r>
    </w:p>
    <w:p w:rsidR="00353963" w:rsidRPr="00353963" w:rsidRDefault="00353963" w:rsidP="00353963">
      <w:pPr>
        <w:numPr>
          <w:ilvl w:val="0"/>
          <w:numId w:val="54"/>
        </w:num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un onglet n°1 relatif aux agents "</w:t>
      </w:r>
      <w:r w:rsidRPr="00353963">
        <w:rPr>
          <w:rFonts w:ascii="Times New Roman" w:eastAsia="Times New Roman" w:hAnsi="Times New Roman" w:cs="Times New Roman"/>
          <w:b/>
          <w:bCs/>
          <w:color w:val="000000"/>
          <w:lang w:eastAsia="fr-FR"/>
        </w:rPr>
        <w:t>sous plafond d'emplois</w:t>
      </w:r>
      <w:r w:rsidRPr="00353963">
        <w:rPr>
          <w:rFonts w:ascii="Times New Roman" w:eastAsia="Times New Roman" w:hAnsi="Times New Roman" w:cs="Times New Roman"/>
          <w:color w:val="000000"/>
          <w:lang w:eastAsia="fr-FR"/>
        </w:rPr>
        <w:t>" (données nominatives) ;</w:t>
      </w:r>
    </w:p>
    <w:p w:rsidR="00353963" w:rsidRPr="00353963" w:rsidRDefault="00353963" w:rsidP="00353963">
      <w:pPr>
        <w:numPr>
          <w:ilvl w:val="0"/>
          <w:numId w:val="54"/>
        </w:num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un onglet n°2 relatif aux </w:t>
      </w:r>
      <w:r w:rsidRPr="00353963">
        <w:rPr>
          <w:rFonts w:ascii="Times New Roman" w:eastAsia="Times New Roman" w:hAnsi="Times New Roman" w:cs="Times New Roman"/>
          <w:b/>
          <w:bCs/>
          <w:color w:val="000000"/>
          <w:lang w:eastAsia="fr-FR"/>
        </w:rPr>
        <w:t>intermittents, contrats aidés et agents payés à la tâche</w:t>
      </w:r>
      <w:r w:rsidRPr="00353963">
        <w:rPr>
          <w:rFonts w:ascii="Times New Roman" w:eastAsia="Times New Roman" w:hAnsi="Times New Roman" w:cs="Times New Roman"/>
          <w:color w:val="000000"/>
          <w:lang w:eastAsia="fr-FR"/>
        </w:rPr>
        <w:t xml:space="preserve"> (données agrégés). Ainsi, il n'est pas demandé d'indiquer l'ensemble des agents "hors plafond" ou "hors champ".</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Si la partie principale de l'enquête (onglet n°1) doit être renseignée de façon nominative, agent par agent, le bilan social ainsi que l'observatoire de l'emploi contractuel ne feront pas état de situations individuelles, les données seront agrégées.</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Le choix d'effectuer ce recensement de façon nominative ne repose pas sur une volonté d'exhaustivité du SRH ou celle de réitérer l'enquête "Sauvadet" ; ce format s'est imposé, après des échanges avec quelques établissements, comme étant le plus simple et le plus rapide à renseigner par rapport aux systèmes d'informations existants au sein des établissements.</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pageBreakBefore/>
        <w:spacing w:before="100" w:beforeAutospacing="1" w:after="119"/>
        <w:outlineLvl w:val="0"/>
        <w:rPr>
          <w:rFonts w:ascii="Liberation Sans" w:eastAsia="Times New Roman" w:hAnsi="Liberation Sans" w:cs="Liberation Sans"/>
          <w:b/>
          <w:bCs/>
          <w:kern w:val="36"/>
          <w:sz w:val="32"/>
          <w:szCs w:val="32"/>
          <w:lang w:eastAsia="fr-FR"/>
        </w:rPr>
      </w:pPr>
      <w:bookmarkStart w:id="8" w:name="__RefHeading__3190_224763442"/>
      <w:bookmarkEnd w:id="8"/>
      <w:r w:rsidRPr="00353963">
        <w:rPr>
          <w:rFonts w:ascii="Liberation Sans" w:eastAsia="Times New Roman" w:hAnsi="Liberation Sans" w:cs="Liberation Sans"/>
          <w:b/>
          <w:bCs/>
          <w:kern w:val="36"/>
          <w:sz w:val="32"/>
          <w:szCs w:val="32"/>
          <w:lang w:eastAsia="fr-FR"/>
        </w:rPr>
        <w:lastRenderedPageBreak/>
        <w:t xml:space="preserve">2. </w:t>
      </w:r>
      <w:r w:rsidRPr="00353963">
        <w:rPr>
          <w:rFonts w:ascii="Liberation Sans" w:eastAsia="Times New Roman" w:hAnsi="Liberation Sans" w:cs="Liberation Sans"/>
          <w:b/>
          <w:bCs/>
          <w:kern w:val="36"/>
          <w:sz w:val="32"/>
          <w:szCs w:val="32"/>
          <w:u w:val="single"/>
          <w:lang w:eastAsia="fr-FR"/>
        </w:rPr>
        <w:t>Onglet n°1 « Données détaillées » / Enquête nominative</w:t>
      </w:r>
    </w:p>
    <w:p w:rsidR="00353963" w:rsidRPr="00353963" w:rsidRDefault="00353963" w:rsidP="00353963">
      <w:pPr>
        <w:spacing w:before="100" w:beforeAutospacing="1" w:after="119"/>
        <w:outlineLvl w:val="1"/>
        <w:rPr>
          <w:rFonts w:ascii="Liberation Sans" w:eastAsia="Times New Roman" w:hAnsi="Liberation Sans" w:cs="Liberation Sans"/>
          <w:b/>
          <w:bCs/>
          <w:i/>
          <w:iCs/>
          <w:sz w:val="28"/>
          <w:szCs w:val="28"/>
          <w:lang w:eastAsia="fr-FR"/>
        </w:rPr>
      </w:pPr>
      <w:bookmarkStart w:id="9" w:name="__RefHeading__3192_224763442"/>
      <w:bookmarkEnd w:id="9"/>
      <w:r w:rsidRPr="00353963">
        <w:rPr>
          <w:rFonts w:ascii="Liberation Sans" w:eastAsia="Times New Roman" w:hAnsi="Liberation Sans" w:cs="Liberation Sans"/>
          <w:b/>
          <w:bCs/>
          <w:i/>
          <w:iCs/>
          <w:sz w:val="28"/>
          <w:szCs w:val="28"/>
          <w:lang w:eastAsia="fr-FR"/>
        </w:rPr>
        <w:t>2.1 Périmètre de l'enquête</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L'enquête nominative concerne les agents comptabilisés dans le plafond d'emplois de l'établissement au cours de l'année 2013.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Ainsi, tout agent qui consomme le plafond d'emplois 2013 doit figurer dans l'enquête.</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1"/>
        <w:rPr>
          <w:rFonts w:ascii="Liberation Sans" w:eastAsia="Times New Roman" w:hAnsi="Liberation Sans" w:cs="Liberation Sans"/>
          <w:b/>
          <w:bCs/>
          <w:i/>
          <w:iCs/>
          <w:sz w:val="28"/>
          <w:szCs w:val="28"/>
          <w:lang w:eastAsia="fr-FR"/>
        </w:rPr>
      </w:pPr>
      <w:bookmarkStart w:id="10" w:name="__RefHeading__3194_224763442"/>
      <w:bookmarkEnd w:id="10"/>
      <w:r w:rsidRPr="00353963">
        <w:rPr>
          <w:rFonts w:ascii="Liberation Sans" w:eastAsia="Times New Roman" w:hAnsi="Liberation Sans" w:cs="Liberation Sans"/>
          <w:b/>
          <w:bCs/>
          <w:i/>
          <w:iCs/>
          <w:sz w:val="28"/>
          <w:szCs w:val="28"/>
          <w:lang w:eastAsia="fr-FR"/>
        </w:rPr>
        <w:t>2.2 La notion d'agent "sous plafond d'emploi"</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Même si un agent est parti au cours de l'année 2013, il doit figurer dans l'enquête puisqu'il consomme le plafond d'emplois. </w:t>
      </w:r>
    </w:p>
    <w:p w:rsidR="00353963" w:rsidRPr="00353963" w:rsidRDefault="00353963" w:rsidP="00353963">
      <w:pPr>
        <w:spacing w:before="100" w:beforeAutospacing="1" w:after="119"/>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Pour mémoire, les agents "absents" restent comptés dans le plafond d'emplois dans les cas suivants :</w:t>
      </w:r>
    </w:p>
    <w:p w:rsidR="00353963" w:rsidRPr="00353963" w:rsidRDefault="00353963" w:rsidP="00353963">
      <w:pPr>
        <w:numPr>
          <w:ilvl w:val="0"/>
          <w:numId w:val="55"/>
        </w:numPr>
        <w:spacing w:before="100" w:beforeAutospacing="1" w:after="119"/>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congé longue maladie pour les fonctionnaires ;</w:t>
      </w:r>
    </w:p>
    <w:p w:rsidR="00353963" w:rsidRPr="00353963" w:rsidRDefault="00353963" w:rsidP="00353963">
      <w:pPr>
        <w:numPr>
          <w:ilvl w:val="0"/>
          <w:numId w:val="55"/>
        </w:numPr>
        <w:spacing w:before="100" w:beforeAutospacing="1" w:after="119"/>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congé grave maladie/congé maternité pour les agents non titulaires (ANT) si l’opérateur est son propre assureur (pas de remboursement par la sécurité sociale de la rémunération versée).</w:t>
      </w:r>
    </w:p>
    <w:p w:rsidR="00353963" w:rsidRPr="00353963" w:rsidRDefault="00353963" w:rsidP="00353963">
      <w:pPr>
        <w:spacing w:before="100" w:beforeAutospacing="1" w:after="119"/>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En revanche, les agents absents ne sont plus comptés dans le plafond dans les cas suivants : </w:t>
      </w:r>
    </w:p>
    <w:p w:rsidR="00353963" w:rsidRPr="00353963" w:rsidRDefault="00353963" w:rsidP="00353963">
      <w:pPr>
        <w:numPr>
          <w:ilvl w:val="0"/>
          <w:numId w:val="56"/>
        </w:numPr>
        <w:spacing w:before="100" w:beforeAutospacing="1" w:after="119"/>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congé longue durée, congé parental, congé pour convenances personnelles, congé pour raisons familiales ;</w:t>
      </w:r>
    </w:p>
    <w:p w:rsidR="00353963" w:rsidRPr="00353963" w:rsidRDefault="00353963" w:rsidP="00353963">
      <w:pPr>
        <w:numPr>
          <w:ilvl w:val="0"/>
          <w:numId w:val="56"/>
        </w:numPr>
        <w:spacing w:before="100" w:beforeAutospacing="1" w:after="119"/>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départs définitifs (retraite, démission, licenciement, radiation des cadres, fin de contrat) ;  </w:t>
      </w:r>
    </w:p>
    <w:p w:rsidR="00353963" w:rsidRPr="00353963" w:rsidRDefault="00353963" w:rsidP="00353963">
      <w:pPr>
        <w:numPr>
          <w:ilvl w:val="0"/>
          <w:numId w:val="56"/>
        </w:numPr>
        <w:spacing w:before="100" w:beforeAutospacing="1" w:after="119"/>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congé grave maladie/congé maternité pour les ANT s’il y a un remboursement par la sécurité so</w:t>
      </w:r>
      <w:r>
        <w:rPr>
          <w:rFonts w:ascii="Times New Roman" w:eastAsia="Times New Roman" w:hAnsi="Times New Roman" w:cs="Times New Roman"/>
          <w:color w:val="000000"/>
          <w:lang w:eastAsia="fr-FR"/>
        </w:rPr>
        <w:t>ciale ou autres organismes agréé</w:t>
      </w:r>
      <w:r w:rsidRPr="00353963">
        <w:rPr>
          <w:rFonts w:ascii="Times New Roman" w:eastAsia="Times New Roman" w:hAnsi="Times New Roman" w:cs="Times New Roman"/>
          <w:color w:val="000000"/>
          <w:lang w:eastAsia="fr-FR"/>
        </w:rPr>
        <w:t>s de la rémunération versée par l’employeur.</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u w:val="single"/>
          <w:lang w:eastAsia="fr-FR"/>
        </w:rPr>
        <w:t>Exemple</w:t>
      </w:r>
      <w:r w:rsidRPr="00353963">
        <w:rPr>
          <w:rFonts w:ascii="Times New Roman" w:eastAsia="Times New Roman" w:hAnsi="Times New Roman" w:cs="Times New Roman"/>
          <w:color w:val="000000"/>
          <w:lang w:eastAsia="fr-FR"/>
        </w:rPr>
        <w:t xml:space="preserve"> : si un agent est en congé longue durée tout au long de l'année 2013 : il ne compte pas dans le plafond d'emplois et ne doit donc pas apparaître dans l'enquête.</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u w:val="single"/>
          <w:lang w:eastAsia="fr-FR"/>
        </w:rPr>
        <w:t>Exemple</w:t>
      </w:r>
      <w:r w:rsidRPr="00353963">
        <w:rPr>
          <w:rFonts w:ascii="Times New Roman" w:eastAsia="Times New Roman" w:hAnsi="Times New Roman" w:cs="Times New Roman"/>
          <w:color w:val="000000"/>
          <w:lang w:eastAsia="fr-FR"/>
        </w:rPr>
        <w:t xml:space="preserve"> : si un agent à plein temps est en congé longue durée à partir du 1er juillet 2013, il figure dans l'enquête et compte pour 0,5 ETPT. </w:t>
      </w:r>
    </w:p>
    <w:p w:rsidR="00353963" w:rsidRPr="00353963" w:rsidRDefault="00353963" w:rsidP="00353963">
      <w:pPr>
        <w:spacing w:before="100" w:beforeAutospacing="1" w:after="119"/>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Les agents demeurent comptabilisés au prorata de leur présence sur l'année 2013.</w:t>
      </w:r>
    </w:p>
    <w:p w:rsidR="00353963" w:rsidRPr="00353963" w:rsidRDefault="00353963" w:rsidP="00353963">
      <w:pPr>
        <w:spacing w:before="100" w:beforeAutospacing="1" w:after="119"/>
        <w:outlineLvl w:val="1"/>
        <w:rPr>
          <w:rFonts w:ascii="Liberation Sans" w:eastAsia="Times New Roman" w:hAnsi="Liberation Sans" w:cs="Liberation Sans"/>
          <w:b/>
          <w:bCs/>
          <w:i/>
          <w:iCs/>
          <w:sz w:val="28"/>
          <w:szCs w:val="28"/>
          <w:lang w:eastAsia="fr-FR"/>
        </w:rPr>
      </w:pPr>
      <w:bookmarkStart w:id="11" w:name="__RefHeading__3196_224763442"/>
      <w:bookmarkEnd w:id="11"/>
      <w:r w:rsidRPr="00353963">
        <w:rPr>
          <w:rFonts w:ascii="Liberation Sans" w:eastAsia="Times New Roman" w:hAnsi="Liberation Sans" w:cs="Liberation Sans"/>
          <w:b/>
          <w:bCs/>
          <w:i/>
          <w:iCs/>
          <w:sz w:val="28"/>
          <w:szCs w:val="28"/>
          <w:lang w:eastAsia="fr-FR"/>
        </w:rPr>
        <w:t xml:space="preserve">2.2 Changement de situation d'un agent au cours de l'année 2013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La situation de l'agent qu'il convient de renseigner dans l'enquête (son statut, sa fonction, sa catégorie hiérarchique ...etc) doit être appréciée au </w:t>
      </w:r>
      <w:r w:rsidRPr="00353963">
        <w:rPr>
          <w:rFonts w:ascii="Times New Roman" w:eastAsia="Times New Roman" w:hAnsi="Times New Roman" w:cs="Times New Roman"/>
          <w:color w:val="000000"/>
          <w:u w:val="single"/>
          <w:lang w:eastAsia="fr-FR"/>
        </w:rPr>
        <w:t>31/12/2013.</w:t>
      </w:r>
      <w:r w:rsidRPr="00353963">
        <w:rPr>
          <w:rFonts w:ascii="Times New Roman" w:eastAsia="Times New Roman" w:hAnsi="Times New Roman" w:cs="Times New Roman"/>
          <w:color w:val="000000"/>
          <w:lang w:eastAsia="fr-FR"/>
        </w:rPr>
        <w:t xml:space="preserve"> Si l'agent a quitté l'établissement au cours de l'année 2013, indiquez sa situation le jour de son départ.</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lastRenderedPageBreak/>
        <w:t xml:space="preserve">Ainsi, le principe général est donc qu'un agent n’apparaît qu'une seule fois dans le tableau à renseigner.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Pour les agents non titulaires, il existe une exception à ce principe dans le cas où l'agent a connu au cours de l'année 2013 un </w:t>
      </w:r>
      <w:r w:rsidRPr="00353963">
        <w:rPr>
          <w:rFonts w:ascii="Times New Roman" w:eastAsia="Times New Roman" w:hAnsi="Times New Roman" w:cs="Times New Roman"/>
          <w:b/>
          <w:bCs/>
          <w:color w:val="000000"/>
          <w:lang w:eastAsia="fr-FR"/>
        </w:rPr>
        <w:t>changement de fondement de recrutement</w:t>
      </w:r>
      <w:r w:rsidRPr="00353963">
        <w:rPr>
          <w:rFonts w:ascii="Times New Roman" w:eastAsia="Times New Roman" w:hAnsi="Times New Roman" w:cs="Times New Roman"/>
          <w:color w:val="000000"/>
          <w:lang w:eastAsia="fr-FR"/>
        </w:rPr>
        <w:t xml:space="preserve">. Dans cet unique cas, </w:t>
      </w:r>
      <w:r w:rsidRPr="00353963">
        <w:rPr>
          <w:rFonts w:ascii="Times New Roman" w:eastAsia="Times New Roman" w:hAnsi="Times New Roman" w:cs="Times New Roman"/>
          <w:b/>
          <w:bCs/>
          <w:color w:val="000000"/>
          <w:lang w:eastAsia="fr-FR"/>
        </w:rPr>
        <w:t>un même agent pourra apparaître plusieurs fois dans le tableau.</w:t>
      </w:r>
    </w:p>
    <w:p w:rsidR="00353963" w:rsidRPr="00353963" w:rsidRDefault="00353963" w:rsidP="00353963">
      <w:pPr>
        <w:spacing w:before="100" w:beforeAutospacing="1" w:after="119"/>
        <w:outlineLvl w:val="1"/>
        <w:rPr>
          <w:rFonts w:ascii="Liberation Sans" w:eastAsia="Times New Roman" w:hAnsi="Liberation Sans" w:cs="Liberation Sans"/>
          <w:b/>
          <w:bCs/>
          <w:i/>
          <w:iCs/>
          <w:sz w:val="28"/>
          <w:szCs w:val="28"/>
          <w:lang w:eastAsia="fr-FR"/>
        </w:rPr>
      </w:pPr>
      <w:bookmarkStart w:id="12" w:name="__RefHeading__3198_224763442"/>
      <w:bookmarkEnd w:id="12"/>
      <w:r w:rsidRPr="00353963">
        <w:rPr>
          <w:rFonts w:ascii="Liberation Sans" w:eastAsia="Times New Roman" w:hAnsi="Liberation Sans" w:cs="Liberation Sans"/>
          <w:b/>
          <w:bCs/>
          <w:i/>
          <w:iCs/>
          <w:sz w:val="28"/>
          <w:szCs w:val="28"/>
          <w:lang w:eastAsia="fr-FR"/>
        </w:rPr>
        <w:t>2.4. Précisions concernant les différentes colonnes à compléter</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Dans la plupart des cas, un menu déroulant est prévu pour les différentes colonnes à renseigner, afin de faciliter la saisie et de permettre une exploitation des données.</w:t>
      </w: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13" w:name="__RefHeading__3200_224763442"/>
      <w:bookmarkEnd w:id="13"/>
      <w:r w:rsidRPr="00353963">
        <w:rPr>
          <w:rFonts w:ascii="Liberation Sans" w:eastAsia="Times New Roman" w:hAnsi="Liberation Sans" w:cs="Liberation Sans"/>
          <w:b/>
          <w:bCs/>
          <w:i/>
          <w:iCs/>
          <w:sz w:val="22"/>
          <w:szCs w:val="22"/>
          <w:lang w:eastAsia="fr-FR"/>
        </w:rPr>
        <w:t>2.4.1. Nom</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Nom de l’agent en majuscules. Exemple : DUPUIS.</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14" w:name="__RefHeading__3202_224763442"/>
      <w:bookmarkEnd w:id="14"/>
      <w:r w:rsidRPr="00353963">
        <w:rPr>
          <w:rFonts w:ascii="Liberation Sans" w:eastAsia="Times New Roman" w:hAnsi="Liberation Sans" w:cs="Liberation Sans"/>
          <w:b/>
          <w:bCs/>
          <w:i/>
          <w:iCs/>
          <w:sz w:val="22"/>
          <w:szCs w:val="22"/>
          <w:lang w:eastAsia="fr-FR"/>
        </w:rPr>
        <w:t xml:space="preserve">2.4.2 Prénom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Prénom de l’agent avec l'initiale en majuscule. Exemple : Julie.</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15" w:name="__RefHeading__3204_224763442"/>
      <w:bookmarkEnd w:id="15"/>
      <w:r w:rsidRPr="00353963">
        <w:rPr>
          <w:rFonts w:ascii="Liberation Sans" w:eastAsia="Times New Roman" w:hAnsi="Liberation Sans" w:cs="Liberation Sans"/>
          <w:b/>
          <w:bCs/>
          <w:lang w:eastAsia="fr-FR"/>
        </w:rPr>
        <w:t>2.4.3. Sexe</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Sexe de l’agent. Cette donnée est à remplir à l’aide d’un menu déroulant : H / F.</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16" w:name="__RefHeading__3206_224763442"/>
      <w:bookmarkEnd w:id="16"/>
      <w:r w:rsidRPr="00353963">
        <w:rPr>
          <w:rFonts w:ascii="Liberation Sans" w:eastAsia="Times New Roman" w:hAnsi="Liberation Sans" w:cs="Liberation Sans"/>
          <w:b/>
          <w:bCs/>
          <w:lang w:eastAsia="fr-FR"/>
        </w:rPr>
        <w:t>2.4.4. Date de naissance</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Renseigner la date de naissance de l’agent au format : JJ/MM/AAAA. </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17" w:name="__RefHeading__3208_224763442"/>
      <w:bookmarkEnd w:id="17"/>
      <w:r w:rsidRPr="00353963">
        <w:rPr>
          <w:rFonts w:ascii="Liberation Sans" w:eastAsia="Times New Roman" w:hAnsi="Liberation Sans" w:cs="Liberation Sans"/>
          <w:b/>
          <w:bCs/>
          <w:lang w:eastAsia="fr-FR"/>
        </w:rPr>
        <w:t>2.4.5. Statut</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Cette donnée est à remplir à l’aide d’un menu déroulant composé de 3 possibilités :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 Agent Non Titulaire (ANT)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Fonctionnaire détaché sur contrat, qu'on distinguera donc des "agents non titulaires" même si l'agent dispose d'un contrat de travail</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Fonctionnaire.</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Default="00353963" w:rsidP="00353963">
      <w:pPr>
        <w:spacing w:before="100" w:beforeAutospacing="1" w:after="119"/>
        <w:outlineLvl w:val="2"/>
        <w:rPr>
          <w:rFonts w:ascii="Liberation Sans" w:eastAsia="Times New Roman" w:hAnsi="Liberation Sans" w:cs="Liberation Sans"/>
          <w:b/>
          <w:bCs/>
          <w:lang w:eastAsia="fr-FR"/>
        </w:rPr>
      </w:pPr>
      <w:bookmarkStart w:id="18" w:name="__RefHeading__3210_224763442"/>
      <w:bookmarkEnd w:id="18"/>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r w:rsidRPr="00353963">
        <w:rPr>
          <w:rFonts w:ascii="Liberation Sans" w:eastAsia="Times New Roman" w:hAnsi="Liberation Sans" w:cs="Liberation Sans"/>
          <w:b/>
          <w:bCs/>
          <w:lang w:eastAsia="fr-FR"/>
        </w:rPr>
        <w:lastRenderedPageBreak/>
        <w:t>2.4.6. Nature du contrat</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Elle est à remplir à l’aide d’un menu déroulant qui comporte deux possibilités :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contrat à durée déterminée (CDD)</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contrat à durée indéterminée (CDI).</w:t>
      </w: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19" w:name="__RefHeading__3212_224763442"/>
      <w:bookmarkEnd w:id="19"/>
      <w:r w:rsidRPr="00353963">
        <w:rPr>
          <w:rFonts w:ascii="Liberation Sans" w:eastAsia="Times New Roman" w:hAnsi="Liberation Sans" w:cs="Liberation Sans"/>
          <w:b/>
          <w:bCs/>
          <w:lang w:eastAsia="fr-FR"/>
        </w:rPr>
        <w:t>2.4.7. Fondement de recrutement des agents non titulaires</w:t>
      </w:r>
    </w:p>
    <w:p w:rsidR="00353963" w:rsidRDefault="00353963" w:rsidP="00353963">
      <w:pPr>
        <w:spacing w:before="100" w:beforeAutospacing="1"/>
        <w:rPr>
          <w:rFonts w:ascii="Times New Roman" w:eastAsia="Times New Roman" w:hAnsi="Times New Roman" w:cs="Times New Roman"/>
          <w:color w:val="000000"/>
          <w:lang w:eastAsia="fr-FR"/>
        </w:rPr>
      </w:pPr>
      <w:r w:rsidRPr="00353963">
        <w:rPr>
          <w:rFonts w:ascii="Times New Roman" w:eastAsia="Times New Roman" w:hAnsi="Times New Roman" w:cs="Times New Roman"/>
          <w:color w:val="000000"/>
          <w:lang w:eastAsia="fr-FR"/>
        </w:rPr>
        <w:t xml:space="preserve">Cette donnée </w:t>
      </w:r>
      <w:r w:rsidRPr="00353963">
        <w:rPr>
          <w:rFonts w:ascii="Times New Roman" w:eastAsia="Times New Roman" w:hAnsi="Times New Roman" w:cs="Times New Roman"/>
          <w:b/>
          <w:bCs/>
          <w:color w:val="000000"/>
          <w:lang w:eastAsia="fr-FR"/>
        </w:rPr>
        <w:t>qui ne concerne que les EPA</w:t>
      </w:r>
      <w:r w:rsidRPr="00353963">
        <w:rPr>
          <w:rFonts w:ascii="Times New Roman" w:eastAsia="Times New Roman" w:hAnsi="Times New Roman" w:cs="Times New Roman"/>
          <w:color w:val="000000"/>
          <w:lang w:eastAsia="fr-FR"/>
        </w:rPr>
        <w:t xml:space="preserve">, doit désormais systématiquement figurer au contrat (articles 4 du décret n°86-83 modifié et article 43 du décret n°2014-364) est à remplir à l’aide d’un menu déroulant.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Liste de choix du menu déroulant :</w:t>
      </w:r>
    </w:p>
    <w:tbl>
      <w:tblPr>
        <w:tblW w:w="9660" w:type="dxa"/>
        <w:tblCellSpacing w:w="0" w:type="dxa"/>
        <w:tblCellMar>
          <w:top w:w="60" w:type="dxa"/>
          <w:left w:w="60" w:type="dxa"/>
          <w:bottom w:w="60" w:type="dxa"/>
          <w:right w:w="60" w:type="dxa"/>
        </w:tblCellMar>
        <w:tblLook w:val="04A0" w:firstRow="1" w:lastRow="0" w:firstColumn="1" w:lastColumn="0" w:noHBand="0" w:noVBand="1"/>
      </w:tblPr>
      <w:tblGrid>
        <w:gridCol w:w="1787"/>
        <w:gridCol w:w="6686"/>
        <w:gridCol w:w="1187"/>
      </w:tblGrid>
      <w:tr w:rsidR="00353963" w:rsidRPr="00353963" w:rsidTr="00353963">
        <w:trPr>
          <w:tblCellSpacing w:w="0" w:type="dxa"/>
        </w:trPr>
        <w:tc>
          <w:tcPr>
            <w:tcW w:w="1787" w:type="dxa"/>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353963" w:rsidRPr="00353963" w:rsidRDefault="00353963" w:rsidP="00353963">
            <w:pPr>
              <w:spacing w:before="100" w:beforeAutospacing="1"/>
              <w:jc w:val="center"/>
              <w:rPr>
                <w:rFonts w:ascii="Times New Roman" w:eastAsia="Times New Roman" w:hAnsi="Times New Roman" w:cs="Times New Roman"/>
                <w:lang w:eastAsia="fr-FR"/>
              </w:rPr>
            </w:pPr>
            <w:r w:rsidRPr="00353963">
              <w:rPr>
                <w:rFonts w:ascii="Times New Roman" w:eastAsia="Times New Roman" w:hAnsi="Times New Roman" w:cs="Times New Roman"/>
                <w:sz w:val="22"/>
                <w:szCs w:val="22"/>
                <w:lang w:eastAsia="fr-FR"/>
              </w:rPr>
              <w:t>fondement *</w:t>
            </w:r>
          </w:p>
        </w:tc>
        <w:tc>
          <w:tcPr>
            <w:tcW w:w="6686" w:type="dxa"/>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353963" w:rsidRPr="00353963" w:rsidRDefault="00353963" w:rsidP="00353963">
            <w:pPr>
              <w:spacing w:before="100" w:beforeAutospacing="1"/>
              <w:jc w:val="center"/>
              <w:rPr>
                <w:rFonts w:ascii="Times New Roman" w:eastAsia="Times New Roman" w:hAnsi="Times New Roman" w:cs="Times New Roman"/>
                <w:lang w:eastAsia="fr-FR"/>
              </w:rPr>
            </w:pPr>
            <w:r w:rsidRPr="00353963">
              <w:rPr>
                <w:rFonts w:ascii="Times New Roman" w:eastAsia="Times New Roman" w:hAnsi="Times New Roman" w:cs="Times New Roman"/>
                <w:sz w:val="22"/>
                <w:szCs w:val="22"/>
                <w:lang w:eastAsia="fr-FR"/>
              </w:rPr>
              <w:t>objet</w:t>
            </w:r>
          </w:p>
        </w:tc>
        <w:tc>
          <w:tcPr>
            <w:tcW w:w="1187" w:type="dxa"/>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hideMark/>
          </w:tcPr>
          <w:p w:rsidR="00353963" w:rsidRPr="00353963" w:rsidRDefault="00353963" w:rsidP="00353963">
            <w:pPr>
              <w:spacing w:before="100" w:beforeAutospacing="1"/>
              <w:jc w:val="center"/>
              <w:rPr>
                <w:rFonts w:ascii="Times New Roman" w:eastAsia="Times New Roman" w:hAnsi="Times New Roman" w:cs="Times New Roman"/>
                <w:lang w:eastAsia="fr-FR"/>
              </w:rPr>
            </w:pPr>
            <w:r w:rsidRPr="00353963">
              <w:rPr>
                <w:rFonts w:ascii="Times New Roman" w:eastAsia="Times New Roman" w:hAnsi="Times New Roman" w:cs="Times New Roman"/>
                <w:sz w:val="22"/>
                <w:szCs w:val="22"/>
                <w:lang w:eastAsia="fr-FR"/>
              </w:rPr>
              <w:t>nature</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article 3.2</w:t>
            </w: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emplois ou catégories d'emplois figurant à l'annexe du décret n°84-38 du 18 janvier 1984 dit « décret-liste »</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CDD ou CDI</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article 3-3</w:t>
            </w: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Emplois permanents pour lesquels il est autorisé de recruter des agents contractuels en application du décret-liste n°84-38</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CDI</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article 4-1</w:t>
            </w: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lorsqu'il n'existe pas de corps de fonctionnaires susceptibles d'assurer les fonctions correspondantes</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CDD ou CDI</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article 4-2</w:t>
            </w: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lorsque la nature des fonctions ou les besoins des services le justifient (au MCC, réservé au recrutement du niveau de la catégorie A, selon la loi)</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CDD ou CDI</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 xml:space="preserve">article 6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18"/>
                <w:szCs w:val="18"/>
                <w:lang w:eastAsia="fr-FR"/>
              </w:rPr>
              <w:t>(ancien article 6-1)</w:t>
            </w: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 xml:space="preserve">fonctions correspondant à un besoin permanent à temps incomplet </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CDD ou CDI</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article 6 quater</w:t>
            </w:r>
          </w:p>
          <w:p w:rsidR="00353963" w:rsidRPr="00353963" w:rsidRDefault="00353963" w:rsidP="00353963">
            <w:pPr>
              <w:spacing w:before="100" w:beforeAutospacing="1"/>
              <w:rPr>
                <w:rFonts w:ascii="Times New Roman" w:eastAsia="Times New Roman" w:hAnsi="Times New Roman" w:cs="Times New Roman"/>
                <w:lang w:eastAsia="fr-FR"/>
              </w:rPr>
            </w:pP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remplacement momentané de fonctionnaires ou d'agents contractuels autorisés à exercer leurs fonctions à temps partiel ou indisponibles en raison d'un congé annuel, d'un congé de maladie, de grave ou de longue maladie, d'un congé de longue durée, d'un congé de maternité ou pour adoption, d'un congé parental, d'un congé de présence parentale, d'un congé de solidarité familiale, de l'accomplissement du service civil ou national, du rappel ou du maintien sous les drapeaux, de leur participation à des activités dans le cadre des réserves opérationnelles, de sécurité civile ou sanitaire ou en raison de tout autre congé régulièrement octroyé en application des dispositions réglementaires applicables aux agents contractuels de l'Etat</w:t>
            </w:r>
            <w:r w:rsidRPr="00353963">
              <w:rPr>
                <w:rFonts w:ascii="Times New Roman" w:eastAsia="Times New Roman" w:hAnsi="Times New Roman" w:cs="Times New Roman"/>
                <w:lang w:eastAsia="fr-FR"/>
              </w:rPr>
              <w:t xml:space="preserve"> </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CDD</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article 6 quinquies</w:t>
            </w:r>
          </w:p>
          <w:p w:rsidR="00353963" w:rsidRPr="00353963" w:rsidRDefault="00353963" w:rsidP="00353963">
            <w:pPr>
              <w:spacing w:before="100" w:beforeAutospacing="1"/>
              <w:rPr>
                <w:rFonts w:ascii="Times New Roman" w:eastAsia="Times New Roman" w:hAnsi="Times New Roman" w:cs="Times New Roman"/>
                <w:lang w:eastAsia="fr-FR"/>
              </w:rPr>
            </w:pP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 xml:space="preserve">pour faire face à une vacance temporaire d'emploi dans l'attente du recrutement d'un fonctionnaire. </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CDD</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article 6 sexies (ancien article 6-2)</w:t>
            </w:r>
          </w:p>
          <w:p w:rsidR="00353963" w:rsidRPr="00353963" w:rsidRDefault="00353963" w:rsidP="00353963">
            <w:pPr>
              <w:spacing w:before="100" w:beforeAutospacing="1"/>
              <w:rPr>
                <w:rFonts w:ascii="Times New Roman" w:eastAsia="Times New Roman" w:hAnsi="Times New Roman" w:cs="Times New Roman"/>
                <w:lang w:eastAsia="fr-FR"/>
              </w:rPr>
            </w:pP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 xml:space="preserve">pour faire face à un accroissement temporaire ou saisonnier d'activité lorsque cette charge ne peut être assurée par des fonctionnaires. </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CDD</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Article 8 de la loi n°2012-347 (Sauvadet)</w:t>
            </w: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 xml:space="preserve">Transformation des CDD en CDI dans les conditions prévues par la loi Sauvadet. </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CDI</w:t>
            </w:r>
          </w:p>
        </w:tc>
      </w:tr>
      <w:tr w:rsidR="00353963" w:rsidRPr="00353963" w:rsidTr="00353963">
        <w:trPr>
          <w:tblCellSpacing w:w="0" w:type="dxa"/>
        </w:trPr>
        <w:tc>
          <w:tcPr>
            <w:tcW w:w="1787"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Détachement sur contrat</w:t>
            </w:r>
          </w:p>
        </w:tc>
        <w:tc>
          <w:tcPr>
            <w:tcW w:w="6686"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Fonctionnaire détaché sur contrat</w:t>
            </w:r>
          </w:p>
        </w:tc>
        <w:tc>
          <w:tcPr>
            <w:tcW w:w="1187"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CDD</w:t>
            </w:r>
          </w:p>
        </w:tc>
      </w:tr>
    </w:tbl>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sz w:val="20"/>
          <w:szCs w:val="20"/>
          <w:lang w:eastAsia="fr-FR"/>
        </w:rPr>
        <w:t>* articles de la loi n°84-16 du 11 janvier 1984</w:t>
      </w:r>
    </w:p>
    <w:p w:rsidR="00353963" w:rsidRPr="00353963" w:rsidRDefault="00353963" w:rsidP="00353963">
      <w:pPr>
        <w:spacing w:before="100" w:beforeAutospacing="1" w:after="119" w:line="360" w:lineRule="auto"/>
        <w:outlineLvl w:val="2"/>
        <w:rPr>
          <w:rFonts w:ascii="Liberation Sans" w:eastAsia="Times New Roman" w:hAnsi="Liberation Sans" w:cs="Liberation Sans"/>
          <w:b/>
          <w:bCs/>
          <w:lang w:eastAsia="fr-FR"/>
        </w:rPr>
      </w:pPr>
      <w:bookmarkStart w:id="20" w:name="__RefHeading__3214_224763442"/>
      <w:bookmarkEnd w:id="20"/>
      <w:r w:rsidRPr="00353963">
        <w:rPr>
          <w:rFonts w:ascii="Liberation Sans" w:eastAsia="Times New Roman" w:hAnsi="Liberation Sans" w:cs="Liberation Sans"/>
          <w:b/>
          <w:bCs/>
          <w:lang w:eastAsia="fr-FR"/>
        </w:rPr>
        <w:lastRenderedPageBreak/>
        <w:t xml:space="preserve">2.4.8 Quotité </w:t>
      </w:r>
    </w:p>
    <w:p w:rsidR="00353963" w:rsidRPr="00353963" w:rsidRDefault="00353963" w:rsidP="00353963">
      <w:pPr>
        <w:spacing w:before="100" w:beforeAutospacing="1" w:line="360" w:lineRule="auto"/>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Deux types de cas doivent être distingués pour renseigner cette colonne :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 </w:t>
      </w:r>
      <w:r w:rsidRPr="00353963">
        <w:rPr>
          <w:rFonts w:ascii="Times New Roman" w:eastAsia="Times New Roman" w:hAnsi="Times New Roman" w:cs="Times New Roman"/>
          <w:color w:val="000000"/>
          <w:u w:val="single"/>
          <w:lang w:eastAsia="fr-FR"/>
        </w:rPr>
        <w:t>les agents recrutés à temps incomplet</w:t>
      </w:r>
      <w:r w:rsidRPr="00353963">
        <w:rPr>
          <w:rFonts w:ascii="Times New Roman" w:eastAsia="Times New Roman" w:hAnsi="Times New Roman" w:cs="Times New Roman"/>
          <w:color w:val="000000"/>
          <w:lang w:eastAsia="fr-FR"/>
        </w:rPr>
        <w:t xml:space="preserve"> : il s'agit de contrats dont le besoin initial repose sur un temps incomplet et dont la quotité est inférieure ou égale à 70% (fondement de recrutement : articles 6 et 6 sexies de la loi n°84-16 du 11 janvier 1984)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 </w:t>
      </w:r>
      <w:r w:rsidRPr="00353963">
        <w:rPr>
          <w:rFonts w:ascii="Times New Roman" w:eastAsia="Times New Roman" w:hAnsi="Times New Roman" w:cs="Times New Roman"/>
          <w:color w:val="000000"/>
          <w:u w:val="single"/>
          <w:lang w:eastAsia="fr-FR"/>
        </w:rPr>
        <w:t>les agents à temps plein ou à temps partiel</w:t>
      </w:r>
      <w:r w:rsidRPr="00353963">
        <w:rPr>
          <w:rFonts w:ascii="Times New Roman" w:eastAsia="Times New Roman" w:hAnsi="Times New Roman" w:cs="Times New Roman"/>
          <w:color w:val="000000"/>
          <w:lang w:eastAsia="fr-FR"/>
        </w:rPr>
        <w:t xml:space="preserve"> : un agent à temps plein aura une quotité de 100% ; un agent qui a fait le choix de travailler à temps partiel aura une quotité égale à 50%, 60%, 70%, 80% ou 90%.</w:t>
      </w:r>
    </w:p>
    <w:p w:rsidR="00353963" w:rsidRDefault="00353963" w:rsidP="00353963">
      <w:pPr>
        <w:spacing w:before="100" w:beforeAutospacing="1"/>
        <w:rPr>
          <w:rFonts w:ascii="Times New Roman" w:eastAsia="Times New Roman" w:hAnsi="Times New Roman" w:cs="Times New Roman"/>
          <w:color w:val="000000"/>
          <w:lang w:eastAsia="fr-FR"/>
        </w:rPr>
      </w:pPr>
      <w:r w:rsidRPr="00353963">
        <w:rPr>
          <w:rFonts w:ascii="Times New Roman" w:eastAsia="Times New Roman" w:hAnsi="Times New Roman" w:cs="Times New Roman"/>
          <w:color w:val="000000"/>
          <w:lang w:eastAsia="fr-FR"/>
        </w:rPr>
        <w:t>Le format de la colonne du tableau est en pourcentage.</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Pour mémoire, la quotité de temps de travail est différente du calcul en ETPT qui prend en compte à la fois la quotité de temps de travail mais aussi la présence de l'agent sur une année. </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21" w:name="__RefHeading__3216_224763442"/>
      <w:bookmarkEnd w:id="21"/>
      <w:r w:rsidRPr="00353963">
        <w:rPr>
          <w:rFonts w:ascii="Liberation Sans" w:eastAsia="Times New Roman" w:hAnsi="Liberation Sans" w:cs="Liberation Sans"/>
          <w:b/>
          <w:bCs/>
          <w:lang w:eastAsia="fr-FR"/>
        </w:rPr>
        <w:t>2.4.9. ETPT (équivalent temps plein travaillé)</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Cela consiste à renseigner l’effectif temps plein travaillé par agent concernant l’année 2013.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Même si l'agent est parti au cours de l'année 2013, il doit figurer dans l'enquête puisqu'il consomme le plafond d'emplois.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A titre d’exemples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un agent à temps plein (quotité de travail = 100 %) présent toute l’année correspond à 1 ETPT.</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un agent à temps partiel, à 80 % (quotité de travail = 80 %) présent toute l’année correspond à 0,8 ETPT.</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un agent à temps partiel, à 80 % (quotité de travail = 80 %) présent la moitié de l’année correspond à 0,4 ETPT (exemple : recrutement à mi-année, CDD de 6 mois, correspond à 0,8*6/12 = 0,4 ETPT ).</w:t>
      </w:r>
    </w:p>
    <w:p w:rsidR="00353963" w:rsidRPr="00353963" w:rsidRDefault="00353963" w:rsidP="00353963">
      <w:pPr>
        <w:spacing w:before="100" w:beforeAutospacing="1"/>
        <w:ind w:left="720"/>
        <w:rPr>
          <w:rFonts w:ascii="Times New Roman" w:eastAsia="Times New Roman" w:hAnsi="Times New Roman" w:cs="Times New Roman"/>
          <w:lang w:eastAsia="fr-FR"/>
        </w:rPr>
      </w:pPr>
      <w:r w:rsidRPr="00353963">
        <w:rPr>
          <w:rFonts w:ascii="Times New Roman" w:eastAsia="Times New Roman" w:hAnsi="Times New Roman" w:cs="Times New Roman"/>
          <w:color w:val="000000"/>
          <w:u w:val="single"/>
          <w:lang w:eastAsia="fr-FR"/>
        </w:rPr>
        <w:t>Précisions sur les modalités de comptabilisation en ETPT des personnels enseignants</w:t>
      </w:r>
      <w:r w:rsidRPr="00353963">
        <w:rPr>
          <w:rFonts w:ascii="Times New Roman" w:eastAsia="Times New Roman" w:hAnsi="Times New Roman" w:cs="Times New Roman"/>
          <w:color w:val="000000"/>
          <w:lang w:eastAsia="fr-FR"/>
        </w:rPr>
        <w:t>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lang w:eastAsia="fr-FR"/>
        </w:rPr>
        <w:t>Compte tenu des obligations de services différents pour les enseignants en fonction des établissements d'enseignement supérieur Culture, il est demandé aux écoles de s’appuyer sur le référentiel ci-dessous pour calculer les ETPT du corps enseignant.</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ind w:left="709"/>
        <w:rPr>
          <w:rFonts w:ascii="Times New Roman" w:eastAsia="Times New Roman" w:hAnsi="Times New Roman" w:cs="Times New Roman"/>
          <w:lang w:eastAsia="fr-FR"/>
        </w:rPr>
      </w:pPr>
      <w:r w:rsidRPr="00353963">
        <w:rPr>
          <w:rFonts w:ascii="Times New Roman" w:eastAsia="Times New Roman" w:hAnsi="Times New Roman" w:cs="Times New Roman"/>
          <w:u w:val="single"/>
          <w:lang w:eastAsia="fr-FR"/>
        </w:rPr>
        <w:t>Pour les écoles d’architecture :</w:t>
      </w:r>
    </w:p>
    <w:p w:rsidR="00353963" w:rsidRPr="00353963" w:rsidRDefault="00353963" w:rsidP="00353963">
      <w:pPr>
        <w:spacing w:before="100" w:beforeAutospacing="1"/>
        <w:ind w:hanging="17"/>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Le décret de référence est le n° 94-262 du 1</w:t>
      </w:r>
      <w:r w:rsidRPr="00353963">
        <w:rPr>
          <w:rFonts w:ascii="Times New Roman" w:eastAsia="Times New Roman" w:hAnsi="Times New Roman" w:cs="Times New Roman"/>
          <w:color w:val="000000"/>
          <w:vertAlign w:val="superscript"/>
          <w:lang w:eastAsia="fr-FR"/>
        </w:rPr>
        <w:t>er</w:t>
      </w:r>
      <w:r w:rsidRPr="00353963">
        <w:rPr>
          <w:rFonts w:ascii="Times New Roman" w:eastAsia="Times New Roman" w:hAnsi="Times New Roman" w:cs="Times New Roman"/>
          <w:color w:val="000000"/>
          <w:lang w:eastAsia="fr-FR"/>
        </w:rPr>
        <w:t xml:space="preserve"> avril 1994. </w:t>
      </w:r>
    </w:p>
    <w:p w:rsidR="00353963" w:rsidRPr="00353963" w:rsidRDefault="00353963" w:rsidP="00353963">
      <w:pPr>
        <w:spacing w:before="100" w:beforeAutospacing="1"/>
        <w:rPr>
          <w:rFonts w:ascii="Times New Roman" w:eastAsia="Times New Roman" w:hAnsi="Times New Roman" w:cs="Times New Roman"/>
          <w:lang w:eastAsia="fr-FR"/>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3018"/>
        <w:gridCol w:w="3019"/>
        <w:gridCol w:w="3019"/>
      </w:tblGrid>
      <w:tr w:rsidR="00353963" w:rsidRPr="00353963" w:rsidTr="00353963">
        <w:trPr>
          <w:tblCellSpacing w:w="0" w:type="dxa"/>
        </w:trPr>
        <w:tc>
          <w:tcPr>
            <w:tcW w:w="16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shd w:val="clear" w:color="auto" w:fill="CCCCCC"/>
                <w:lang w:eastAsia="fr-FR"/>
              </w:rPr>
              <w:t>Nature des enseignements</w:t>
            </w:r>
          </w:p>
        </w:tc>
        <w:tc>
          <w:tcPr>
            <w:tcW w:w="16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shd w:val="clear" w:color="auto" w:fill="CCCCCC"/>
                <w:lang w:eastAsia="fr-FR"/>
              </w:rPr>
              <w:t>Nombre d'heures annuelles d'enseignement</w:t>
            </w:r>
          </w:p>
        </w:tc>
        <w:tc>
          <w:tcPr>
            <w:tcW w:w="1650" w:type="pct"/>
            <w:tcBorders>
              <w:top w:val="single" w:sz="6" w:space="0" w:color="000000"/>
              <w:left w:val="single" w:sz="6" w:space="0" w:color="000000"/>
              <w:bottom w:val="single" w:sz="6" w:space="0" w:color="000000"/>
              <w:right w:val="single" w:sz="6" w:space="0" w:color="000000"/>
            </w:tcBorders>
            <w:shd w:val="clear" w:color="auto" w:fill="CCCCCC"/>
            <w:tcMar>
              <w:top w:w="57"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shd w:val="clear" w:color="auto" w:fill="CCCCCC"/>
                <w:lang w:eastAsia="fr-FR"/>
              </w:rPr>
              <w:t>Equivalence en ETPT</w:t>
            </w:r>
          </w:p>
        </w:tc>
      </w:tr>
      <w:tr w:rsidR="00353963" w:rsidRPr="00353963" w:rsidTr="00353963">
        <w:trPr>
          <w:tblCellSpacing w:w="0" w:type="dxa"/>
        </w:trPr>
        <w:tc>
          <w:tcPr>
            <w:tcW w:w="16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Cours magistraux</w:t>
            </w:r>
          </w:p>
        </w:tc>
        <w:tc>
          <w:tcPr>
            <w:tcW w:w="16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192 heures</w:t>
            </w:r>
          </w:p>
        </w:tc>
        <w:tc>
          <w:tcPr>
            <w:tcW w:w="16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r w:rsidR="00353963" w:rsidRPr="00353963" w:rsidTr="00353963">
        <w:trPr>
          <w:tblCellSpacing w:w="0" w:type="dxa"/>
        </w:trPr>
        <w:tc>
          <w:tcPr>
            <w:tcW w:w="16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Travaux dirigés</w:t>
            </w:r>
          </w:p>
        </w:tc>
        <w:tc>
          <w:tcPr>
            <w:tcW w:w="16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320 heures</w:t>
            </w:r>
          </w:p>
        </w:tc>
        <w:tc>
          <w:tcPr>
            <w:tcW w:w="16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bl>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Les enseignants contractuels ont les mêmes obligations de service que  celles qui sont applicables aux enseignants titulaires.</w:t>
      </w:r>
    </w:p>
    <w:p w:rsidR="00353963" w:rsidRPr="00353963" w:rsidRDefault="00353963" w:rsidP="00353963">
      <w:pPr>
        <w:spacing w:before="100" w:beforeAutospacing="1"/>
        <w:ind w:left="709"/>
        <w:rPr>
          <w:rFonts w:ascii="Times New Roman" w:eastAsia="Times New Roman" w:hAnsi="Times New Roman" w:cs="Times New Roman"/>
          <w:lang w:eastAsia="fr-FR"/>
        </w:rPr>
      </w:pPr>
      <w:r w:rsidRPr="00353963">
        <w:rPr>
          <w:rFonts w:ascii="Times New Roman" w:eastAsia="Times New Roman" w:hAnsi="Times New Roman" w:cs="Times New Roman"/>
          <w:u w:val="single"/>
          <w:lang w:eastAsia="fr-FR"/>
        </w:rPr>
        <w:t>Pour les écoles d’art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Le décret de référence est le n°2002-1520 du 23 Décembre 2002. Toutefois, compte-tenu de modalités de décompte des ETPT variables d’un établissement à un autre, voici les normes à retenir pour l’enquête :</w:t>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2264"/>
        <w:gridCol w:w="2264"/>
        <w:gridCol w:w="2264"/>
        <w:gridCol w:w="2264"/>
      </w:tblGrid>
      <w:tr w:rsidR="00353963" w:rsidRPr="00353963" w:rsidTr="00353963">
        <w:trPr>
          <w:tblCellSpacing w:w="0" w:type="dxa"/>
        </w:trPr>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Catégorie d'enseignants</w:t>
            </w:r>
          </w:p>
        </w:tc>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Nombre d'heures hebdomadaires d'enseignement</w:t>
            </w:r>
          </w:p>
        </w:tc>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Nombre d'heures annuelles d'enseignement (sur 28 semaines)</w:t>
            </w:r>
          </w:p>
        </w:tc>
        <w:tc>
          <w:tcPr>
            <w:tcW w:w="1250" w:type="pct"/>
            <w:tcBorders>
              <w:top w:val="single" w:sz="6" w:space="0" w:color="000000"/>
              <w:left w:val="single" w:sz="6" w:space="0" w:color="000000"/>
              <w:bottom w:val="single" w:sz="6" w:space="0" w:color="000000"/>
              <w:right w:val="single" w:sz="6" w:space="0" w:color="000000"/>
            </w:tcBorders>
            <w:shd w:val="clear" w:color="auto" w:fill="CCCCCC"/>
            <w:tcMar>
              <w:top w:w="57"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Equivalence ETPT</w:t>
            </w:r>
          </w:p>
        </w:tc>
      </w:tr>
      <w:tr w:rsidR="00353963" w:rsidRPr="00353963" w:rsidTr="00353963">
        <w:trPr>
          <w:tblCellSpacing w:w="0" w:type="dxa"/>
        </w:trPr>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Professeurs ENSA en régions et ENSBA</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16 heures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448 heures</w:t>
            </w:r>
          </w:p>
        </w:tc>
        <w:tc>
          <w:tcPr>
            <w:tcW w:w="12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r w:rsidR="00353963" w:rsidRPr="00353963" w:rsidTr="00353963">
        <w:trPr>
          <w:tblCellSpacing w:w="0" w:type="dxa"/>
        </w:trPr>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Professeurs ENSAD</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12 heures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336 heures</w:t>
            </w:r>
          </w:p>
        </w:tc>
        <w:tc>
          <w:tcPr>
            <w:tcW w:w="12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bl>
    <w:p w:rsidR="00353963" w:rsidRPr="00353963" w:rsidRDefault="00353963" w:rsidP="00353963">
      <w:pPr>
        <w:spacing w:before="100" w:beforeAutospacing="1"/>
        <w:ind w:left="709" w:firstLine="17"/>
        <w:rPr>
          <w:rFonts w:ascii="Times New Roman" w:eastAsia="Times New Roman" w:hAnsi="Times New Roman" w:cs="Times New Roman"/>
          <w:lang w:eastAsia="fr-FR"/>
        </w:rPr>
      </w:pPr>
      <w:r w:rsidRPr="00353963">
        <w:rPr>
          <w:rFonts w:ascii="Times New Roman" w:eastAsia="Times New Roman" w:hAnsi="Times New Roman" w:cs="Times New Roman"/>
          <w:color w:val="000000"/>
          <w:u w:val="single"/>
          <w:lang w:eastAsia="fr-FR"/>
        </w:rPr>
        <w:t>CNSMDP / CNSMDL :</w:t>
      </w:r>
      <w:r w:rsidRPr="00353963">
        <w:rPr>
          <w:rFonts w:ascii="Times New Roman" w:eastAsia="Times New Roman" w:hAnsi="Times New Roman" w:cs="Times New Roman"/>
          <w:color w:val="000000"/>
          <w:lang w:eastAsia="fr-FR"/>
        </w:rPr>
        <w:t xml:space="preserve"> </w:t>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2264"/>
        <w:gridCol w:w="2264"/>
        <w:gridCol w:w="2264"/>
        <w:gridCol w:w="2264"/>
      </w:tblGrid>
      <w:tr w:rsidR="00353963" w:rsidRPr="00353963" w:rsidTr="00353963">
        <w:trPr>
          <w:tblCellSpacing w:w="0" w:type="dxa"/>
        </w:trPr>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Catégorie d'enseignants</w:t>
            </w:r>
          </w:p>
        </w:tc>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Nombre d'heures hebdomadaires d'enseignement</w:t>
            </w:r>
          </w:p>
        </w:tc>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Nombre d'heures annuelles d'enseignement (sur 32 semaines)</w:t>
            </w:r>
          </w:p>
        </w:tc>
        <w:tc>
          <w:tcPr>
            <w:tcW w:w="1250" w:type="pct"/>
            <w:tcBorders>
              <w:top w:val="single" w:sz="6" w:space="0" w:color="000000"/>
              <w:left w:val="single" w:sz="6" w:space="0" w:color="000000"/>
              <w:bottom w:val="single" w:sz="6" w:space="0" w:color="000000"/>
              <w:right w:val="single" w:sz="6" w:space="0" w:color="000000"/>
            </w:tcBorders>
            <w:shd w:val="clear" w:color="auto" w:fill="CCCCCC"/>
            <w:tcMar>
              <w:top w:w="57"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Equivalence ETPT</w:t>
            </w:r>
          </w:p>
        </w:tc>
      </w:tr>
      <w:tr w:rsidR="00353963" w:rsidRPr="00353963" w:rsidTr="00353963">
        <w:trPr>
          <w:tblCellSpacing w:w="0" w:type="dxa"/>
        </w:trPr>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 xml:space="preserve">Professeurs </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12 heures ou</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10 heures+2heures de coordination pédagogique</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384 heures</w:t>
            </w:r>
          </w:p>
        </w:tc>
        <w:tc>
          <w:tcPr>
            <w:tcW w:w="12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r w:rsidR="00353963" w:rsidRPr="00353963" w:rsidTr="00353963">
        <w:trPr>
          <w:tblCellSpacing w:w="0" w:type="dxa"/>
        </w:trPr>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Professeurs associés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12 heures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384 heures</w:t>
            </w:r>
          </w:p>
        </w:tc>
        <w:tc>
          <w:tcPr>
            <w:tcW w:w="12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r w:rsidR="00353963" w:rsidRPr="00353963" w:rsidTr="00353963">
        <w:trPr>
          <w:tblCellSpacing w:w="0" w:type="dxa"/>
        </w:trPr>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Assistants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16 heures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512 heures</w:t>
            </w:r>
          </w:p>
        </w:tc>
        <w:tc>
          <w:tcPr>
            <w:tcW w:w="12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r w:rsidR="00353963" w:rsidRPr="00353963" w:rsidTr="00353963">
        <w:trPr>
          <w:tblCellSpacing w:w="0" w:type="dxa"/>
        </w:trPr>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Accompagnateurs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18 heures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576 heures</w:t>
            </w:r>
          </w:p>
        </w:tc>
        <w:tc>
          <w:tcPr>
            <w:tcW w:w="12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bl>
    <w:p w:rsidR="00353963" w:rsidRPr="00353963" w:rsidRDefault="00353963" w:rsidP="00353963">
      <w:pPr>
        <w:spacing w:before="100" w:beforeAutospacing="1"/>
        <w:ind w:left="709" w:hanging="363"/>
        <w:rPr>
          <w:rFonts w:ascii="Times New Roman" w:eastAsia="Times New Roman" w:hAnsi="Times New Roman" w:cs="Times New Roman"/>
          <w:lang w:eastAsia="fr-FR"/>
        </w:rPr>
      </w:pPr>
      <w:r w:rsidRPr="00353963">
        <w:rPr>
          <w:rFonts w:ascii="Times New Roman" w:eastAsia="Times New Roman" w:hAnsi="Times New Roman" w:cs="Times New Roman"/>
          <w:color w:val="000000"/>
          <w:u w:val="single"/>
          <w:lang w:eastAsia="fr-FR"/>
        </w:rPr>
        <w:t xml:space="preserve">CNSAD : </w:t>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2264"/>
        <w:gridCol w:w="2264"/>
        <w:gridCol w:w="2264"/>
        <w:gridCol w:w="2264"/>
      </w:tblGrid>
      <w:tr w:rsidR="00353963" w:rsidRPr="00353963" w:rsidTr="00353963">
        <w:trPr>
          <w:tblCellSpacing w:w="0" w:type="dxa"/>
        </w:trPr>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Catégorie d'enseignants</w:t>
            </w:r>
          </w:p>
        </w:tc>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Nombre d'heures hebdomadaires d'enseignement</w:t>
            </w:r>
          </w:p>
        </w:tc>
        <w:tc>
          <w:tcPr>
            <w:tcW w:w="1250" w:type="pct"/>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Nombre d'heures annuelles d'enseignement (sur 32 semaines)</w:t>
            </w:r>
          </w:p>
        </w:tc>
        <w:tc>
          <w:tcPr>
            <w:tcW w:w="1250" w:type="pct"/>
            <w:tcBorders>
              <w:top w:val="single" w:sz="6" w:space="0" w:color="000000"/>
              <w:left w:val="single" w:sz="6" w:space="0" w:color="000000"/>
              <w:bottom w:val="single" w:sz="6" w:space="0" w:color="000000"/>
              <w:right w:val="single" w:sz="6" w:space="0" w:color="000000"/>
            </w:tcBorders>
            <w:shd w:val="clear" w:color="auto" w:fill="CCCCCC"/>
            <w:tcMar>
              <w:top w:w="57"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sz w:val="20"/>
                <w:szCs w:val="20"/>
                <w:lang w:eastAsia="fr-FR"/>
              </w:rPr>
              <w:t>Equivalence ETPT</w:t>
            </w:r>
          </w:p>
        </w:tc>
      </w:tr>
      <w:tr w:rsidR="00353963" w:rsidRPr="00353963" w:rsidTr="00353963">
        <w:trPr>
          <w:tblCellSpacing w:w="0" w:type="dxa"/>
        </w:trPr>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Professeurs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12 heures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384 heures</w:t>
            </w:r>
          </w:p>
        </w:tc>
        <w:tc>
          <w:tcPr>
            <w:tcW w:w="12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r w:rsidR="00353963" w:rsidRPr="00353963" w:rsidTr="00353963">
        <w:trPr>
          <w:tblCellSpacing w:w="0" w:type="dxa"/>
        </w:trPr>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Accompagnateurs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8 heures</w:t>
            </w:r>
          </w:p>
        </w:tc>
        <w:tc>
          <w:tcPr>
            <w:tcW w:w="1250" w:type="pct"/>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256 heures</w:t>
            </w:r>
          </w:p>
        </w:tc>
        <w:tc>
          <w:tcPr>
            <w:tcW w:w="125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sz w:val="20"/>
                <w:szCs w:val="20"/>
                <w:lang w:eastAsia="fr-FR"/>
              </w:rPr>
              <w:t>1 ETPT</w:t>
            </w:r>
          </w:p>
        </w:tc>
      </w:tr>
    </w:tbl>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22" w:name="__RefHeading__4438_224763442"/>
      <w:bookmarkEnd w:id="22"/>
      <w:r w:rsidRPr="00353963">
        <w:rPr>
          <w:rFonts w:ascii="Liberation Sans" w:eastAsia="Times New Roman" w:hAnsi="Liberation Sans" w:cs="Liberation Sans"/>
          <w:b/>
          <w:bCs/>
          <w:lang w:eastAsia="fr-FR"/>
        </w:rPr>
        <w:t>2.4.10. Familles de métiers</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 xml:space="preserve">Cette donnée est à remplir à l’aide d’un menu déroulant.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Les familles métiers correspondent aux "</w:t>
      </w:r>
      <w:r w:rsidRPr="00353963">
        <w:rPr>
          <w:rFonts w:ascii="Times New Roman" w:eastAsia="Times New Roman" w:hAnsi="Times New Roman" w:cs="Times New Roman"/>
          <w:b/>
          <w:bCs/>
          <w:color w:val="000000"/>
          <w:lang w:eastAsia="fr-FR"/>
        </w:rPr>
        <w:t>domaines fonctionnels</w:t>
      </w:r>
      <w:r w:rsidRPr="00353963">
        <w:rPr>
          <w:rFonts w:ascii="Times New Roman" w:eastAsia="Times New Roman" w:hAnsi="Times New Roman" w:cs="Times New Roman"/>
          <w:color w:val="000000"/>
          <w:lang w:eastAsia="fr-FR"/>
        </w:rPr>
        <w:t>" du répertoire des métiers du ministère de la culture et de la communication (RMCC). Ce répertoire est en libre accès sur l’intranet Sémaphore dans l’onglet « Ressources Humaines » puis dans la partie « Évolution et mobilité ». Vous y trouverez les emplois « types » par famille de métiers.</w:t>
      </w:r>
    </w:p>
    <w:p w:rsidR="00353963" w:rsidRDefault="00353963" w:rsidP="00353963">
      <w:pPr>
        <w:spacing w:before="100" w:beforeAutospacing="1"/>
        <w:rPr>
          <w:rFonts w:ascii="Times New Roman" w:eastAsia="Times New Roman" w:hAnsi="Times New Roman" w:cs="Times New Roman"/>
          <w:color w:val="000000"/>
          <w:lang w:eastAsia="fr-FR"/>
        </w:rPr>
      </w:pPr>
      <w:r w:rsidRPr="00353963">
        <w:rPr>
          <w:rFonts w:ascii="Times New Roman" w:eastAsia="Times New Roman" w:hAnsi="Times New Roman" w:cs="Times New Roman"/>
          <w:color w:val="000000"/>
          <w:lang w:eastAsia="fr-FR"/>
        </w:rPr>
        <w:lastRenderedPageBreak/>
        <w:t>Cette classification est en cohérence avec les différentes fonctions support et métier utilisées pour l'enquête OPUS en 2013.</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Liste de choix du menu déroulant :</w:t>
      </w:r>
    </w:p>
    <w:tbl>
      <w:tblPr>
        <w:tblW w:w="9852" w:type="dxa"/>
        <w:tblCellSpacing w:w="0" w:type="dxa"/>
        <w:tblCellMar>
          <w:top w:w="60" w:type="dxa"/>
          <w:left w:w="60" w:type="dxa"/>
          <w:bottom w:w="60" w:type="dxa"/>
          <w:right w:w="60" w:type="dxa"/>
        </w:tblCellMar>
        <w:tblLook w:val="04A0" w:firstRow="1" w:lastRow="0" w:firstColumn="1" w:lastColumn="0" w:noHBand="0" w:noVBand="1"/>
      </w:tblPr>
      <w:tblGrid>
        <w:gridCol w:w="3292"/>
        <w:gridCol w:w="3280"/>
        <w:gridCol w:w="3280"/>
      </w:tblGrid>
      <w:tr w:rsidR="00353963" w:rsidRPr="00353963" w:rsidTr="00983DC8">
        <w:trPr>
          <w:tblCellSpacing w:w="0" w:type="dxa"/>
        </w:trPr>
        <w:tc>
          <w:tcPr>
            <w:tcW w:w="3292" w:type="dxa"/>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t>Famille de métiers</w:t>
            </w:r>
          </w:p>
        </w:tc>
        <w:tc>
          <w:tcPr>
            <w:tcW w:w="3280" w:type="dxa"/>
            <w:tcBorders>
              <w:top w:val="single" w:sz="6" w:space="0" w:color="000000"/>
              <w:left w:val="single" w:sz="6" w:space="0" w:color="000000"/>
              <w:bottom w:val="single" w:sz="6" w:space="0" w:color="000000"/>
              <w:right w:val="nil"/>
            </w:tcBorders>
            <w:shd w:val="clear" w:color="auto" w:fill="CCCCCC"/>
            <w:tcMar>
              <w:top w:w="57"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t>Description</w:t>
            </w:r>
          </w:p>
        </w:tc>
        <w:tc>
          <w:tcPr>
            <w:tcW w:w="3280" w:type="dxa"/>
            <w:tcBorders>
              <w:top w:val="single" w:sz="6" w:space="0" w:color="000000"/>
              <w:left w:val="single" w:sz="6" w:space="0" w:color="000000"/>
              <w:bottom w:val="single" w:sz="6" w:space="0" w:color="000000"/>
              <w:right w:val="single" w:sz="6" w:space="0" w:color="000000"/>
            </w:tcBorders>
            <w:shd w:val="clear" w:color="auto" w:fill="CCCCCC"/>
            <w:tcMar>
              <w:top w:w="57"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t>Exemples d'emploi-type</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Élaboration et pilotage des politiques publiques</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Le ou les responsables de la structure qui pilotent, organisent, gèrent l’opérateur et mettent en œuvre les délibérations du Conseil d’Administration</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directeur, directeur adjoint</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Études et évaluation des politiques publiques – Prospective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Emplois qui contribuent à l’analyse et à la mesure de l’impact d’une politique publique, à son évaluation et à la mise en œuvre d’une démarche itérative d’aide à la décision</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Responsable de programmes d’études, chargé d’études, responsable de production et d’informations de base, chargé d’évaluation et de prospective</w:t>
            </w:r>
          </w:p>
        </w:tc>
      </w:tr>
      <w:tr w:rsidR="00353963" w:rsidRPr="00353963" w:rsidTr="00983DC8">
        <w:trPr>
          <w:trHeight w:val="672"/>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t>Sécurité et Sûreté</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 xml:space="preserve">Métiers liés à la protection des personnes et des biens </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agent de sûreté-sécurité, sapeur-pompier</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Contrôle et Expertise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relatifs aux contrôles, évaluations et audits internes aux administrations</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Responsable de l’activité d’inspection contrôle, responsable de mission d’inspection, chargé de la méthodologie et de l’appui au contrôle, chargé de l’évaluation interne des services, inspecteur santé et sécurité au travail, chargé de mission d’inspection conseil</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Éducation et Formation tout au long de la vie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liés à l’éducation, la formation et l’accompagnement des élèves, des apprentis et des adultes</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Responsable de service de scolarité, responsable de l’accompagnement des étudiants, assistant éducatif, concepteur organisateur d’actions de formation continue, formateur d’adultes</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Enseignement supérieur – Recherche </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liés à l'enseignement supérieur et à la recherche</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Cadre de direction d’établissement supérieur et de recherche, enseignant, métiers de la recherche</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Santé – Cohésion sociale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liés à la veille, à la prévention et à l’amélioration de l’état de santé général de la population et au fonctionnement du système de santé ainsi que ceux relatifs au développement de la cohésion sociale, de la solidarité et de la promotion de l’égalité</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Professionnels de santé, médecin de prévention, infirmier, psychologue, assistant social</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Services aux usagers</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Métiers de l’accueil et de l’information des usagers</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Chargé d'accueil et d'information, chargé d'information et de production de services</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 xml:space="preserve">Bâtiment – Infrastructures </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Métiers liés aux équipements, à la maintenance et l’exploitation, à l’immobilier</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Concepteur d'ouvrage et d'équipement, expert en infrastructures</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Accueil et surveillance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dont la finalité est de fournir une prestation aux usagers</w:t>
            </w:r>
            <w:r w:rsidRPr="00353963">
              <w:rPr>
                <w:rFonts w:ascii="Times New Roman" w:eastAsia="Times New Roman" w:hAnsi="Times New Roman" w:cs="Times New Roman"/>
                <w:lang w:eastAsia="fr-FR"/>
              </w:rPr>
              <w:t xml:space="preserve"> </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agents d’accueil et de surveillance, caissiers contrôleurs</w:t>
            </w:r>
          </w:p>
          <w:p w:rsidR="00353963" w:rsidRPr="00353963" w:rsidRDefault="00353963" w:rsidP="00353963">
            <w:pPr>
              <w:spacing w:before="100" w:beforeAutospacing="1"/>
              <w:rPr>
                <w:rFonts w:ascii="Times New Roman" w:eastAsia="Times New Roman" w:hAnsi="Times New Roman" w:cs="Times New Roman"/>
                <w:lang w:eastAsia="fr-FR"/>
              </w:rPr>
            </w:pPr>
          </w:p>
        </w:tc>
      </w:tr>
      <w:tr w:rsidR="00353963" w:rsidRPr="00353963" w:rsidTr="00983DC8">
        <w:trPr>
          <w:tblCellSpacing w:w="0" w:type="dxa"/>
        </w:trPr>
        <w:tc>
          <w:tcPr>
            <w:tcW w:w="3292" w:type="dxa"/>
            <w:tcBorders>
              <w:top w:val="nil"/>
              <w:left w:val="single" w:sz="6" w:space="0" w:color="000000"/>
              <w:bottom w:val="single" w:sz="6" w:space="0" w:color="000000"/>
              <w:right w:val="nil"/>
            </w:tcBorders>
            <w:shd w:val="clear" w:color="auto" w:fill="DDDDDD"/>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lastRenderedPageBreak/>
              <w:t>Famille de métiers</w:t>
            </w:r>
          </w:p>
        </w:tc>
        <w:tc>
          <w:tcPr>
            <w:tcW w:w="3280" w:type="dxa"/>
            <w:tcBorders>
              <w:top w:val="nil"/>
              <w:left w:val="single" w:sz="6" w:space="0" w:color="000000"/>
              <w:bottom w:val="single" w:sz="6" w:space="0" w:color="000000"/>
              <w:right w:val="nil"/>
            </w:tcBorders>
            <w:shd w:val="clear" w:color="auto" w:fill="DDDDDD"/>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t>Description</w:t>
            </w:r>
          </w:p>
        </w:tc>
        <w:tc>
          <w:tcPr>
            <w:tcW w:w="3280" w:type="dxa"/>
            <w:tcBorders>
              <w:top w:val="nil"/>
              <w:left w:val="single" w:sz="6" w:space="0" w:color="000000"/>
              <w:bottom w:val="single" w:sz="6" w:space="0" w:color="000000"/>
              <w:right w:val="single" w:sz="6" w:space="0" w:color="000000"/>
            </w:tcBorders>
            <w:shd w:val="clear" w:color="auto" w:fill="DDDDDD"/>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t>Exemples d'emploi-type</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Développement des publics et de la production culturelle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Métiers liés à la politique, au développement et à l’animation des publics, à la production et la programmation culturelle</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Responsable de politique des publics, chargé de développement des publics, chargé d'animation auprès des publics</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Spectacle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Métiers liés à la conception et à la production de spectacles, à l’animation de spectacles et d’événements, et à l’interprétation et la création artistique</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Responsable de conception ou de production de spectacles, chargé de conception ou de production de spectacles, chargé d'animation de spectacle et d'événement, technicien du spectacle</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Métiers d’art </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 xml:space="preserve">Métiers liés à la création des œuvres d’art, le développement des connaissances et des pratiques artistiques. </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Responsable d’atelier d’art, chargé de restauration d’œuvres et d’objets d’art, manufacturier d’art</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Conservation, architecture et patrimoine architectural</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sz w:val="20"/>
                <w:szCs w:val="20"/>
                <w:lang w:eastAsia="fr-FR"/>
              </w:rPr>
              <w:t>Métiers liés à la conservation, à la restauration et au contrôle de l’architecture, de l’urbanisme, de fonds patrimoniaux, d’archives, ainsi qu’aux métiers liés aux bibliothèques</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Responsable d'un service d'architecture, responsable de conservation et de restauration des patrimoines, chargé de conservation et de restauration des patrimoines</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Muséographie et gestion des œuvres d’art</w:t>
            </w:r>
            <w:r w:rsidRPr="00353963">
              <w:rPr>
                <w:rFonts w:ascii="Liberation Sans" w:eastAsia="Times New Roman" w:hAnsi="Liberation Sans" w:cs="Liberation Sans"/>
                <w:b/>
                <w:bCs/>
                <w:sz w:val="20"/>
                <w:szCs w:val="20"/>
                <w:lang w:eastAsia="fr-FR"/>
              </w:rPr>
              <w:t> </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 xml:space="preserve">Métiers qui contribuent à la sauvegarde, la protection et à la mise en valeur du patrimoine dans toutes ses composantes </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Architecte scénographe, réalisateur de dispositifs d’expositions d’œuvres, régisseur d’œuvres</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Édition et librairie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de l'édition et de la librairie</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Responsable d’une politique éditoriale, secrétaire d’édition, maquettiste-PAO</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Finances publiques</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relatifs à la gestion des finances publiques, en matière de ressources, de dépenses, d’établissement et de vérification des comptes publics</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Chargé de la comptabilité publique, chargé du contrôle et de l’exécution de la dépense publique (gestionnaires)</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Affaires générales </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qui contribuent au fonctionnement général des services de l’État et de leurs établissements publics notamment dans les domaines de l’assistance administrative, des achats, du management de la qualité, de la documentation et des archives</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Fonctions d’assistanat administratif (secrétaires, assistant de direction, gestionnaire administratif, assistant administratif, rédacteur), responsable des achats, de la qualité, gestionnaire des ressources documentaires, gestionnaire du courrier et des archives</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Gestion budgétaire et financière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liés à l’élaboration et au suivi de la programmation budgétaire, à l’exécution budgétaire et comptable, au pilotage et contrôle financier, à l’expertise financière et juridique</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Responsable budgétaire, responsable de gestion comptable, gestionnaire de ressources financières, contrôleur de gestion, auditeur financier interne (responsables)</w:t>
            </w:r>
          </w:p>
        </w:tc>
      </w:tr>
      <w:tr w:rsidR="00353963" w:rsidRPr="00353963" w:rsidTr="00344AE7">
        <w:trPr>
          <w:trHeight w:val="2133"/>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Affaires juridiques</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liés à l’élaboration, à l’analyse, et à la protection de la norme juridique ainsi qu’à la préservation du contentieux</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Cadre, consultant et assistant juridique</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shd w:val="clear" w:color="auto" w:fill="CCCCCC"/>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lastRenderedPageBreak/>
              <w:t>Famille de métiers</w:t>
            </w:r>
          </w:p>
        </w:tc>
        <w:tc>
          <w:tcPr>
            <w:tcW w:w="3280" w:type="dxa"/>
            <w:tcBorders>
              <w:top w:val="nil"/>
              <w:left w:val="single" w:sz="6" w:space="0" w:color="000000"/>
              <w:bottom w:val="single" w:sz="6" w:space="0" w:color="000000"/>
              <w:right w:val="nil"/>
            </w:tcBorders>
            <w:shd w:val="clear" w:color="auto" w:fill="CCCCCC"/>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t>Description</w:t>
            </w:r>
          </w:p>
        </w:tc>
        <w:tc>
          <w:tcPr>
            <w:tcW w:w="3280" w:type="dxa"/>
            <w:tcBorders>
              <w:top w:val="nil"/>
              <w:left w:val="single" w:sz="6" w:space="0" w:color="000000"/>
              <w:bottom w:val="single" w:sz="6" w:space="0" w:color="000000"/>
              <w:right w:val="single" w:sz="6" w:space="0" w:color="000000"/>
            </w:tcBorders>
            <w:shd w:val="clear" w:color="auto" w:fill="CCCCCC"/>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sz w:val="20"/>
                <w:szCs w:val="20"/>
                <w:lang w:eastAsia="fr-FR"/>
              </w:rPr>
              <w:t>Exemples d'emploi-type</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Logistique</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liés à la mise à disposition des ressources de matières, de matériels et de services dans le respect des règles d’hygiène et de sécurité</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Responsable d’un service ou d’un pôle « logistique et bâtiment », gestionnaire logistique, ouvrier de maintenance, agent d’entretien, cuisinier, serveur, conducteur de véhicules ou d’engins spéciaux, conducteur de moyens nautiques, imprimeur reprographe, magasinier, manutentionnaire</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Ressources humaines</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 xml:space="preserve">Métiers ayant pour objectif de gérer, mobiliser et développer les ressources humaines, valoriser l’engagement des personnels pour une plus grande efficience de l’institution </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Responsable de ressources humaines, chargé de gestion prévisionnelle des ressources humaines, conseiller mobilité carrière, chargé de formation, chargé de la prévention des risques professionnels, gestionnaire de personnel, gestionnaire de concours et examens professionnels, gestionnaire coordonnateur des dispositifs sociaux, chargé du dialogue social</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Systèmes et réseaux d’information et de communication</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 xml:space="preserve">Métiers qui concourent à la collecte, au stockage, au traitement, à la protection et à la diffusion des informations auprès des acteurs internes et externes, et qui en assurent l’intégrité et la sécurité </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Directeur, administrateur, responsable, urbaniste, chef de projet maîtrise d’ouvrage ou maîtrise d’œuvre, responsable de sécurité et expert en matière de systèmes et réseaux d’information et de communication, responsable de domaine métier, gestionnaire de données et de référentiels métier, pilote de la production, technicien d’exploitation et d’équipements locaux, concepteur développeur et intégrateur d’applications, architecte technique, assistant support</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Communication</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 xml:space="preserve">Métiers permettant de présenter et de promouvoir l’image des politiques publiques en direction de cibles internes et externes </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Directeur, responsable et chargé de communication, webmestre, chargé de la presse, chargé de la communication événementielle, responsable des campagnes de communication médias, chargé de l’audiovisuel, chef de projet multimédia, chargé de publication, créateur graphique, journaliste reporter audiovisuel</w:t>
            </w:r>
          </w:p>
        </w:tc>
      </w:tr>
      <w:tr w:rsidR="00353963" w:rsidRPr="00353963" w:rsidTr="00983DC8">
        <w:trPr>
          <w:tblCellSpacing w:w="0" w:type="dxa"/>
        </w:trPr>
        <w:tc>
          <w:tcPr>
            <w:tcW w:w="3292"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b/>
                <w:bCs/>
                <w:color w:val="000000"/>
                <w:sz w:val="20"/>
                <w:szCs w:val="20"/>
                <w:lang w:eastAsia="fr-FR"/>
              </w:rPr>
              <w:t>Développement des institutions</w:t>
            </w:r>
          </w:p>
        </w:tc>
        <w:tc>
          <w:tcPr>
            <w:tcW w:w="3280" w:type="dxa"/>
            <w:tcBorders>
              <w:top w:val="nil"/>
              <w:left w:val="single" w:sz="6" w:space="0" w:color="000000"/>
              <w:bottom w:val="single" w:sz="6" w:space="0" w:color="000000"/>
              <w:right w:val="nil"/>
            </w:tcBorders>
            <w:tcMar>
              <w:top w:w="0" w:type="dxa"/>
              <w:left w:w="57" w:type="dxa"/>
              <w:bottom w:w="57" w:type="dxa"/>
              <w:right w:w="0"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Métiers liés à la promotion et à la diffusion commerciale, aux relations internationales, et au mécénat et partenariats</w:t>
            </w:r>
          </w:p>
        </w:tc>
        <w:tc>
          <w:tcPr>
            <w:tcW w:w="328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sz w:val="20"/>
                <w:szCs w:val="20"/>
                <w:lang w:eastAsia="fr-FR"/>
              </w:rPr>
              <w:t>Responsable de promotion et de diffusion commerciale, responsable des relations internationales, chargé d'actions internationales</w:t>
            </w:r>
          </w:p>
        </w:tc>
      </w:tr>
    </w:tbl>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23" w:name="__RefHeading__3220_224763442"/>
      <w:bookmarkEnd w:id="23"/>
      <w:r w:rsidRPr="00353963">
        <w:rPr>
          <w:rFonts w:ascii="Liberation Sans" w:eastAsia="Times New Roman" w:hAnsi="Liberation Sans" w:cs="Liberation Sans"/>
          <w:b/>
          <w:bCs/>
          <w:lang w:eastAsia="fr-FR"/>
        </w:rPr>
        <w:lastRenderedPageBreak/>
        <w:t>2.4.11. Catégorie hiérarchique (A, B, C)</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Il convient de renseigner grâce à une liste déroulante le niveau de fonction de l’agent (A, B ou C), quel que soit le statut de l'agent (ANT ou fonctionnaire).</w:t>
      </w:r>
    </w:p>
    <w:p w:rsidR="00353963" w:rsidRPr="00353963" w:rsidRDefault="00353963" w:rsidP="00353963">
      <w:pPr>
        <w:spacing w:before="100" w:beforeAutospacing="1" w:after="240"/>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Pour les ANT, cette donnée doit désormais systématiquement figurer au contrat (articles 4 du décret n°86-83 modifié et article 43 du décret n°2014-364).</w:t>
      </w: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24" w:name="__RefHeading__3222_224763442"/>
      <w:bookmarkEnd w:id="24"/>
      <w:r w:rsidRPr="00353963">
        <w:rPr>
          <w:rFonts w:ascii="Liberation Sans" w:eastAsia="Times New Roman" w:hAnsi="Liberation Sans" w:cs="Liberation Sans"/>
          <w:b/>
          <w:bCs/>
          <w:lang w:eastAsia="fr-FR"/>
        </w:rPr>
        <w:t>2.4.12. Pour les ANT : groupe de rémunération</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lang w:eastAsia="fr-FR"/>
        </w:rPr>
        <w:t>Le groupe de rémunération est défini dans le cadre de gestion de vos agents non titulaires</w:t>
      </w:r>
      <w:r w:rsidRPr="00353963">
        <w:rPr>
          <w:rFonts w:ascii="Times New Roman" w:eastAsia="Times New Roman" w:hAnsi="Times New Roman" w:cs="Times New Roman"/>
          <w:color w:val="000000"/>
          <w:lang w:eastAsia="fr-FR"/>
        </w:rPr>
        <w:t xml:space="preserve"> </w:t>
      </w:r>
      <w:r w:rsidRPr="00353963">
        <w:rPr>
          <w:rFonts w:ascii="Liberation Sans" w:eastAsia="Times New Roman" w:hAnsi="Liberation Sans" w:cs="Liberation Sans"/>
          <w:color w:val="000000"/>
          <w:lang w:eastAsia="fr-FR"/>
        </w:rPr>
        <w:t>dès lors que vous en avez un, et tel qu’il a été validé en conseil d’administration.</w:t>
      </w:r>
      <w:r w:rsidRPr="00353963">
        <w:rPr>
          <w:rFonts w:ascii="Liberation Sans" w:eastAsia="Times New Roman" w:hAnsi="Liberation Sans" w:cs="Liberation Sans"/>
          <w:lang w:eastAsia="fr-FR"/>
        </w:rPr>
        <w:t xml:space="preserve">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b/>
          <w:bCs/>
          <w:lang w:eastAsia="fr-FR"/>
        </w:rPr>
        <w:t>Ce cadre de gestion devra être transmis avec le tableau renseigné</w:t>
      </w:r>
      <w:r w:rsidRPr="00353963">
        <w:rPr>
          <w:rFonts w:ascii="Times New Roman" w:eastAsia="Times New Roman" w:hAnsi="Times New Roman" w:cs="Times New Roman"/>
          <w:lang w:eastAsia="fr-FR"/>
        </w:rPr>
        <w:t>.</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lang w:eastAsia="fr-FR"/>
        </w:rPr>
        <w:t>Si vous ne dis</w:t>
      </w:r>
      <w:r w:rsidRPr="00353963">
        <w:rPr>
          <w:rFonts w:ascii="Liberation Sans" w:eastAsia="Times New Roman" w:hAnsi="Liberation Sans" w:cs="Liberation Sans"/>
          <w:lang w:eastAsia="fr-FR"/>
        </w:rPr>
        <w:t>posez pas d'un cadre de gestion de vos agents non titulaires, la colonne reste vide.</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2"/>
        <w:rPr>
          <w:rFonts w:ascii="Liberation Sans" w:eastAsia="Times New Roman" w:hAnsi="Liberation Sans" w:cs="Liberation Sans"/>
          <w:b/>
          <w:bCs/>
          <w:lang w:eastAsia="fr-FR"/>
        </w:rPr>
      </w:pPr>
      <w:bookmarkStart w:id="25" w:name="__RefHeading__3332_224763442"/>
      <w:bookmarkEnd w:id="25"/>
      <w:r w:rsidRPr="00353963">
        <w:rPr>
          <w:rFonts w:ascii="Liberation Sans" w:eastAsia="Times New Roman" w:hAnsi="Liberation Sans" w:cs="Liberation Sans"/>
          <w:b/>
          <w:bCs/>
          <w:lang w:eastAsia="fr-FR"/>
        </w:rPr>
        <w:t>2.4.13. Pour les ANT : Indice majoré du contrat</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Times New Roman" w:eastAsia="Times New Roman" w:hAnsi="Times New Roman" w:cs="Times New Roman"/>
          <w:color w:val="000000"/>
          <w:lang w:eastAsia="fr-FR"/>
        </w:rPr>
        <w:t>Renseigner l’indice majoré (IM) détenu par l'agent à la date du 31 décembre de l'année considérée ou à la date de départ.</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after="119"/>
        <w:outlineLvl w:val="0"/>
        <w:rPr>
          <w:rFonts w:ascii="Liberation Sans" w:eastAsia="Times New Roman" w:hAnsi="Liberation Sans" w:cs="Liberation Sans"/>
          <w:b/>
          <w:bCs/>
          <w:kern w:val="36"/>
          <w:sz w:val="32"/>
          <w:szCs w:val="32"/>
          <w:lang w:eastAsia="fr-FR"/>
        </w:rPr>
      </w:pPr>
      <w:bookmarkStart w:id="26" w:name="__RefHeading__3226_224763442"/>
      <w:bookmarkEnd w:id="26"/>
      <w:r w:rsidRPr="00353963">
        <w:rPr>
          <w:rFonts w:ascii="Liberation Sans" w:eastAsia="Times New Roman" w:hAnsi="Liberation Sans" w:cs="Liberation Sans"/>
          <w:b/>
          <w:bCs/>
          <w:kern w:val="36"/>
          <w:sz w:val="32"/>
          <w:szCs w:val="32"/>
          <w:lang w:eastAsia="fr-FR"/>
        </w:rPr>
        <w:t xml:space="preserve">3. </w:t>
      </w:r>
      <w:r w:rsidRPr="00353963">
        <w:rPr>
          <w:rFonts w:ascii="Liberation Sans" w:eastAsia="Times New Roman" w:hAnsi="Liberation Sans" w:cs="Liberation Sans"/>
          <w:b/>
          <w:bCs/>
          <w:kern w:val="36"/>
          <w:sz w:val="32"/>
          <w:szCs w:val="32"/>
          <w:u w:val="single"/>
          <w:lang w:eastAsia="fr-FR"/>
        </w:rPr>
        <w:t xml:space="preserve">Onglet n°2 / Enquête avec données agrégées </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lang w:eastAsia="fr-FR"/>
        </w:rPr>
        <w:t xml:space="preserve">La deuxième partie de l'enquête (onglet n°2) porte sur les </w:t>
      </w:r>
      <w:r w:rsidRPr="00353963">
        <w:rPr>
          <w:rFonts w:ascii="Liberation Sans" w:eastAsia="Times New Roman" w:hAnsi="Liberation Sans" w:cs="Liberation Sans"/>
          <w:b/>
          <w:bCs/>
          <w:color w:val="000000"/>
          <w:lang w:eastAsia="fr-FR"/>
        </w:rPr>
        <w:t>intermittents, les contrats aidés et les agents payés à la tâche</w:t>
      </w:r>
      <w:r w:rsidRPr="00353963">
        <w:rPr>
          <w:rFonts w:ascii="Liberation Sans" w:eastAsia="Times New Roman" w:hAnsi="Liberation Sans" w:cs="Liberation Sans"/>
          <w:color w:val="000000"/>
          <w:lang w:eastAsia="fr-FR"/>
        </w:rPr>
        <w:t xml:space="preserve">. </w:t>
      </w: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lang w:eastAsia="fr-FR"/>
        </w:rPr>
        <w:t xml:space="preserve">Pour ces 3 types de statuts, nous attendons de votre part la consommation en ETPT sur l'année </w:t>
      </w:r>
      <w:r w:rsidR="007059D2" w:rsidRPr="00353963">
        <w:rPr>
          <w:rFonts w:ascii="Liberation Sans" w:eastAsia="Times New Roman" w:hAnsi="Liberation Sans" w:cs="Liberation Sans"/>
          <w:color w:val="000000"/>
          <w:lang w:eastAsia="fr-FR"/>
        </w:rPr>
        <w:t>2013,</w:t>
      </w:r>
      <w:r w:rsidRPr="00353963">
        <w:rPr>
          <w:rFonts w:ascii="Liberation Sans" w:eastAsia="Times New Roman" w:hAnsi="Liberation Sans" w:cs="Liberation Sans"/>
          <w:color w:val="000000"/>
          <w:lang w:eastAsia="fr-FR"/>
        </w:rPr>
        <w:t xml:space="preserve"> en distinguant les hommes et les femmes. </w:t>
      </w:r>
    </w:p>
    <w:p w:rsidR="00353963" w:rsidRPr="00353963" w:rsidRDefault="00353963" w:rsidP="00353963">
      <w:pPr>
        <w:spacing w:before="100" w:beforeAutospacing="1"/>
        <w:rPr>
          <w:rFonts w:ascii="Times New Roman" w:eastAsia="Times New Roman" w:hAnsi="Times New Roman" w:cs="Times New Roman"/>
          <w:lang w:eastAsia="fr-FR"/>
        </w:rPr>
      </w:pPr>
    </w:p>
    <w:p w:rsidR="00353963" w:rsidRPr="00353963" w:rsidRDefault="00353963" w:rsidP="00353963">
      <w:pPr>
        <w:spacing w:before="100" w:beforeAutospacing="1"/>
        <w:rPr>
          <w:rFonts w:ascii="Times New Roman" w:eastAsia="Times New Roman" w:hAnsi="Times New Roman" w:cs="Times New Roman"/>
          <w:lang w:eastAsia="fr-FR"/>
        </w:rPr>
      </w:pPr>
      <w:r w:rsidRPr="00353963">
        <w:rPr>
          <w:rFonts w:ascii="Liberation Sans" w:eastAsia="Times New Roman" w:hAnsi="Liberation Sans" w:cs="Liberation Sans"/>
          <w:color w:val="000000"/>
          <w:lang w:eastAsia="fr-FR"/>
        </w:rPr>
        <w:t>Les contrats aidés concernent les emplois d'avenir, les apprentis et les emplois temporaires financés par une convention qui prévoit explicitement leur financement.</w:t>
      </w:r>
    </w:p>
    <w:p w:rsidR="00E63FC7" w:rsidRPr="00E63FC7" w:rsidRDefault="00E63FC7" w:rsidP="00353963">
      <w:pPr>
        <w:tabs>
          <w:tab w:val="left" w:pos="1220"/>
        </w:tabs>
        <w:ind w:left="851" w:hanging="851"/>
        <w:rPr>
          <w:rFonts w:ascii="Cambria" w:eastAsia="Cambria" w:hAnsi="Cambria" w:cs="Times New Roman"/>
        </w:rPr>
      </w:pPr>
    </w:p>
    <w:sectPr w:rsidR="00E63FC7" w:rsidRPr="00E63FC7">
      <w:headerReference w:type="default" r:id="rId25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1397" w:rsidRDefault="007B1397">
      <w:r>
        <w:separator/>
      </w:r>
    </w:p>
  </w:endnote>
  <w:endnote w:type="continuationSeparator" w:id="0">
    <w:p w:rsidR="007B1397" w:rsidRDefault="007B13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Florencesans Exp">
    <w:panose1 w:val="02000503020000020004"/>
    <w:charset w:val="00"/>
    <w:family w:val="auto"/>
    <w:pitch w:val="variable"/>
    <w:sig w:usb0="80000027"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angal">
    <w:panose1 w:val="02040503050203030202"/>
    <w:charset w:val="00"/>
    <w:family w:val="roman"/>
    <w:pitch w:val="variable"/>
    <w:sig w:usb0="00008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lairMdITC TT-Medium">
    <w:altName w:val="Liberation Mono"/>
    <w:charset w:val="00"/>
    <w:family w:val="auto"/>
    <w:pitch w:val="variable"/>
    <w:sig w:usb0="00000003" w:usb1="00000000" w:usb2="00000000" w:usb3="00000000" w:csb0="00000001" w:csb1="00000000"/>
  </w:font>
  <w:font w:name="Apple Casual">
    <w:altName w:val="Liberation Mono"/>
    <w:charset w:val="00"/>
    <w:family w:val="auto"/>
    <w:pitch w:val="variable"/>
    <w:sig w:usb0="00000003" w:usb1="00000000" w:usb2="00000000" w:usb3="00000000" w:csb0="00000001" w:csb1="00000000"/>
  </w:font>
  <w:font w:name="GB18030 Bitmap">
    <w:charset w:val="50"/>
    <w:family w:val="auto"/>
    <w:pitch w:val="variable"/>
    <w:sig w:usb0="00000001" w:usb1="00000000" w:usb2="0100040E" w:usb3="00000000" w:csb0="00040000" w:csb1="00000000"/>
  </w:font>
  <w:font w:name="Microsoft YaHei">
    <w:panose1 w:val="020B0503020204020204"/>
    <w:charset w:val="86"/>
    <w:family w:val="swiss"/>
    <w:pitch w:val="variable"/>
    <w:sig w:usb0="80000287" w:usb1="280F3C52" w:usb2="00000016" w:usb3="00000000" w:csb0="0004001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rsidP="00D1704E">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7B1397" w:rsidRDefault="007B1397" w:rsidP="00D1704E">
    <w:pPr>
      <w:pStyle w:val="Pieddepage"/>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FB6729" w:rsidRDefault="007B1397" w:rsidP="00D61416">
    <w:pPr>
      <w:pStyle w:val="Titre3"/>
      <w:framePr w:wrap="around" w:vAnchor="text" w:hAnchor="page" w:x="10801" w:y="1"/>
      <w:rPr>
        <w:rStyle w:val="Numrodepage"/>
        <w:rFonts w:asciiTheme="minorHAnsi" w:eastAsiaTheme="minorHAnsi" w:hAnsiTheme="minorHAnsi" w:cstheme="minorBidi"/>
        <w:b w:val="0"/>
        <w:bCs w:val="0"/>
        <w:color w:val="auto"/>
      </w:rPr>
    </w:pPr>
    <w:r w:rsidRPr="00FB6729">
      <w:rPr>
        <w:rStyle w:val="Numrodepage"/>
        <w:color w:val="808080" w:themeColor="background1" w:themeShade="80"/>
        <w:sz w:val="20"/>
      </w:rPr>
      <w:fldChar w:fldCharType="begin"/>
    </w:r>
    <w:r>
      <w:rPr>
        <w:rStyle w:val="Numrodepage"/>
        <w:color w:val="808080" w:themeColor="background1" w:themeShade="80"/>
        <w:sz w:val="20"/>
      </w:rPr>
      <w:instrText>PAGE</w:instrText>
    </w:r>
    <w:r w:rsidRPr="00FB6729">
      <w:rPr>
        <w:rStyle w:val="Numrodepage"/>
        <w:color w:val="808080" w:themeColor="background1" w:themeShade="80"/>
        <w:sz w:val="20"/>
      </w:rPr>
      <w:instrText xml:space="preserve">  </w:instrText>
    </w:r>
    <w:r w:rsidRPr="00FB6729">
      <w:rPr>
        <w:rStyle w:val="Numrodepage"/>
        <w:color w:val="808080" w:themeColor="background1" w:themeShade="80"/>
        <w:sz w:val="20"/>
      </w:rPr>
      <w:fldChar w:fldCharType="separate"/>
    </w:r>
    <w:r w:rsidR="0057385C">
      <w:rPr>
        <w:rStyle w:val="Numrodepage"/>
        <w:noProof/>
        <w:color w:val="808080" w:themeColor="background1" w:themeShade="80"/>
        <w:sz w:val="20"/>
      </w:rPr>
      <w:t>101</w:t>
    </w:r>
    <w:r w:rsidRPr="00FB6729">
      <w:rPr>
        <w:rStyle w:val="Numrodepage"/>
        <w:color w:val="808080" w:themeColor="background1" w:themeShade="80"/>
        <w:sz w:val="20"/>
      </w:rPr>
      <w:fldChar w:fldCharType="end"/>
    </w:r>
  </w:p>
  <w:p w:rsidR="007B1397" w:rsidRDefault="007B1397">
    <w:pPr>
      <w:pStyle w:val="Pieddepage"/>
    </w:pPr>
    <w:r w:rsidRPr="00EB6E0B">
      <w:rPr>
        <w:rFonts w:ascii="Calibri" w:hAnsi="Calibri"/>
        <w:b/>
        <w:color w:val="808080"/>
        <w:sz w:val="20"/>
      </w:rPr>
      <w:t>MCC - Bilan social 201</w:t>
    </w:r>
    <w:r>
      <w:rPr>
        <w:rFonts w:ascii="Calibri" w:hAnsi="Calibri"/>
        <w:b/>
        <w:color w:val="808080"/>
        <w:sz w:val="20"/>
      </w:rPr>
      <w:t>3</w:t>
    </w:r>
    <w:r>
      <w:rPr>
        <w:rFonts w:ascii="Calibri" w:hAnsi="Calibri"/>
        <w:b/>
        <w:color w:val="808080"/>
        <w:sz w:val="20"/>
      </w:rPr>
      <w:tab/>
    </w:r>
    <w:r>
      <w:rPr>
        <w:rFonts w:ascii="Calibri" w:hAnsi="Calibri"/>
        <w:b/>
        <w:color w:val="808080"/>
        <w:sz w:val="20"/>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FC0B60" w:rsidRDefault="007B1397" w:rsidP="00B75970">
    <w:pPr>
      <w:pStyle w:val="Pieddepage"/>
      <w:framePr w:wrap="around" w:vAnchor="text" w:hAnchor="margin" w:xAlign="right" w:y="1"/>
      <w:rPr>
        <w:rStyle w:val="Numrodepage"/>
      </w:rPr>
    </w:pPr>
    <w:r w:rsidRPr="00EB6E0B">
      <w:rPr>
        <w:rStyle w:val="Numrodepage"/>
        <w:rFonts w:ascii="Calibri" w:hAnsi="Calibri"/>
        <w:b/>
        <w:color w:val="7F7F7F"/>
        <w:sz w:val="20"/>
      </w:rPr>
      <w:fldChar w:fldCharType="begin"/>
    </w:r>
    <w:r w:rsidRPr="00EB6E0B">
      <w:rPr>
        <w:rStyle w:val="Numrodepage"/>
        <w:rFonts w:ascii="Calibri" w:hAnsi="Calibri"/>
        <w:b/>
        <w:color w:val="7F7F7F"/>
        <w:sz w:val="20"/>
      </w:rPr>
      <w:instrText xml:space="preserve">PAGE  </w:instrText>
    </w:r>
    <w:r w:rsidRPr="00EB6E0B">
      <w:rPr>
        <w:rStyle w:val="Numrodepage"/>
        <w:rFonts w:ascii="Calibri" w:hAnsi="Calibri"/>
        <w:b/>
        <w:color w:val="7F7F7F"/>
        <w:sz w:val="20"/>
      </w:rPr>
      <w:fldChar w:fldCharType="separate"/>
    </w:r>
    <w:r w:rsidR="0057385C">
      <w:rPr>
        <w:rStyle w:val="Numrodepage"/>
        <w:rFonts w:ascii="Calibri" w:hAnsi="Calibri"/>
        <w:b/>
        <w:noProof/>
        <w:color w:val="7F7F7F"/>
        <w:sz w:val="20"/>
      </w:rPr>
      <w:t>190</w:t>
    </w:r>
    <w:r w:rsidRPr="00EB6E0B">
      <w:rPr>
        <w:rStyle w:val="Numrodepage"/>
        <w:rFonts w:ascii="Calibri" w:hAnsi="Calibri"/>
        <w:b/>
        <w:color w:val="7F7F7F"/>
        <w:sz w:val="20"/>
      </w:rPr>
      <w:fldChar w:fldCharType="end"/>
    </w:r>
  </w:p>
  <w:p w:rsidR="007B1397" w:rsidRPr="00062476" w:rsidRDefault="007B1397" w:rsidP="00B75970">
    <w:pPr>
      <w:pStyle w:val="Pieddepage"/>
      <w:ind w:right="360"/>
      <w:rPr>
        <w:rFonts w:ascii="Calibri" w:hAnsi="Calibri"/>
        <w:b/>
      </w:rPr>
    </w:pPr>
    <w:r w:rsidRPr="00EB6E0B">
      <w:rPr>
        <w:rFonts w:ascii="Calibri" w:hAnsi="Calibri"/>
        <w:b/>
        <w:color w:val="808080"/>
        <w:sz w:val="20"/>
      </w:rPr>
      <w:t>MCC - Bilan social 201</w:t>
    </w:r>
    <w:r>
      <w:rPr>
        <w:rFonts w:ascii="Calibri" w:hAnsi="Calibri"/>
        <w:b/>
        <w:color w:val="808080"/>
        <w:sz w:val="20"/>
      </w:rPr>
      <w:t>3</w:t>
    </w:r>
    <w:r w:rsidRPr="00EB6E0B">
      <w:rPr>
        <w:rFonts w:ascii="Calibri" w:hAnsi="Calibri"/>
        <w:b/>
        <w:color w:val="808080"/>
        <w:sz w:val="20"/>
      </w:rP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FB6729" w:rsidRDefault="007B1397" w:rsidP="00D61416">
    <w:pPr>
      <w:pStyle w:val="Titre3"/>
      <w:framePr w:wrap="around" w:vAnchor="text" w:hAnchor="page" w:x="10801" w:y="1"/>
      <w:rPr>
        <w:rStyle w:val="Numrodepage"/>
        <w:rFonts w:asciiTheme="minorHAnsi" w:eastAsiaTheme="minorHAnsi" w:hAnsiTheme="minorHAnsi" w:cstheme="minorBidi"/>
        <w:b w:val="0"/>
        <w:bCs w:val="0"/>
        <w:color w:val="auto"/>
      </w:rPr>
    </w:pPr>
    <w:r w:rsidRPr="00FB6729">
      <w:rPr>
        <w:rStyle w:val="Numrodepage"/>
        <w:color w:val="808080" w:themeColor="background1" w:themeShade="80"/>
        <w:sz w:val="20"/>
      </w:rPr>
      <w:fldChar w:fldCharType="begin"/>
    </w:r>
    <w:r>
      <w:rPr>
        <w:rStyle w:val="Numrodepage"/>
        <w:color w:val="808080" w:themeColor="background1" w:themeShade="80"/>
        <w:sz w:val="20"/>
      </w:rPr>
      <w:instrText>PAGE</w:instrText>
    </w:r>
    <w:r w:rsidRPr="00FB6729">
      <w:rPr>
        <w:rStyle w:val="Numrodepage"/>
        <w:color w:val="808080" w:themeColor="background1" w:themeShade="80"/>
        <w:sz w:val="20"/>
      </w:rPr>
      <w:instrText xml:space="preserve">  </w:instrText>
    </w:r>
    <w:r w:rsidRPr="00FB6729">
      <w:rPr>
        <w:rStyle w:val="Numrodepage"/>
        <w:color w:val="808080" w:themeColor="background1" w:themeShade="80"/>
        <w:sz w:val="20"/>
      </w:rPr>
      <w:fldChar w:fldCharType="separate"/>
    </w:r>
    <w:r w:rsidR="0057385C">
      <w:rPr>
        <w:rStyle w:val="Numrodepage"/>
        <w:noProof/>
        <w:color w:val="808080" w:themeColor="background1" w:themeShade="80"/>
        <w:sz w:val="20"/>
      </w:rPr>
      <w:t>124</w:t>
    </w:r>
    <w:r w:rsidRPr="00FB6729">
      <w:rPr>
        <w:rStyle w:val="Numrodepage"/>
        <w:color w:val="808080" w:themeColor="background1" w:themeShade="80"/>
        <w:sz w:val="20"/>
      </w:rPr>
      <w:fldChar w:fldCharType="end"/>
    </w:r>
  </w:p>
  <w:p w:rsidR="007B1397" w:rsidRDefault="007B1397">
    <w:pPr>
      <w:pStyle w:val="Pieddepage"/>
    </w:pPr>
    <w:r w:rsidRPr="00EB6E0B">
      <w:rPr>
        <w:rFonts w:ascii="Calibri" w:hAnsi="Calibri"/>
        <w:b/>
        <w:color w:val="808080"/>
        <w:sz w:val="20"/>
      </w:rPr>
      <w:t>MCC - Bilan social 201</w:t>
    </w:r>
    <w:r>
      <w:rPr>
        <w:rFonts w:ascii="Calibri" w:hAnsi="Calibri"/>
        <w:b/>
        <w:color w:val="808080"/>
        <w:sz w:val="20"/>
      </w:rPr>
      <w:t>3</w:t>
    </w:r>
    <w:r>
      <w:rPr>
        <w:rFonts w:ascii="Calibri" w:hAnsi="Calibri"/>
        <w:b/>
        <w:color w:val="808080"/>
        <w:sz w:val="20"/>
      </w:rPr>
      <w:tab/>
    </w:r>
    <w:r>
      <w:rPr>
        <w:rFonts w:ascii="Calibri" w:hAnsi="Calibri"/>
        <w:b/>
        <w:color w:val="808080"/>
        <w:sz w:val="20"/>
      </w:rP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FB6729" w:rsidRDefault="007B1397" w:rsidP="00D61416">
    <w:pPr>
      <w:pStyle w:val="Titre3"/>
      <w:framePr w:wrap="around" w:vAnchor="text" w:hAnchor="page" w:x="10801" w:y="1"/>
      <w:rPr>
        <w:rStyle w:val="Numrodepage"/>
        <w:rFonts w:asciiTheme="minorHAnsi" w:eastAsiaTheme="minorHAnsi" w:hAnsiTheme="minorHAnsi" w:cstheme="minorBidi"/>
        <w:b w:val="0"/>
        <w:bCs w:val="0"/>
        <w:color w:val="auto"/>
      </w:rPr>
    </w:pPr>
    <w:r w:rsidRPr="00FB6729">
      <w:rPr>
        <w:rStyle w:val="Numrodepage"/>
        <w:color w:val="808080" w:themeColor="background1" w:themeShade="80"/>
        <w:sz w:val="20"/>
      </w:rPr>
      <w:fldChar w:fldCharType="begin"/>
    </w:r>
    <w:r>
      <w:rPr>
        <w:rStyle w:val="Numrodepage"/>
        <w:color w:val="808080" w:themeColor="background1" w:themeShade="80"/>
        <w:sz w:val="20"/>
      </w:rPr>
      <w:instrText>PAGE</w:instrText>
    </w:r>
    <w:r w:rsidRPr="00FB6729">
      <w:rPr>
        <w:rStyle w:val="Numrodepage"/>
        <w:color w:val="808080" w:themeColor="background1" w:themeShade="80"/>
        <w:sz w:val="20"/>
      </w:rPr>
      <w:instrText xml:space="preserve">  </w:instrText>
    </w:r>
    <w:r w:rsidRPr="00FB6729">
      <w:rPr>
        <w:rStyle w:val="Numrodepage"/>
        <w:color w:val="808080" w:themeColor="background1" w:themeShade="80"/>
        <w:sz w:val="20"/>
      </w:rPr>
      <w:fldChar w:fldCharType="separate"/>
    </w:r>
    <w:r w:rsidR="0057385C">
      <w:rPr>
        <w:rStyle w:val="Numrodepage"/>
        <w:noProof/>
        <w:color w:val="808080" w:themeColor="background1" w:themeShade="80"/>
        <w:sz w:val="20"/>
      </w:rPr>
      <w:t>150</w:t>
    </w:r>
    <w:r w:rsidRPr="00FB6729">
      <w:rPr>
        <w:rStyle w:val="Numrodepage"/>
        <w:color w:val="808080" w:themeColor="background1" w:themeShade="80"/>
        <w:sz w:val="20"/>
      </w:rPr>
      <w:fldChar w:fldCharType="end"/>
    </w:r>
  </w:p>
  <w:p w:rsidR="007B1397" w:rsidRDefault="007B1397">
    <w:pPr>
      <w:pStyle w:val="Pieddepage"/>
    </w:pPr>
    <w:r w:rsidRPr="00EB6E0B">
      <w:rPr>
        <w:rFonts w:ascii="Calibri" w:hAnsi="Calibri"/>
        <w:b/>
        <w:color w:val="808080"/>
        <w:sz w:val="20"/>
      </w:rPr>
      <w:t>MCC - Bilan social 201</w:t>
    </w:r>
    <w:r>
      <w:rPr>
        <w:rFonts w:ascii="Calibri" w:hAnsi="Calibri"/>
        <w:b/>
        <w:color w:val="808080"/>
        <w:sz w:val="20"/>
      </w:rPr>
      <w:t>3</w:t>
    </w:r>
    <w:r>
      <w:rPr>
        <w:rFonts w:ascii="Calibri" w:hAnsi="Calibri"/>
        <w:b/>
        <w:color w:val="808080"/>
        <w:sz w:val="20"/>
      </w:rPr>
      <w:tab/>
    </w:r>
    <w:r>
      <w:rPr>
        <w:rFonts w:ascii="Calibri" w:hAnsi="Calibri"/>
        <w:b/>
        <w:color w:val="808080"/>
        <w:sz w:val="2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rsidP="00D1704E">
    <w:pPr>
      <w:pStyle w:val="Pieddepage"/>
      <w:tabs>
        <w:tab w:val="left" w:pos="800"/>
        <w:tab w:val="right" w:pos="9632"/>
      </w:tabs>
      <w:jc w:val="right"/>
    </w:pPr>
    <w:r>
      <w:rPr>
        <w:noProof/>
        <w:lang w:eastAsia="fr-FR"/>
      </w:rPr>
      <mc:AlternateContent>
        <mc:Choice Requires="wps">
          <w:drawing>
            <wp:anchor distT="0" distB="0" distL="114300" distR="114300" simplePos="0" relativeHeight="251659264" behindDoc="0" locked="0" layoutInCell="1" allowOverlap="1">
              <wp:simplePos x="0" y="0"/>
              <wp:positionH relativeFrom="margin">
                <wp:align>left</wp:align>
              </wp:positionH>
              <wp:positionV relativeFrom="paragraph">
                <wp:posOffset>374015</wp:posOffset>
              </wp:positionV>
              <wp:extent cx="3416300" cy="685800"/>
              <wp:effectExtent l="0" t="0" r="0" b="0"/>
              <wp:wrapNone/>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1397" w:rsidRDefault="007B1397">
                          <w:pPr>
                            <w:rPr>
                              <w:rFonts w:ascii="Arial Unicode MS" w:hAnsi="Arial Unicode MS"/>
                              <w:b/>
                              <w:color w:val="000090"/>
                              <w:sz w:val="20"/>
                            </w:rPr>
                          </w:pPr>
                          <w:r w:rsidRPr="00050DC4">
                            <w:rPr>
                              <w:rFonts w:ascii="Arial Unicode MS" w:hAnsi="Arial Unicode MS"/>
                              <w:b/>
                              <w:color w:val="000090"/>
                              <w:sz w:val="20"/>
                            </w:rPr>
                            <w:t>SERVICE DES RESSOURCES HUMAINES</w:t>
                          </w:r>
                        </w:p>
                        <w:p w:rsidR="007B1397" w:rsidRPr="00050DC4" w:rsidRDefault="007B1397">
                          <w:pPr>
                            <w:rPr>
                              <w:rFonts w:ascii="Arial Unicode MS" w:hAnsi="Arial Unicode MS"/>
                              <w:b/>
                              <w:color w:val="000090"/>
                              <w:sz w:val="20"/>
                            </w:rPr>
                          </w:pPr>
                          <w:r>
                            <w:rPr>
                              <w:rFonts w:ascii="Arial Unicode MS" w:hAnsi="Arial Unicode MS"/>
                              <w:b/>
                              <w:color w:val="000090"/>
                              <w:sz w:val="20"/>
                            </w:rPr>
                            <w:t>Bureau de l’Emploi et de la Politique de Rémunération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26" o:spid="_x0000_s1101" type="#_x0000_t202" style="position:absolute;left:0;text-align:left;margin-left:0;margin-top:29.45pt;width:269pt;height:54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" filled="f" stroked="f">
              <v:textbox inset=",7.2pt,,7.2pt">
                <w:txbxContent>
                  <w:p w:rsidR="007B1397" w:rsidRDefault="007B1397">
                    <w:pPr>
                      <w:rPr>
                        <w:rFonts w:ascii="Arial Unicode MS" w:hAnsi="Arial Unicode MS"/>
                        <w:b/>
                        <w:color w:val="000090"/>
                        <w:sz w:val="20"/>
                      </w:rPr>
                    </w:pPr>
                    <w:r w:rsidRPr="00050DC4">
                      <w:rPr>
                        <w:rFonts w:ascii="Arial Unicode MS" w:hAnsi="Arial Unicode MS"/>
                        <w:b/>
                        <w:color w:val="000090"/>
                        <w:sz w:val="20"/>
                      </w:rPr>
                      <w:t>SERVICE DES RESSOURCES HUMAINES</w:t>
                    </w:r>
                  </w:p>
                  <w:p w:rsidR="007B1397" w:rsidRPr="00050DC4" w:rsidRDefault="007B1397">
                    <w:pPr>
                      <w:rPr>
                        <w:rFonts w:ascii="Arial Unicode MS" w:hAnsi="Arial Unicode MS"/>
                        <w:b/>
                        <w:color w:val="000090"/>
                        <w:sz w:val="20"/>
                      </w:rPr>
                    </w:pPr>
                    <w:r>
                      <w:rPr>
                        <w:rFonts w:ascii="Arial Unicode MS" w:hAnsi="Arial Unicode MS"/>
                        <w:b/>
                        <w:color w:val="000090"/>
                        <w:sz w:val="20"/>
                      </w:rPr>
                      <w:t>Bureau de l’Emploi et de la Politique de Rémunération</w:t>
                    </w:r>
                  </w:p>
                </w:txbxContent>
              </v:textbox>
              <w10:wrap anchorx="margin"/>
            </v:shape>
          </w:pict>
        </mc:Fallback>
      </mc:AlternateContent>
    </w:r>
    <w:r>
      <w:tab/>
    </w:r>
    <w:r>
      <w:tab/>
    </w:r>
    <w:r>
      <w:tab/>
      <w:t xml:space="preserve"> </w:t>
    </w:r>
    <w:r w:rsidRPr="00857072">
      <w:rPr>
        <w:noProof/>
        <w:lang w:eastAsia="fr-FR"/>
      </w:rPr>
      <w:drawing>
        <wp:inline distT="0" distB="0" distL="0" distR="0" wp14:anchorId="32602DF9" wp14:editId="2ED0701E">
          <wp:extent cx="939129" cy="1244789"/>
          <wp:effectExtent l="25400" t="0" r="671" b="0"/>
          <wp:docPr id="22" name="Image 1" descr=":logo_MCC_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MCC_couleur.jpg"/>
                  <pic:cNvPicPr>
                    <a:picLocks noChangeAspect="1" noChangeArrowheads="1"/>
                  </pic:cNvPicPr>
                </pic:nvPicPr>
                <pic:blipFill>
                  <a:blip r:embed="rId1"/>
                  <a:srcRect/>
                  <a:stretch>
                    <a:fillRect/>
                  </a:stretch>
                </pic:blipFill>
                <pic:spPr bwMode="auto">
                  <a:xfrm>
                    <a:off x="0" y="0"/>
                    <a:ext cx="939165" cy="1244600"/>
                  </a:xfrm>
                  <a:prstGeom prst="rect">
                    <a:avLst/>
                  </a:prstGeom>
                  <a:noFill/>
                  <a:ln w="9525">
                    <a:noFill/>
                    <a:miter lim="800000"/>
                    <a:headEnd/>
                    <a:tailEnd/>
                  </a:ln>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8E63AF" w:rsidRDefault="007B1397" w:rsidP="00D1704E">
    <w:pPr>
      <w:pStyle w:val="Titre3"/>
      <w:ind w:right="360"/>
      <w:rPr>
        <w:color w:val="808080" w:themeColor="background1" w:themeShade="80"/>
        <w:sz w:val="20"/>
      </w:rPr>
    </w:pPr>
    <w:r w:rsidRPr="008E63AF">
      <w:rPr>
        <w:color w:val="808080" w:themeColor="background1" w:themeShade="80"/>
        <w:sz w:val="20"/>
      </w:rPr>
      <w:tab/>
    </w:r>
    <w:r w:rsidRPr="008E63AF">
      <w:rPr>
        <w:color w:val="808080" w:themeColor="background1" w:themeShade="80"/>
        <w:sz w:val="20"/>
      </w:rPr>
      <w:tab/>
      <w:t xml:space="preserve"> </w:t>
    </w:r>
  </w:p>
  <w:p w:rsidR="007B1397" w:rsidRDefault="007B1397">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FB6729" w:rsidRDefault="007B1397" w:rsidP="00D61416">
    <w:pPr>
      <w:pStyle w:val="Titre3"/>
      <w:framePr w:wrap="around" w:vAnchor="text" w:hAnchor="page" w:x="10801" w:y="1"/>
      <w:rPr>
        <w:rStyle w:val="Numrodepage"/>
        <w:rFonts w:asciiTheme="minorHAnsi" w:eastAsiaTheme="minorHAnsi" w:hAnsiTheme="minorHAnsi" w:cstheme="minorBidi"/>
        <w:b w:val="0"/>
        <w:bCs w:val="0"/>
        <w:color w:val="auto"/>
      </w:rPr>
    </w:pPr>
    <w:r w:rsidRPr="00FB6729">
      <w:rPr>
        <w:rStyle w:val="Numrodepage"/>
        <w:color w:val="808080" w:themeColor="background1" w:themeShade="80"/>
        <w:sz w:val="20"/>
      </w:rPr>
      <w:fldChar w:fldCharType="begin"/>
    </w:r>
    <w:r>
      <w:rPr>
        <w:rStyle w:val="Numrodepage"/>
        <w:color w:val="808080" w:themeColor="background1" w:themeShade="80"/>
        <w:sz w:val="20"/>
      </w:rPr>
      <w:instrText>PAGE</w:instrText>
    </w:r>
    <w:r w:rsidRPr="00FB6729">
      <w:rPr>
        <w:rStyle w:val="Numrodepage"/>
        <w:color w:val="808080" w:themeColor="background1" w:themeShade="80"/>
        <w:sz w:val="20"/>
      </w:rPr>
      <w:instrText xml:space="preserve">  </w:instrText>
    </w:r>
    <w:r w:rsidRPr="00FB6729">
      <w:rPr>
        <w:rStyle w:val="Numrodepage"/>
        <w:color w:val="808080" w:themeColor="background1" w:themeShade="80"/>
        <w:sz w:val="20"/>
      </w:rPr>
      <w:fldChar w:fldCharType="separate"/>
    </w:r>
    <w:r w:rsidR="00E7644A">
      <w:rPr>
        <w:rStyle w:val="Numrodepage"/>
        <w:noProof/>
        <w:color w:val="808080" w:themeColor="background1" w:themeShade="80"/>
        <w:sz w:val="20"/>
      </w:rPr>
      <w:t>79</w:t>
    </w:r>
    <w:r w:rsidRPr="00FB6729">
      <w:rPr>
        <w:rStyle w:val="Numrodepage"/>
        <w:color w:val="808080" w:themeColor="background1" w:themeShade="80"/>
        <w:sz w:val="20"/>
      </w:rPr>
      <w:fldChar w:fldCharType="end"/>
    </w:r>
  </w:p>
  <w:p w:rsidR="007B1397" w:rsidRDefault="007B1397">
    <w:pPr>
      <w:pStyle w:val="Pieddepage"/>
    </w:pPr>
    <w:r w:rsidRPr="00EB6E0B">
      <w:rPr>
        <w:rFonts w:ascii="Calibri" w:hAnsi="Calibri"/>
        <w:b/>
        <w:color w:val="808080"/>
        <w:sz w:val="20"/>
      </w:rPr>
      <w:t>MCC - Bilan social 201</w:t>
    </w:r>
    <w:r>
      <w:rPr>
        <w:rFonts w:ascii="Calibri" w:hAnsi="Calibri"/>
        <w:b/>
        <w:color w:val="808080"/>
        <w:sz w:val="20"/>
      </w:rPr>
      <w:t>3</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FB6729" w:rsidRDefault="007B1397" w:rsidP="00D61416">
    <w:pPr>
      <w:pStyle w:val="Titre3"/>
      <w:framePr w:wrap="around" w:vAnchor="text" w:hAnchor="page" w:x="10801" w:y="1"/>
      <w:rPr>
        <w:rStyle w:val="Numrodepage"/>
        <w:rFonts w:asciiTheme="minorHAnsi" w:eastAsiaTheme="minorHAnsi" w:hAnsiTheme="minorHAnsi" w:cstheme="minorBidi"/>
        <w:b w:val="0"/>
        <w:bCs w:val="0"/>
        <w:color w:val="auto"/>
      </w:rPr>
    </w:pPr>
    <w:r w:rsidRPr="00FB6729">
      <w:rPr>
        <w:rStyle w:val="Numrodepage"/>
        <w:color w:val="808080" w:themeColor="background1" w:themeShade="80"/>
        <w:sz w:val="20"/>
      </w:rPr>
      <w:fldChar w:fldCharType="begin"/>
    </w:r>
    <w:r>
      <w:rPr>
        <w:rStyle w:val="Numrodepage"/>
        <w:color w:val="808080" w:themeColor="background1" w:themeShade="80"/>
        <w:sz w:val="20"/>
      </w:rPr>
      <w:instrText>PAGE</w:instrText>
    </w:r>
    <w:r w:rsidRPr="00FB6729">
      <w:rPr>
        <w:rStyle w:val="Numrodepage"/>
        <w:color w:val="808080" w:themeColor="background1" w:themeShade="80"/>
        <w:sz w:val="20"/>
      </w:rPr>
      <w:instrText xml:space="preserve">  </w:instrText>
    </w:r>
    <w:r w:rsidRPr="00FB6729">
      <w:rPr>
        <w:rStyle w:val="Numrodepage"/>
        <w:color w:val="808080" w:themeColor="background1" w:themeShade="80"/>
        <w:sz w:val="20"/>
      </w:rPr>
      <w:fldChar w:fldCharType="separate"/>
    </w:r>
    <w:r w:rsidR="00E7644A">
      <w:rPr>
        <w:rStyle w:val="Numrodepage"/>
        <w:noProof/>
        <w:color w:val="808080" w:themeColor="background1" w:themeShade="80"/>
        <w:sz w:val="20"/>
      </w:rPr>
      <w:t>80</w:t>
    </w:r>
    <w:r w:rsidRPr="00FB6729">
      <w:rPr>
        <w:rStyle w:val="Numrodepage"/>
        <w:color w:val="808080" w:themeColor="background1" w:themeShade="80"/>
        <w:sz w:val="20"/>
      </w:rPr>
      <w:fldChar w:fldCharType="end"/>
    </w:r>
  </w:p>
  <w:p w:rsidR="007B1397" w:rsidRDefault="007B1397">
    <w:pPr>
      <w:pStyle w:val="Pieddepage"/>
    </w:pPr>
    <w:r w:rsidRPr="00EB6E0B">
      <w:rPr>
        <w:rFonts w:ascii="Calibri" w:hAnsi="Calibri"/>
        <w:b/>
        <w:color w:val="808080"/>
        <w:sz w:val="20"/>
      </w:rPr>
      <w:t>MCC - Bilan social 201</w:t>
    </w:r>
    <w:r>
      <w:rPr>
        <w:rFonts w:ascii="Calibri" w:hAnsi="Calibri"/>
        <w:b/>
        <w:color w:val="808080"/>
        <w:sz w:val="20"/>
      </w:rPr>
      <w:t>3</w:t>
    </w:r>
    <w:r>
      <w:rPr>
        <w:rFonts w:ascii="Calibri" w:hAnsi="Calibri"/>
        <w:b/>
        <w:color w:val="808080"/>
        <w:sz w:val="20"/>
      </w:rPr>
      <w:tab/>
    </w:r>
    <w:r>
      <w:rPr>
        <w:rFonts w:ascii="Calibri" w:hAnsi="Calibri"/>
        <w:b/>
        <w:color w:val="808080"/>
        <w:sz w:val="20"/>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rsidP="00B75970">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7B1397" w:rsidRDefault="007B1397" w:rsidP="00B75970">
    <w:pPr>
      <w:pStyle w:val="Pieddepage"/>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FC0B60" w:rsidRDefault="007B1397" w:rsidP="00B75970">
    <w:pPr>
      <w:pStyle w:val="Pieddepage"/>
      <w:framePr w:wrap="around" w:vAnchor="text" w:hAnchor="margin" w:xAlign="right" w:y="1"/>
      <w:rPr>
        <w:rStyle w:val="Numrodepage"/>
      </w:rPr>
    </w:pPr>
    <w:r w:rsidRPr="00FC0B60">
      <w:rPr>
        <w:rStyle w:val="Numrodepage"/>
        <w:rFonts w:asciiTheme="majorHAnsi" w:hAnsiTheme="majorHAnsi"/>
        <w:b/>
        <w:color w:val="7F7F7F" w:themeColor="text1" w:themeTint="80"/>
        <w:sz w:val="20"/>
      </w:rPr>
      <w:fldChar w:fldCharType="begin"/>
    </w:r>
    <w:r w:rsidRPr="00FC0B60">
      <w:rPr>
        <w:rStyle w:val="Numrodepage"/>
        <w:rFonts w:asciiTheme="majorHAnsi" w:hAnsiTheme="majorHAnsi"/>
        <w:b/>
        <w:color w:val="7F7F7F" w:themeColor="text1" w:themeTint="80"/>
        <w:sz w:val="20"/>
      </w:rPr>
      <w:instrText xml:space="preserve">PAGE  </w:instrText>
    </w:r>
    <w:r w:rsidRPr="00FC0B60">
      <w:rPr>
        <w:rStyle w:val="Numrodepage"/>
        <w:rFonts w:asciiTheme="majorHAnsi" w:hAnsiTheme="majorHAnsi"/>
        <w:b/>
        <w:color w:val="7F7F7F" w:themeColor="text1" w:themeTint="80"/>
        <w:sz w:val="20"/>
      </w:rPr>
      <w:fldChar w:fldCharType="separate"/>
    </w:r>
    <w:r w:rsidR="00E7644A">
      <w:rPr>
        <w:rStyle w:val="Numrodepage"/>
        <w:rFonts w:asciiTheme="majorHAnsi" w:hAnsiTheme="majorHAnsi"/>
        <w:b/>
        <w:noProof/>
        <w:color w:val="7F7F7F" w:themeColor="text1" w:themeTint="80"/>
        <w:sz w:val="20"/>
      </w:rPr>
      <w:t>83</w:t>
    </w:r>
    <w:r w:rsidRPr="00FC0B60">
      <w:rPr>
        <w:rStyle w:val="Numrodepage"/>
        <w:rFonts w:asciiTheme="majorHAnsi" w:hAnsiTheme="majorHAnsi"/>
        <w:b/>
        <w:color w:val="7F7F7F" w:themeColor="text1" w:themeTint="80"/>
        <w:sz w:val="20"/>
      </w:rPr>
      <w:fldChar w:fldCharType="end"/>
    </w:r>
  </w:p>
  <w:p w:rsidR="007B1397" w:rsidRPr="00062476" w:rsidRDefault="007B1397" w:rsidP="00B75970">
    <w:pPr>
      <w:pStyle w:val="Pieddepage"/>
      <w:ind w:right="360"/>
      <w:rPr>
        <w:rFonts w:ascii="Calibri" w:hAnsi="Calibri"/>
        <w:b/>
      </w:rPr>
    </w:pPr>
    <w:r w:rsidRPr="00062476">
      <w:rPr>
        <w:rFonts w:ascii="Calibri" w:hAnsi="Calibri"/>
        <w:b/>
        <w:color w:val="808080" w:themeColor="background1" w:themeShade="80"/>
        <w:sz w:val="20"/>
      </w:rPr>
      <w:t>MCC - Bilan social 201</w:t>
    </w:r>
    <w:r>
      <w:rPr>
        <w:rFonts w:ascii="Calibri" w:hAnsi="Calibri"/>
        <w:b/>
        <w:color w:val="808080" w:themeColor="background1" w:themeShade="80"/>
        <w:sz w:val="20"/>
      </w:rPr>
      <w:t>3</w:t>
    </w:r>
    <w:r w:rsidRPr="00062476">
      <w:rPr>
        <w:rFonts w:ascii="Calibri" w:hAnsi="Calibri"/>
        <w:b/>
        <w:color w:val="808080" w:themeColor="background1" w:themeShade="80"/>
        <w:sz w:val="20"/>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062476" w:rsidRDefault="007B1397" w:rsidP="00B75970">
    <w:pPr>
      <w:pStyle w:val="Pieddepage"/>
      <w:ind w:right="360"/>
      <w:rPr>
        <w:rFonts w:ascii="Calibri" w:hAnsi="Calibri"/>
        <w:b/>
      </w:rPr>
    </w:pPr>
    <w:r w:rsidRPr="00EB6E0B">
      <w:rPr>
        <w:rFonts w:ascii="Calibri" w:hAnsi="Calibri"/>
        <w:b/>
        <w:color w:val="808080"/>
        <w:sz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1397" w:rsidRDefault="007B1397">
      <w:r>
        <w:separator/>
      </w:r>
    </w:p>
  </w:footnote>
  <w:footnote w:type="continuationSeparator" w:id="0">
    <w:p w:rsidR="007B1397" w:rsidRDefault="007B13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59" o:spid="_x0000_s8194" type="#_x0000_t136" style="position:absolute;margin-left:0;margin-top:0;width:426.35pt;height:213.15pt;rotation:315;z-index:-251639808;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0" o:spid="_x0000_s8222" type="#_x0000_t136" style="position:absolute;margin-left:0;margin-top:0;width:426.35pt;height:213.15pt;rotation:315;z-index:-251577344;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4" o:spid="_x0000_s8209" type="#_x0000_t136" style="position:absolute;margin-left:0;margin-top:0;width:426.35pt;height:213.15pt;rotation:315;z-index:-251609088;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EB6E0B" w:rsidRDefault="007B1397" w:rsidP="00B75970">
    <w:pPr>
      <w:pStyle w:val="En-tte"/>
      <w:tabs>
        <w:tab w:val="left" w:pos="7728"/>
        <w:tab w:val="right" w:pos="9632"/>
      </w:tabs>
      <w:jc w:val="right"/>
      <w:rPr>
        <w:rFonts w:ascii="Calibri" w:hAnsi="Calibri"/>
        <w:b/>
        <w:color w:val="7F7F7F"/>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5" o:spid="_x0000_s8210" type="#_x0000_t136" style="position:absolute;left:0;text-align:left;margin-left:0;margin-top:0;width:426.35pt;height:213.15pt;rotation:315;z-index:-251607040;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3" o:spid="_x0000_s8208" type="#_x0000_t136" style="position:absolute;margin-left:0;margin-top:0;width:426.35pt;height:213.15pt;rotation:315;z-index:-251611136;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7" o:spid="_x0000_s8212" type="#_x0000_t136" style="position:absolute;margin-left:0;margin-top:0;width:426.35pt;height:213.15pt;rotation:315;z-index:-251602944;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EB6E0B" w:rsidRDefault="007B1397" w:rsidP="00B75970">
    <w:pPr>
      <w:pStyle w:val="En-tte"/>
      <w:tabs>
        <w:tab w:val="left" w:pos="7728"/>
        <w:tab w:val="right" w:pos="9632"/>
      </w:tabs>
      <w:jc w:val="right"/>
      <w:rPr>
        <w:rFonts w:ascii="Calibri" w:hAnsi="Calibri"/>
        <w:b/>
        <w:color w:val="7F7F7F"/>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8" o:spid="_x0000_s8213" type="#_x0000_t136" style="position:absolute;left:0;text-align:left;margin-left:0;margin-top:0;width:426.35pt;height:213.15pt;rotation:315;z-index:-251600896;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r w:rsidRPr="00EB6E0B">
      <w:rPr>
        <w:rFonts w:ascii="Calibri" w:hAnsi="Calibri"/>
        <w:b/>
        <w:color w:val="7F7F7F"/>
        <w:sz w:val="20"/>
      </w:rPr>
      <w:t xml:space="preserve">Conditions de santé et de sécurité </w:t>
    </w:r>
    <w:r w:rsidRPr="00EB6E0B">
      <w:rPr>
        <w:rFonts w:ascii="Calibri" w:hAnsi="Calibri"/>
        <w:b/>
        <w:noProof/>
        <w:color w:val="7F7F7F"/>
        <w:sz w:val="20"/>
        <w:lang w:eastAsia="fr-FR"/>
      </w:rPr>
      <w:drawing>
        <wp:anchor distT="0" distB="0" distL="114300" distR="114300" simplePos="0" relativeHeight="251668480" behindDoc="1" locked="0" layoutInCell="1" allowOverlap="1" wp14:anchorId="6BF091F4" wp14:editId="071C2100">
          <wp:simplePos x="0" y="0"/>
          <wp:positionH relativeFrom="column">
            <wp:posOffset>6176010</wp:posOffset>
          </wp:positionH>
          <wp:positionV relativeFrom="paragraph">
            <wp:posOffset>-120015</wp:posOffset>
          </wp:positionV>
          <wp:extent cx="346710" cy="355600"/>
          <wp:effectExtent l="25400" t="0" r="8890" b="0"/>
          <wp:wrapNone/>
          <wp:docPr id="309" name="Image 1" descr="::Capture d’écran 2013-11-17 à 18.1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 d’écran 2013-11-17 à 18.18.24.png"/>
                  <pic:cNvPicPr>
                    <a:picLocks noChangeAspect="1" noChangeArrowheads="1"/>
                  </pic:cNvPicPr>
                </pic:nvPicPr>
                <pic:blipFill>
                  <a:blip r:embed="rId1"/>
                  <a:srcRect/>
                  <a:stretch>
                    <a:fillRect/>
                  </a:stretch>
                </pic:blipFill>
                <pic:spPr bwMode="auto">
                  <a:xfrm>
                    <a:off x="0" y="0"/>
                    <a:ext cx="346710" cy="355600"/>
                  </a:xfrm>
                  <a:prstGeom prst="rect">
                    <a:avLst/>
                  </a:prstGeom>
                  <a:noFill/>
                  <a:ln w="9525">
                    <a:noFill/>
                    <a:miter lim="800000"/>
                    <a:headEnd/>
                    <a:tailEnd/>
                  </a:ln>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6" o:spid="_x0000_s8211" type="#_x0000_t136" style="position:absolute;margin-left:0;margin-top:0;width:426.35pt;height:213.15pt;rotation:315;z-index:-251604992;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80" o:spid="_x0000_s8215" type="#_x0000_t136" style="position:absolute;margin-left:0;margin-top:0;width:426.35pt;height:213.15pt;rotation:315;z-index:-251596800;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1D30C7" w:rsidRDefault="007B1397" w:rsidP="0079770C">
    <w:pPr>
      <w:pStyle w:val="En-tte"/>
      <w:tabs>
        <w:tab w:val="left" w:pos="7728"/>
        <w:tab w:val="right" w:pos="9632"/>
      </w:tabs>
      <w:jc w:val="right"/>
      <w:rPr>
        <w:rFonts w:ascii="Calibri" w:hAnsi="Calibri"/>
        <w:b/>
        <w:color w:val="7F7F7F"/>
        <w:sz w:val="20"/>
      </w:rPr>
    </w:pPr>
    <w:r>
      <w:rPr>
        <w:rFonts w:asciiTheme="majorHAnsi" w:hAnsiTheme="majorHAnsi"/>
        <w:b/>
        <w:noProof/>
        <w:color w:val="7F7F7F" w:themeColor="text1" w:themeTint="80"/>
        <w:sz w:val="20"/>
        <w:lang w:eastAsia="fr-FR"/>
      </w:rPr>
      <w:drawing>
        <wp:anchor distT="0" distB="0" distL="114300" distR="114300" simplePos="0" relativeHeight="251729920" behindDoc="1" locked="0" layoutInCell="1" allowOverlap="1" wp14:anchorId="480CEB96" wp14:editId="32B6B6DB">
          <wp:simplePos x="0" y="0"/>
          <wp:positionH relativeFrom="column">
            <wp:posOffset>6038850</wp:posOffset>
          </wp:positionH>
          <wp:positionV relativeFrom="paragraph">
            <wp:posOffset>-70485</wp:posOffset>
          </wp:positionV>
          <wp:extent cx="368300" cy="342900"/>
          <wp:effectExtent l="25400" t="0" r="0" b="0"/>
          <wp:wrapNone/>
          <wp:docPr id="311" name="Image 2" descr="::Capture d’écran 2014-03-13 à 18.0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 d’écran 2014-03-13 à 18.09.37.png"/>
                  <pic:cNvPicPr>
                    <a:picLocks noChangeAspect="1" noChangeArrowheads="1"/>
                  </pic:cNvPicPr>
                </pic:nvPicPr>
                <pic:blipFill>
                  <a:blip r:embed="rId1"/>
                  <a:srcRect/>
                  <a:stretch>
                    <a:fillRect/>
                  </a:stretch>
                </pic:blipFill>
                <pic:spPr bwMode="auto">
                  <a:xfrm>
                    <a:off x="0" y="0"/>
                    <a:ext cx="368300" cy="342900"/>
                  </a:xfrm>
                  <a:prstGeom prst="rect">
                    <a:avLst/>
                  </a:prstGeom>
                  <a:noFill/>
                  <a:ln w="9525">
                    <a:noFill/>
                    <a:miter lim="800000"/>
                    <a:headEnd/>
                    <a:tailEnd/>
                  </a:ln>
                </pic:spPr>
              </pic:pic>
            </a:graphicData>
          </a:graphic>
        </wp:anchor>
      </w:drawing>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81" o:spid="_x0000_s8216" type="#_x0000_t136" style="position:absolute;left:0;text-align:left;margin-left:0;margin-top:0;width:426.35pt;height:213.15pt;rotation:315;z-index:-251594752;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r>
      <w:rPr>
        <w:rFonts w:ascii="Calibri" w:hAnsi="Calibri"/>
        <w:b/>
        <w:color w:val="7F7F7F"/>
        <w:sz w:val="20"/>
      </w:rPr>
      <w:tab/>
      <w:t>Autres conditions de vie au travail – L'action sociale</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9" o:spid="_x0000_s8214" type="#_x0000_t136" style="position:absolute;margin-left:0;margin-top:0;width:426.35pt;height:213.15pt;rotation:315;z-index:-251598848;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60" o:spid="_x0000_s8195" type="#_x0000_t136" style="position:absolute;margin-left:0;margin-top:0;width:426.35pt;height:213.15pt;rotation:315;z-index:-251637760;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1D30C7" w:rsidRDefault="007B1397" w:rsidP="0079770C">
    <w:pPr>
      <w:pStyle w:val="En-tte"/>
      <w:tabs>
        <w:tab w:val="left" w:pos="7728"/>
        <w:tab w:val="right" w:pos="9632"/>
      </w:tabs>
      <w:jc w:val="right"/>
      <w:rPr>
        <w:rFonts w:ascii="Calibri" w:hAnsi="Calibri"/>
        <w:b/>
        <w:color w:val="7F7F7F"/>
        <w:sz w:val="20"/>
      </w:rPr>
    </w:pPr>
    <w:r>
      <w:rPr>
        <w:rFonts w:asciiTheme="majorHAnsi" w:hAnsiTheme="majorHAnsi"/>
        <w:b/>
        <w:noProof/>
        <w:color w:val="7F7F7F" w:themeColor="text1" w:themeTint="80"/>
        <w:sz w:val="20"/>
        <w:lang w:eastAsia="fr-FR"/>
      </w:rPr>
      <w:drawing>
        <wp:anchor distT="0" distB="0" distL="114300" distR="114300" simplePos="0" relativeHeight="251737088" behindDoc="1" locked="0" layoutInCell="1" allowOverlap="1" wp14:anchorId="14871385" wp14:editId="1D048503">
          <wp:simplePos x="0" y="0"/>
          <wp:positionH relativeFrom="column">
            <wp:posOffset>5962650</wp:posOffset>
          </wp:positionH>
          <wp:positionV relativeFrom="paragraph">
            <wp:posOffset>-70485</wp:posOffset>
          </wp:positionV>
          <wp:extent cx="309880" cy="304800"/>
          <wp:effectExtent l="25400" t="0" r="0" b="0"/>
          <wp:wrapNone/>
          <wp:docPr id="313" name="Image 2" descr="::Capture d’écran 2013-10-24 à 10.3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 d’écran 2013-10-24 à 10.30.16.png"/>
                  <pic:cNvPicPr>
                    <a:picLocks noChangeAspect="1" noChangeArrowheads="1"/>
                  </pic:cNvPicPr>
                </pic:nvPicPr>
                <pic:blipFill>
                  <a:blip r:embed="rId1"/>
                  <a:srcRect/>
                  <a:stretch>
                    <a:fillRect/>
                  </a:stretch>
                </pic:blipFill>
                <pic:spPr bwMode="auto">
                  <a:xfrm>
                    <a:off x="0" y="0"/>
                    <a:ext cx="309880" cy="304800"/>
                  </a:xfrm>
                  <a:prstGeom prst="rect">
                    <a:avLst/>
                  </a:prstGeom>
                  <a:noFill/>
                  <a:ln w="9525">
                    <a:noFill/>
                    <a:miter lim="800000"/>
                    <a:headEnd/>
                    <a:tailEnd/>
                  </a:ln>
                </pic:spPr>
              </pic:pic>
            </a:graphicData>
          </a:graphic>
        </wp:anchor>
      </w:drawing>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8220" type="#_x0000_t136" style="position:absolute;left:0;text-align:left;margin-left:0;margin-top:0;width:426.35pt;height:213.15pt;rotation:315;z-index:-251584512;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r>
      <w:rPr>
        <w:rFonts w:ascii="Calibri" w:hAnsi="Calibri"/>
        <w:b/>
        <w:color w:val="7F7F7F"/>
        <w:sz w:val="20"/>
      </w:rPr>
      <w:tab/>
      <w:t>Formation</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8221" type="#_x0000_t136" style="position:absolute;margin-left:0;margin-top:0;width:426.35pt;height:213.15pt;rotation:315;z-index:-251581440;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83" o:spid="_x0000_s8218" type="#_x0000_t136" style="position:absolute;margin-left:0;margin-top:0;width:426.35pt;height:213.15pt;rotation:315;z-index:-251590656;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rsidP="001445B4">
    <w:pPr>
      <w:pStyle w:val="En-tte"/>
      <w:tabs>
        <w:tab w:val="left" w:pos="7728"/>
        <w:tab w:val="right" w:pos="9632"/>
      </w:tabs>
      <w:jc w:val="right"/>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84" o:spid="_x0000_s8219" type="#_x0000_t136" style="position:absolute;left:0;text-align:left;margin-left:0;margin-top:0;width:426.35pt;height:213.15pt;rotation:315;z-index:-251588608;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r>
      <w:rPr>
        <w:rFonts w:asciiTheme="majorHAnsi" w:hAnsiTheme="majorHAnsi"/>
        <w:b/>
        <w:noProof/>
        <w:color w:val="7F7F7F" w:themeColor="text1" w:themeTint="80"/>
        <w:sz w:val="20"/>
        <w:lang w:eastAsia="fr-FR"/>
      </w:rPr>
      <w:drawing>
        <wp:anchor distT="0" distB="0" distL="114300" distR="114300" simplePos="0" relativeHeight="251672576" behindDoc="1" locked="0" layoutInCell="1" allowOverlap="1" wp14:anchorId="1B9503EB" wp14:editId="3EC409CA">
          <wp:simplePos x="0" y="0"/>
          <wp:positionH relativeFrom="column">
            <wp:posOffset>5932805</wp:posOffset>
          </wp:positionH>
          <wp:positionV relativeFrom="paragraph">
            <wp:posOffset>-74930</wp:posOffset>
          </wp:positionV>
          <wp:extent cx="304800" cy="302260"/>
          <wp:effectExtent l="0" t="0" r="0" b="2540"/>
          <wp:wrapSquare wrapText="bothSides"/>
          <wp:docPr id="293" name="Image 3" descr="::Capture d’écran 2013-10-24 à 10.3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 d’écran 2013-10-24 à 10.32.41.png"/>
                  <pic:cNvPicPr>
                    <a:picLocks noChangeAspect="1" noChangeArrowheads="1"/>
                  </pic:cNvPicPr>
                </pic:nvPicPr>
                <pic:blipFill>
                  <a:blip r:embed="rId1"/>
                  <a:srcRect/>
                  <a:stretch>
                    <a:fillRect/>
                  </a:stretch>
                </pic:blipFill>
                <pic:spPr bwMode="auto">
                  <a:xfrm>
                    <a:off x="0" y="0"/>
                    <a:ext cx="304800" cy="302260"/>
                  </a:xfrm>
                  <a:prstGeom prst="rect">
                    <a:avLst/>
                  </a:prstGeom>
                  <a:noFill/>
                  <a:ln w="9525">
                    <a:noFill/>
                    <a:miter lim="800000"/>
                    <a:headEnd/>
                    <a:tailEnd/>
                  </a:ln>
                </pic:spPr>
              </pic:pic>
            </a:graphicData>
          </a:graphic>
        </wp:anchor>
      </w:drawing>
    </w:r>
    <w:r>
      <w:rPr>
        <w:rFonts w:asciiTheme="majorHAnsi" w:hAnsiTheme="majorHAnsi"/>
        <w:b/>
        <w:color w:val="7F7F7F" w:themeColor="text1" w:themeTint="80"/>
        <w:sz w:val="20"/>
      </w:rPr>
      <w:t>Relations sociales</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82" o:spid="_x0000_s8217" type="#_x0000_t136" style="position:absolute;margin-left:0;margin-top:0;width:426.35pt;height:213.15pt;rotation:315;z-index:-251592704;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rsidP="001445B4">
    <w:pPr>
      <w:pStyle w:val="En-tte"/>
      <w:tabs>
        <w:tab w:val="left" w:pos="7728"/>
        <w:tab w:val="right" w:pos="9632"/>
      </w:tabs>
      <w:jc w:val="right"/>
    </w:pPr>
    <w:r>
      <w:rPr>
        <w:rFonts w:asciiTheme="majorHAnsi" w:hAnsiTheme="majorHAnsi"/>
        <w:b/>
        <w:noProof/>
        <w:color w:val="7F7F7F" w:themeColor="text1" w:themeTint="80"/>
        <w:sz w:val="20"/>
        <w:lang w:eastAsia="fr-FR"/>
      </w:rPr>
      <w:drawing>
        <wp:anchor distT="0" distB="0" distL="114300" distR="114300" simplePos="0" relativeHeight="251759616" behindDoc="1" locked="0" layoutInCell="1" allowOverlap="1" wp14:anchorId="594BAD27" wp14:editId="473E9F8A">
          <wp:simplePos x="0" y="0"/>
          <wp:positionH relativeFrom="column">
            <wp:posOffset>5994400</wp:posOffset>
          </wp:positionH>
          <wp:positionV relativeFrom="paragraph">
            <wp:posOffset>-114300</wp:posOffset>
          </wp:positionV>
          <wp:extent cx="305191" cy="302455"/>
          <wp:effectExtent l="25400" t="0" r="0" b="0"/>
          <wp:wrapNone/>
          <wp:docPr id="321" name="Image 1" descr="::Capture d’écran 2013-10-28 à 11.5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 d’écran 2013-10-28 à 11.53.40.png"/>
                  <pic:cNvPicPr>
                    <a:picLocks noChangeAspect="1" noChangeArrowheads="1"/>
                  </pic:cNvPicPr>
                </pic:nvPicPr>
                <pic:blipFill>
                  <a:blip r:embed="rId1"/>
                  <a:srcRect/>
                  <a:stretch>
                    <a:fillRect/>
                  </a:stretch>
                </pic:blipFill>
                <pic:spPr bwMode="auto">
                  <a:xfrm>
                    <a:off x="0" y="0"/>
                    <a:ext cx="305191" cy="302455"/>
                  </a:xfrm>
                  <a:prstGeom prst="rect">
                    <a:avLst/>
                  </a:prstGeom>
                  <a:noFill/>
                  <a:ln w="9525">
                    <a:noFill/>
                    <a:miter lim="800000"/>
                    <a:headEnd/>
                    <a:tailEnd/>
                  </a:ln>
                </pic:spPr>
              </pic:pic>
            </a:graphicData>
          </a:graphic>
        </wp:anchor>
      </w:drawing>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8227" type="#_x0000_t136" style="position:absolute;left:0;text-align:left;margin-left:0;margin-top:0;width:426.35pt;height:213.15pt;rotation:315;z-index:-251558912;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r>
      <w:rPr>
        <w:rFonts w:asciiTheme="majorHAnsi" w:hAnsiTheme="majorHAnsi"/>
        <w:b/>
        <w:color w:val="7F7F7F" w:themeColor="text1" w:themeTint="80"/>
        <w:sz w:val="20"/>
      </w:rPr>
      <w:t>Annexes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58" o:spid="_x0000_s8193" type="#_x0000_t136" style="position:absolute;margin-left:0;margin-top:0;width:426.35pt;height:213.15pt;rotation:315;z-index:-251641856;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65" o:spid="_x0000_s8200" type="#_x0000_t136" style="position:absolute;margin-left:0;margin-top:0;width:426.35pt;height:213.15pt;rotation:315;z-index:-251627520;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Pr="007A3F7A" w:rsidRDefault="007B1397" w:rsidP="00C8652E">
    <w:pPr>
      <w:pStyle w:val="En-tte"/>
      <w:tabs>
        <w:tab w:val="left" w:pos="7728"/>
        <w:tab w:val="right" w:pos="9632"/>
      </w:tabs>
      <w:jc w:val="right"/>
      <w:rPr>
        <w:rFonts w:asciiTheme="majorHAnsi" w:hAnsiTheme="majorHAnsi"/>
        <w:b/>
        <w:color w:val="7F7F7F" w:themeColor="text1" w:themeTint="80"/>
        <w:sz w:val="20"/>
      </w:rPr>
    </w:pPr>
    <w:r>
      <w:rPr>
        <w:rFonts w:asciiTheme="majorHAnsi" w:hAnsiTheme="majorHAnsi"/>
        <w:b/>
        <w:noProof/>
        <w:color w:val="7F7F7F" w:themeColor="text1" w:themeTint="80"/>
        <w:sz w:val="20"/>
        <w:lang w:eastAsia="fr-FR"/>
      </w:rPr>
      <w:drawing>
        <wp:anchor distT="0" distB="0" distL="114300" distR="114300" simplePos="0" relativeHeight="251743232" behindDoc="1" locked="0" layoutInCell="1" allowOverlap="1" wp14:anchorId="7966529A" wp14:editId="657BCB90">
          <wp:simplePos x="0" y="0"/>
          <wp:positionH relativeFrom="column">
            <wp:posOffset>6024245</wp:posOffset>
          </wp:positionH>
          <wp:positionV relativeFrom="paragraph">
            <wp:posOffset>-114935</wp:posOffset>
          </wp:positionV>
          <wp:extent cx="309880" cy="304800"/>
          <wp:effectExtent l="25400" t="0" r="0" b="0"/>
          <wp:wrapNone/>
          <wp:docPr id="315" name="Image 1" descr="::Capture d’écran 2013-10-24 à 10.2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 d’écran 2013-10-24 à 10.21.16.png"/>
                  <pic:cNvPicPr>
                    <a:picLocks noChangeAspect="1" noChangeArrowheads="1"/>
                  </pic:cNvPicPr>
                </pic:nvPicPr>
                <pic:blipFill>
                  <a:blip r:embed="rId1"/>
                  <a:srcRect/>
                  <a:stretch>
                    <a:fillRect/>
                  </a:stretch>
                </pic:blipFill>
                <pic:spPr bwMode="auto">
                  <a:xfrm>
                    <a:off x="0" y="0"/>
                    <a:ext cx="309880" cy="304800"/>
                  </a:xfrm>
                  <a:prstGeom prst="rect">
                    <a:avLst/>
                  </a:prstGeom>
                  <a:noFill/>
                  <a:ln w="9525">
                    <a:noFill/>
                    <a:miter lim="800000"/>
                    <a:headEnd/>
                    <a:tailEnd/>
                  </a:ln>
                </pic:spPr>
              </pic:pic>
            </a:graphicData>
          </a:graphic>
        </wp:anchor>
      </w:drawing>
    </w:r>
    <w:r w:rsidRPr="007A3F7A">
      <w:rPr>
        <w:rFonts w:asciiTheme="majorHAnsi" w:hAnsiTheme="majorHAnsi"/>
        <w:b/>
        <w:color w:val="7F7F7F" w:themeColor="text1" w:themeTint="80"/>
        <w:sz w:val="20"/>
      </w:rPr>
      <w:t>Emplois et effectifs</w:t>
    </w:r>
  </w:p>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8223" type="#_x0000_t136" style="position:absolute;margin-left:0;margin-top:0;width:426.35pt;height:213.15pt;rotation:315;z-index:-251575296;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320871" o:spid="_x0000_s8206" type="#_x0000_t136" style="position:absolute;margin-left:0;margin-top:0;width:426.35pt;height:213.15pt;rotation:315;z-index:-251615232;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rsidP="005721FB">
    <w:pPr>
      <w:pStyle w:val="En-tte"/>
      <w:jc w:val="right"/>
    </w:pPr>
    <w:r>
      <w:rPr>
        <w:rFonts w:asciiTheme="majorHAnsi" w:hAnsiTheme="majorHAnsi"/>
        <w:b/>
        <w:noProof/>
        <w:color w:val="7F7F7F" w:themeColor="text1" w:themeTint="80"/>
        <w:sz w:val="20"/>
        <w:lang w:eastAsia="fr-FR"/>
      </w:rPr>
      <w:drawing>
        <wp:anchor distT="0" distB="0" distL="114300" distR="114300" simplePos="0" relativeHeight="251750400" behindDoc="1" locked="0" layoutInCell="1" allowOverlap="1" wp14:anchorId="7D7A8721" wp14:editId="609EF506">
          <wp:simplePos x="0" y="0"/>
          <wp:positionH relativeFrom="rightMargin">
            <wp:align>left</wp:align>
          </wp:positionH>
          <wp:positionV relativeFrom="paragraph">
            <wp:posOffset>-89535</wp:posOffset>
          </wp:positionV>
          <wp:extent cx="342900" cy="317500"/>
          <wp:effectExtent l="0" t="0" r="0" b="6350"/>
          <wp:wrapNone/>
          <wp:docPr id="319" name="Image 1" descr="::Capture d’écran 2014-03-24 à 17.0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 d’écran 2014-03-24 à 17.06.55.png"/>
                  <pic:cNvPicPr>
                    <a:picLocks noChangeAspect="1" noChangeArrowheads="1"/>
                  </pic:cNvPicPr>
                </pic:nvPicPr>
                <pic:blipFill>
                  <a:blip r:embed="rId1"/>
                  <a:srcRect/>
                  <a:stretch>
                    <a:fillRect/>
                  </a:stretch>
                </pic:blipFill>
                <pic:spPr bwMode="auto">
                  <a:xfrm>
                    <a:off x="0" y="0"/>
                    <a:ext cx="342900" cy="317500"/>
                  </a:xfrm>
                  <a:prstGeom prst="rect">
                    <a:avLst/>
                  </a:prstGeom>
                  <a:noFill/>
                  <a:ln w="9525">
                    <a:noFill/>
                    <a:miter lim="800000"/>
                    <a:headEnd/>
                    <a:tailEnd/>
                  </a:ln>
                </pic:spPr>
              </pic:pic>
            </a:graphicData>
          </a:graphic>
        </wp:anchor>
      </w:drawing>
    </w:r>
    <w:r>
      <w:rPr>
        <w:rFonts w:asciiTheme="majorHAnsi" w:hAnsiTheme="majorHAnsi"/>
        <w:b/>
        <w:color w:val="7F7F7F" w:themeColor="text1" w:themeTint="80"/>
        <w:sz w:val="20"/>
      </w:rPr>
      <w:t>Rémunérations et charges salariales</w: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8224" type="#_x0000_t136" style="position:absolute;left:0;text-align:left;margin-left:0;margin-top:0;width:426.35pt;height:213.15pt;rotation:315;z-index:-251571200;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8225" type="#_x0000_t136" style="position:absolute;margin-left:0;margin-top:0;width:426.35pt;height:213.15pt;rotation:315;z-index:-251568128;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397" w:rsidRDefault="007B1397" w:rsidP="005721FB">
    <w:pPr>
      <w:pStyle w:val="En-tte"/>
      <w:jc w:val="right"/>
    </w:pPr>
    <w:r w:rsidRPr="0008233C">
      <w:rPr>
        <w:rFonts w:asciiTheme="majorHAnsi" w:hAnsiTheme="majorHAnsi"/>
        <w:b/>
        <w:noProof/>
        <w:color w:val="7F7F7F" w:themeColor="text1" w:themeTint="80"/>
        <w:sz w:val="20"/>
        <w:lang w:eastAsia="fr-FR"/>
      </w:rPr>
      <w:drawing>
        <wp:anchor distT="0" distB="0" distL="114300" distR="114300" simplePos="0" relativeHeight="251754496" behindDoc="1" locked="0" layoutInCell="1" allowOverlap="1" wp14:anchorId="620E7847" wp14:editId="60292C1C">
          <wp:simplePos x="0" y="0"/>
          <wp:positionH relativeFrom="column">
            <wp:posOffset>6172200</wp:posOffset>
          </wp:positionH>
          <wp:positionV relativeFrom="paragraph">
            <wp:posOffset>-127635</wp:posOffset>
          </wp:positionV>
          <wp:extent cx="377825" cy="355600"/>
          <wp:effectExtent l="25400" t="0" r="3175" b="0"/>
          <wp:wrapNone/>
          <wp:docPr id="377" name="Image 1" descr="::Capture d’écran 2013-11-18 à 10.4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 d’écran 2013-11-18 à 10.42.07.png"/>
                  <pic:cNvPicPr>
                    <a:picLocks noChangeAspect="1" noChangeArrowheads="1"/>
                  </pic:cNvPicPr>
                </pic:nvPicPr>
                <pic:blipFill>
                  <a:blip r:embed="rId1"/>
                  <a:srcRect/>
                  <a:stretch>
                    <a:fillRect/>
                  </a:stretch>
                </pic:blipFill>
                <pic:spPr bwMode="auto">
                  <a:xfrm>
                    <a:off x="0" y="0"/>
                    <a:ext cx="377825" cy="355600"/>
                  </a:xfrm>
                  <a:prstGeom prst="rect">
                    <a:avLst/>
                  </a:prstGeom>
                  <a:noFill/>
                  <a:ln w="9525">
                    <a:noFill/>
                    <a:miter lim="800000"/>
                    <a:headEnd/>
                    <a:tailEnd/>
                  </a:ln>
                </pic:spPr>
              </pic:pic>
            </a:graphicData>
          </a:graphic>
        </wp:anchor>
      </w:drawing>
    </w:r>
    <w:r>
      <w:rPr>
        <w:rFonts w:asciiTheme="majorHAnsi" w:hAnsiTheme="majorHAnsi"/>
        <w:b/>
        <w:color w:val="7F7F7F" w:themeColor="text1" w:themeTint="80"/>
        <w:sz w:val="20"/>
      </w:rPr>
      <w:t>Egalité Femme - Homme</w: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8226" type="#_x0000_t136" style="position:absolute;left:0;text-align:left;margin-left:0;margin-top:0;width:426.35pt;height:213.15pt;rotation:315;z-index:-251564032;mso-position-horizontal:center;mso-position-horizontal-relative:margin;mso-position-vertical:center;mso-position-vertical-relative:margin" o:allowincell="f" fillcolor="silver" stroked="f">
          <v:fill opacity=".5"/>
          <v:textpath style="font-family:&quot;Calibri&quot;;font-size:1pt" string="PROJE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C692D"/>
    <w:multiLevelType w:val="multilevel"/>
    <w:tmpl w:val="73B45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1A696B"/>
    <w:multiLevelType w:val="multilevel"/>
    <w:tmpl w:val="E75C4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715128"/>
    <w:multiLevelType w:val="multilevel"/>
    <w:tmpl w:val="43603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30B691C"/>
    <w:multiLevelType w:val="multilevel"/>
    <w:tmpl w:val="54641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55E231C"/>
    <w:multiLevelType w:val="multilevel"/>
    <w:tmpl w:val="3B92A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5066EA"/>
    <w:multiLevelType w:val="multilevel"/>
    <w:tmpl w:val="DA3CA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8EC6EFA"/>
    <w:multiLevelType w:val="hybridMultilevel"/>
    <w:tmpl w:val="A696759A"/>
    <w:lvl w:ilvl="0" w:tplc="6C2E8494">
      <w:numFmt w:val="bullet"/>
      <w:lvlText w:val="-"/>
      <w:lvlJc w:val="left"/>
      <w:pPr>
        <w:ind w:left="720" w:hanging="360"/>
      </w:pPr>
      <w:rPr>
        <w:rFonts w:ascii="Arial" w:eastAsia="Lucida Sans Unicode"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A702706"/>
    <w:multiLevelType w:val="multilevel"/>
    <w:tmpl w:val="774AD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EED3F39"/>
    <w:multiLevelType w:val="hybridMultilevel"/>
    <w:tmpl w:val="3B16279E"/>
    <w:lvl w:ilvl="0" w:tplc="040C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10D73EC1"/>
    <w:multiLevelType w:val="hybridMultilevel"/>
    <w:tmpl w:val="E2BCC40C"/>
    <w:lvl w:ilvl="0" w:tplc="C388C062">
      <w:start w:val="1"/>
      <w:numFmt w:val="decimal"/>
      <w:lvlText w:val="%1."/>
      <w:lvlJc w:val="left"/>
      <w:pPr>
        <w:ind w:left="750" w:hanging="390"/>
      </w:pPr>
      <w:rPr>
        <w:rFonts w:ascii="Florencesans Exp" w:hAnsi="Florencesans Exp" w:cs="Times New Roman"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0FD6EE1"/>
    <w:multiLevelType w:val="multilevel"/>
    <w:tmpl w:val="FC34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23A7E45"/>
    <w:multiLevelType w:val="hybridMultilevel"/>
    <w:tmpl w:val="11400F72"/>
    <w:lvl w:ilvl="0" w:tplc="119AA338">
      <w:start w:val="583"/>
      <w:numFmt w:val="bullet"/>
      <w:lvlText w:val="-"/>
      <w:lvlJc w:val="left"/>
      <w:pPr>
        <w:ind w:left="720" w:hanging="360"/>
      </w:pPr>
      <w:rPr>
        <w:rFonts w:ascii="Arial" w:eastAsiaTheme="minorHAnsi" w:hAnsi="Arial"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61E2BF1"/>
    <w:multiLevelType w:val="multilevel"/>
    <w:tmpl w:val="0DF26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649207B"/>
    <w:multiLevelType w:val="multilevel"/>
    <w:tmpl w:val="951E1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68A6F37"/>
    <w:multiLevelType w:val="multilevel"/>
    <w:tmpl w:val="D5EEA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72D3FFA"/>
    <w:multiLevelType w:val="hybridMultilevel"/>
    <w:tmpl w:val="31840DBC"/>
    <w:lvl w:ilvl="0" w:tplc="BA665BF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E9F680A"/>
    <w:multiLevelType w:val="hybridMultilevel"/>
    <w:tmpl w:val="1E261224"/>
    <w:lvl w:ilvl="0" w:tplc="B6BCCEC0">
      <w:start w:val="1"/>
      <w:numFmt w:val="decimal"/>
      <w:lvlText w:val="%1."/>
      <w:lvlJc w:val="left"/>
      <w:pPr>
        <w:ind w:left="756" w:hanging="396"/>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1EE27FB0"/>
    <w:multiLevelType w:val="multilevel"/>
    <w:tmpl w:val="B7F00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FAC41A9"/>
    <w:multiLevelType w:val="multilevel"/>
    <w:tmpl w:val="4544D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20F4EB9"/>
    <w:multiLevelType w:val="hybridMultilevel"/>
    <w:tmpl w:val="FAD43AD6"/>
    <w:lvl w:ilvl="0" w:tplc="B4302C2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25CB1D93"/>
    <w:multiLevelType w:val="multilevel"/>
    <w:tmpl w:val="AE208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AB06DE0"/>
    <w:multiLevelType w:val="hybridMultilevel"/>
    <w:tmpl w:val="4F9A5F52"/>
    <w:lvl w:ilvl="0" w:tplc="805A5D94">
      <w:start w:val="1"/>
      <w:numFmt w:val="decimal"/>
      <w:lvlText w:val="%1."/>
      <w:lvlJc w:val="left"/>
      <w:pPr>
        <w:ind w:left="820" w:hanging="4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2C0C7824"/>
    <w:multiLevelType w:val="multilevel"/>
    <w:tmpl w:val="974CB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F01012B"/>
    <w:multiLevelType w:val="multilevel"/>
    <w:tmpl w:val="158E3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FDC4261"/>
    <w:multiLevelType w:val="hybridMultilevel"/>
    <w:tmpl w:val="767622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FED5240"/>
    <w:multiLevelType w:val="multilevel"/>
    <w:tmpl w:val="45505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100112A"/>
    <w:multiLevelType w:val="multilevel"/>
    <w:tmpl w:val="6FB01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1704FB7"/>
    <w:multiLevelType w:val="multilevel"/>
    <w:tmpl w:val="D7A21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213349A"/>
    <w:multiLevelType w:val="hybridMultilevel"/>
    <w:tmpl w:val="6F742128"/>
    <w:lvl w:ilvl="0" w:tplc="F508C072">
      <w:start w:val="8"/>
      <w:numFmt w:val="decimal"/>
      <w:lvlText w:val="%1"/>
      <w:lvlJc w:val="left"/>
      <w:pPr>
        <w:ind w:left="720" w:hanging="360"/>
      </w:pPr>
      <w:rPr>
        <w:rFonts w:ascii="Florencesans Exp" w:hAnsi="Florencesans Exp"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322F5F32"/>
    <w:multiLevelType w:val="hybridMultilevel"/>
    <w:tmpl w:val="0B04122E"/>
    <w:lvl w:ilvl="0" w:tplc="A0127F74">
      <w:start w:val="8"/>
      <w:numFmt w:val="decimal"/>
      <w:lvlText w:val="%1"/>
      <w:lvlJc w:val="left"/>
      <w:pPr>
        <w:ind w:left="720" w:hanging="360"/>
      </w:pPr>
      <w:rPr>
        <w:rFonts w:ascii="Florencesans Exp" w:hAnsi="Florencesans Exp"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331A27D1"/>
    <w:multiLevelType w:val="multilevel"/>
    <w:tmpl w:val="5E42A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5E712F0"/>
    <w:multiLevelType w:val="multilevel"/>
    <w:tmpl w:val="56F420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62F5D7E"/>
    <w:multiLevelType w:val="multilevel"/>
    <w:tmpl w:val="C5780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94E24F9"/>
    <w:multiLevelType w:val="multilevel"/>
    <w:tmpl w:val="1CE6F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0484D06"/>
    <w:multiLevelType w:val="multilevel"/>
    <w:tmpl w:val="260C0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0FD7094"/>
    <w:multiLevelType w:val="multilevel"/>
    <w:tmpl w:val="78EEE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18269DC"/>
    <w:multiLevelType w:val="multilevel"/>
    <w:tmpl w:val="E0943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4CE5E60"/>
    <w:multiLevelType w:val="multilevel"/>
    <w:tmpl w:val="95D4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8F10C15"/>
    <w:multiLevelType w:val="multilevel"/>
    <w:tmpl w:val="48901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EE97CA6"/>
    <w:multiLevelType w:val="multilevel"/>
    <w:tmpl w:val="60006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26F2529"/>
    <w:multiLevelType w:val="multilevel"/>
    <w:tmpl w:val="8A9E6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58D3BD5"/>
    <w:multiLevelType w:val="multilevel"/>
    <w:tmpl w:val="36945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5D34B2F"/>
    <w:multiLevelType w:val="hybridMultilevel"/>
    <w:tmpl w:val="10A8471E"/>
    <w:lvl w:ilvl="0" w:tplc="3A22909A">
      <w:numFmt w:val="bullet"/>
      <w:lvlText w:val="-"/>
      <w:lvlJc w:val="left"/>
      <w:pPr>
        <w:ind w:left="720" w:hanging="360"/>
      </w:pPr>
      <w:rPr>
        <w:rFonts w:ascii="Cambria" w:eastAsiaTheme="minorHAnsi" w:hAnsi="Cambria" w:cs="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6541511"/>
    <w:multiLevelType w:val="multilevel"/>
    <w:tmpl w:val="C5783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8E34334"/>
    <w:multiLevelType w:val="multilevel"/>
    <w:tmpl w:val="BF2A2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909660F"/>
    <w:multiLevelType w:val="hybridMultilevel"/>
    <w:tmpl w:val="9ECEB1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5A0B1AA5"/>
    <w:multiLevelType w:val="multilevel"/>
    <w:tmpl w:val="CD20B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A6A63E1"/>
    <w:multiLevelType w:val="hybridMultilevel"/>
    <w:tmpl w:val="16784A7E"/>
    <w:lvl w:ilvl="0" w:tplc="3AF65944">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5CFC7807"/>
    <w:multiLevelType w:val="hybridMultilevel"/>
    <w:tmpl w:val="F10C00B0"/>
    <w:lvl w:ilvl="0" w:tplc="040C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5D4C77FD"/>
    <w:multiLevelType w:val="multilevel"/>
    <w:tmpl w:val="C8ECA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7795C79"/>
    <w:multiLevelType w:val="hybridMultilevel"/>
    <w:tmpl w:val="0AF00D6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689861C7"/>
    <w:multiLevelType w:val="multilevel"/>
    <w:tmpl w:val="D1DED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A144B19"/>
    <w:multiLevelType w:val="multilevel"/>
    <w:tmpl w:val="9E34D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B173143"/>
    <w:multiLevelType w:val="multilevel"/>
    <w:tmpl w:val="24B81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6CD27876"/>
    <w:multiLevelType w:val="hybridMultilevel"/>
    <w:tmpl w:val="1662FDD8"/>
    <w:lvl w:ilvl="0" w:tplc="1BC6D118">
      <w:numFmt w:val="bullet"/>
      <w:lvlText w:val="-"/>
      <w:lvlJc w:val="left"/>
      <w:pPr>
        <w:ind w:left="720" w:hanging="360"/>
      </w:pPr>
      <w:rPr>
        <w:rFonts w:ascii="Arial" w:eastAsiaTheme="minorHAnsi" w:hAnsi="Arial"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6D0B1602"/>
    <w:multiLevelType w:val="multilevel"/>
    <w:tmpl w:val="0700F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0041F60"/>
    <w:multiLevelType w:val="multilevel"/>
    <w:tmpl w:val="C42E8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742C0B74"/>
    <w:multiLevelType w:val="hybridMultilevel"/>
    <w:tmpl w:val="3CD292B8"/>
    <w:lvl w:ilvl="0" w:tplc="040C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nsid w:val="7DA16C44"/>
    <w:multiLevelType w:val="multilevel"/>
    <w:tmpl w:val="841A4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EE450DB"/>
    <w:multiLevelType w:val="multilevel"/>
    <w:tmpl w:val="2BB08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2"/>
  </w:num>
  <w:num w:numId="2">
    <w:abstractNumId w:val="54"/>
  </w:num>
  <w:num w:numId="3">
    <w:abstractNumId w:val="21"/>
  </w:num>
  <w:num w:numId="4">
    <w:abstractNumId w:val="9"/>
  </w:num>
  <w:num w:numId="5">
    <w:abstractNumId w:val="19"/>
  </w:num>
  <w:num w:numId="6">
    <w:abstractNumId w:val="6"/>
  </w:num>
  <w:num w:numId="7">
    <w:abstractNumId w:val="50"/>
  </w:num>
  <w:num w:numId="8">
    <w:abstractNumId w:val="57"/>
  </w:num>
  <w:num w:numId="9">
    <w:abstractNumId w:val="48"/>
  </w:num>
  <w:num w:numId="10">
    <w:abstractNumId w:val="8"/>
  </w:num>
  <w:num w:numId="11">
    <w:abstractNumId w:val="12"/>
  </w:num>
  <w:num w:numId="12">
    <w:abstractNumId w:val="34"/>
  </w:num>
  <w:num w:numId="13">
    <w:abstractNumId w:val="55"/>
  </w:num>
  <w:num w:numId="14">
    <w:abstractNumId w:val="7"/>
  </w:num>
  <w:num w:numId="15">
    <w:abstractNumId w:val="2"/>
  </w:num>
  <w:num w:numId="16">
    <w:abstractNumId w:val="58"/>
  </w:num>
  <w:num w:numId="17">
    <w:abstractNumId w:val="44"/>
  </w:num>
  <w:num w:numId="18">
    <w:abstractNumId w:val="26"/>
  </w:num>
  <w:num w:numId="19">
    <w:abstractNumId w:val="53"/>
  </w:num>
  <w:num w:numId="20">
    <w:abstractNumId w:val="25"/>
  </w:num>
  <w:num w:numId="21">
    <w:abstractNumId w:val="4"/>
  </w:num>
  <w:num w:numId="22">
    <w:abstractNumId w:val="37"/>
  </w:num>
  <w:num w:numId="23">
    <w:abstractNumId w:val="15"/>
  </w:num>
  <w:num w:numId="24">
    <w:abstractNumId w:val="11"/>
  </w:num>
  <w:num w:numId="25">
    <w:abstractNumId w:val="33"/>
  </w:num>
  <w:num w:numId="26">
    <w:abstractNumId w:val="27"/>
  </w:num>
  <w:num w:numId="27">
    <w:abstractNumId w:val="40"/>
  </w:num>
  <w:num w:numId="28">
    <w:abstractNumId w:val="10"/>
  </w:num>
  <w:num w:numId="29">
    <w:abstractNumId w:val="0"/>
  </w:num>
  <w:num w:numId="30">
    <w:abstractNumId w:val="35"/>
  </w:num>
  <w:num w:numId="31">
    <w:abstractNumId w:val="23"/>
  </w:num>
  <w:num w:numId="32">
    <w:abstractNumId w:val="20"/>
  </w:num>
  <w:num w:numId="33">
    <w:abstractNumId w:val="39"/>
  </w:num>
  <w:num w:numId="34">
    <w:abstractNumId w:val="17"/>
  </w:num>
  <w:num w:numId="35">
    <w:abstractNumId w:val="36"/>
  </w:num>
  <w:num w:numId="36">
    <w:abstractNumId w:val="56"/>
  </w:num>
  <w:num w:numId="37">
    <w:abstractNumId w:val="52"/>
  </w:num>
  <w:num w:numId="38">
    <w:abstractNumId w:val="13"/>
  </w:num>
  <w:num w:numId="39">
    <w:abstractNumId w:val="1"/>
  </w:num>
  <w:num w:numId="40">
    <w:abstractNumId w:val="29"/>
  </w:num>
  <w:num w:numId="41">
    <w:abstractNumId w:val="28"/>
  </w:num>
  <w:num w:numId="42">
    <w:abstractNumId w:val="31"/>
  </w:num>
  <w:num w:numId="43">
    <w:abstractNumId w:val="22"/>
  </w:num>
  <w:num w:numId="44">
    <w:abstractNumId w:val="43"/>
  </w:num>
  <w:num w:numId="45">
    <w:abstractNumId w:val="59"/>
  </w:num>
  <w:num w:numId="46">
    <w:abstractNumId w:val="51"/>
  </w:num>
  <w:num w:numId="47">
    <w:abstractNumId w:val="32"/>
  </w:num>
  <w:num w:numId="48">
    <w:abstractNumId w:val="18"/>
  </w:num>
  <w:num w:numId="49">
    <w:abstractNumId w:val="30"/>
  </w:num>
  <w:num w:numId="50">
    <w:abstractNumId w:val="46"/>
  </w:num>
  <w:num w:numId="51">
    <w:abstractNumId w:val="5"/>
  </w:num>
  <w:num w:numId="52">
    <w:abstractNumId w:val="14"/>
  </w:num>
  <w:num w:numId="53">
    <w:abstractNumId w:val="38"/>
  </w:num>
  <w:num w:numId="54">
    <w:abstractNumId w:val="3"/>
  </w:num>
  <w:num w:numId="55">
    <w:abstractNumId w:val="49"/>
  </w:num>
  <w:num w:numId="56">
    <w:abstractNumId w:val="41"/>
  </w:num>
  <w:num w:numId="57">
    <w:abstractNumId w:val="45"/>
  </w:num>
  <w:num w:numId="58">
    <w:abstractNumId w:val="47"/>
  </w:num>
  <w:num w:numId="59">
    <w:abstractNumId w:val="24"/>
  </w:num>
  <w:num w:numId="60">
    <w:abstractNumId w:val="1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8228"/>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33C4"/>
    <w:rsid w:val="00001510"/>
    <w:rsid w:val="00004754"/>
    <w:rsid w:val="00004F1E"/>
    <w:rsid w:val="00013836"/>
    <w:rsid w:val="00014880"/>
    <w:rsid w:val="00020814"/>
    <w:rsid w:val="00021904"/>
    <w:rsid w:val="00022954"/>
    <w:rsid w:val="0002576E"/>
    <w:rsid w:val="00036609"/>
    <w:rsid w:val="0005192D"/>
    <w:rsid w:val="0005511E"/>
    <w:rsid w:val="00074162"/>
    <w:rsid w:val="000909D4"/>
    <w:rsid w:val="000A142C"/>
    <w:rsid w:val="000A442C"/>
    <w:rsid w:val="000A4BC9"/>
    <w:rsid w:val="000C3482"/>
    <w:rsid w:val="000C37CA"/>
    <w:rsid w:val="000C4B90"/>
    <w:rsid w:val="000E009C"/>
    <w:rsid w:val="000E10F7"/>
    <w:rsid w:val="000F7399"/>
    <w:rsid w:val="000F7F93"/>
    <w:rsid w:val="0010626A"/>
    <w:rsid w:val="001113E2"/>
    <w:rsid w:val="0012036D"/>
    <w:rsid w:val="0013132E"/>
    <w:rsid w:val="00132BD7"/>
    <w:rsid w:val="001445B4"/>
    <w:rsid w:val="0014550D"/>
    <w:rsid w:val="001550AF"/>
    <w:rsid w:val="00155724"/>
    <w:rsid w:val="001557B7"/>
    <w:rsid w:val="00157456"/>
    <w:rsid w:val="0016692C"/>
    <w:rsid w:val="0017479A"/>
    <w:rsid w:val="00175436"/>
    <w:rsid w:val="001833F2"/>
    <w:rsid w:val="0019162F"/>
    <w:rsid w:val="001936E9"/>
    <w:rsid w:val="00194585"/>
    <w:rsid w:val="001958D0"/>
    <w:rsid w:val="00196D25"/>
    <w:rsid w:val="001B2CDA"/>
    <w:rsid w:val="001B482C"/>
    <w:rsid w:val="001C4896"/>
    <w:rsid w:val="001D3F69"/>
    <w:rsid w:val="001D664E"/>
    <w:rsid w:val="001E33C3"/>
    <w:rsid w:val="001F7977"/>
    <w:rsid w:val="00200A81"/>
    <w:rsid w:val="002117E9"/>
    <w:rsid w:val="00220E78"/>
    <w:rsid w:val="00227F0C"/>
    <w:rsid w:val="002450DD"/>
    <w:rsid w:val="00250AFD"/>
    <w:rsid w:val="00251AE0"/>
    <w:rsid w:val="002675EB"/>
    <w:rsid w:val="00274CC1"/>
    <w:rsid w:val="0029348C"/>
    <w:rsid w:val="00297C5A"/>
    <w:rsid w:val="002A04A8"/>
    <w:rsid w:val="002A33AC"/>
    <w:rsid w:val="002A3A09"/>
    <w:rsid w:val="002B5B97"/>
    <w:rsid w:val="002C0055"/>
    <w:rsid w:val="002C5708"/>
    <w:rsid w:val="002E5B58"/>
    <w:rsid w:val="002F1661"/>
    <w:rsid w:val="002F4936"/>
    <w:rsid w:val="002F53BA"/>
    <w:rsid w:val="002F7B25"/>
    <w:rsid w:val="00302249"/>
    <w:rsid w:val="0031545A"/>
    <w:rsid w:val="003207A4"/>
    <w:rsid w:val="0034289D"/>
    <w:rsid w:val="0034370E"/>
    <w:rsid w:val="00344AE7"/>
    <w:rsid w:val="003535B7"/>
    <w:rsid w:val="00353963"/>
    <w:rsid w:val="003542E0"/>
    <w:rsid w:val="003563AE"/>
    <w:rsid w:val="00356FCC"/>
    <w:rsid w:val="0036039B"/>
    <w:rsid w:val="003645BD"/>
    <w:rsid w:val="003648C9"/>
    <w:rsid w:val="00364E82"/>
    <w:rsid w:val="003732EA"/>
    <w:rsid w:val="0037455F"/>
    <w:rsid w:val="0039023B"/>
    <w:rsid w:val="00391ABE"/>
    <w:rsid w:val="0039265F"/>
    <w:rsid w:val="00394ADD"/>
    <w:rsid w:val="00394B44"/>
    <w:rsid w:val="0039788B"/>
    <w:rsid w:val="00397B3E"/>
    <w:rsid w:val="003A6B6B"/>
    <w:rsid w:val="003B3014"/>
    <w:rsid w:val="003C2267"/>
    <w:rsid w:val="003C38A7"/>
    <w:rsid w:val="003C44B0"/>
    <w:rsid w:val="003C4EE5"/>
    <w:rsid w:val="003D2E61"/>
    <w:rsid w:val="003D54CF"/>
    <w:rsid w:val="003E35AC"/>
    <w:rsid w:val="00401716"/>
    <w:rsid w:val="00402B6A"/>
    <w:rsid w:val="00405E26"/>
    <w:rsid w:val="00410BF4"/>
    <w:rsid w:val="004132E7"/>
    <w:rsid w:val="00414843"/>
    <w:rsid w:val="00416BF4"/>
    <w:rsid w:val="00425D3B"/>
    <w:rsid w:val="00430A36"/>
    <w:rsid w:val="00430B80"/>
    <w:rsid w:val="004337F6"/>
    <w:rsid w:val="00434813"/>
    <w:rsid w:val="004406FF"/>
    <w:rsid w:val="00441D55"/>
    <w:rsid w:val="00480DBE"/>
    <w:rsid w:val="004817E9"/>
    <w:rsid w:val="00481AB4"/>
    <w:rsid w:val="00484280"/>
    <w:rsid w:val="00485780"/>
    <w:rsid w:val="004906FE"/>
    <w:rsid w:val="00490A67"/>
    <w:rsid w:val="004951E4"/>
    <w:rsid w:val="00497A34"/>
    <w:rsid w:val="004A0C77"/>
    <w:rsid w:val="004A39F8"/>
    <w:rsid w:val="004A44AF"/>
    <w:rsid w:val="004B4CC0"/>
    <w:rsid w:val="004C2896"/>
    <w:rsid w:val="004C69C7"/>
    <w:rsid w:val="004E2374"/>
    <w:rsid w:val="004E38C1"/>
    <w:rsid w:val="004E756E"/>
    <w:rsid w:val="004F5229"/>
    <w:rsid w:val="004F6E92"/>
    <w:rsid w:val="00507316"/>
    <w:rsid w:val="00511CC9"/>
    <w:rsid w:val="005140CF"/>
    <w:rsid w:val="00526043"/>
    <w:rsid w:val="00530E60"/>
    <w:rsid w:val="00531D5D"/>
    <w:rsid w:val="00540D0A"/>
    <w:rsid w:val="00545884"/>
    <w:rsid w:val="0056630B"/>
    <w:rsid w:val="0057100E"/>
    <w:rsid w:val="005721FB"/>
    <w:rsid w:val="00572EC6"/>
    <w:rsid w:val="0057385C"/>
    <w:rsid w:val="005767ED"/>
    <w:rsid w:val="00576CAD"/>
    <w:rsid w:val="00583B02"/>
    <w:rsid w:val="00586D50"/>
    <w:rsid w:val="005A468D"/>
    <w:rsid w:val="005A5F27"/>
    <w:rsid w:val="005D3E21"/>
    <w:rsid w:val="005F10D0"/>
    <w:rsid w:val="005F7236"/>
    <w:rsid w:val="005F75C5"/>
    <w:rsid w:val="00600076"/>
    <w:rsid w:val="00612D21"/>
    <w:rsid w:val="00614455"/>
    <w:rsid w:val="006167C9"/>
    <w:rsid w:val="00632F56"/>
    <w:rsid w:val="0063789C"/>
    <w:rsid w:val="00644292"/>
    <w:rsid w:val="00646BCA"/>
    <w:rsid w:val="00651191"/>
    <w:rsid w:val="006531B5"/>
    <w:rsid w:val="00660B6D"/>
    <w:rsid w:val="00673080"/>
    <w:rsid w:val="00674EE9"/>
    <w:rsid w:val="006767F0"/>
    <w:rsid w:val="006933C4"/>
    <w:rsid w:val="006A0F48"/>
    <w:rsid w:val="006A23B9"/>
    <w:rsid w:val="006A5B45"/>
    <w:rsid w:val="006B05C9"/>
    <w:rsid w:val="006B4FBC"/>
    <w:rsid w:val="006B67BC"/>
    <w:rsid w:val="006B7D7A"/>
    <w:rsid w:val="006C5BFA"/>
    <w:rsid w:val="006D73DE"/>
    <w:rsid w:val="006E1A66"/>
    <w:rsid w:val="006E2A1C"/>
    <w:rsid w:val="006E4FA4"/>
    <w:rsid w:val="006E7D0E"/>
    <w:rsid w:val="006F6DA2"/>
    <w:rsid w:val="007023DF"/>
    <w:rsid w:val="00704E77"/>
    <w:rsid w:val="007059D2"/>
    <w:rsid w:val="00723750"/>
    <w:rsid w:val="007308D2"/>
    <w:rsid w:val="00736235"/>
    <w:rsid w:val="007367B4"/>
    <w:rsid w:val="0074755D"/>
    <w:rsid w:val="00753F3B"/>
    <w:rsid w:val="007670A0"/>
    <w:rsid w:val="007721B2"/>
    <w:rsid w:val="007740F2"/>
    <w:rsid w:val="0078088A"/>
    <w:rsid w:val="00783219"/>
    <w:rsid w:val="00784BA3"/>
    <w:rsid w:val="00790A39"/>
    <w:rsid w:val="0079235D"/>
    <w:rsid w:val="00794020"/>
    <w:rsid w:val="00795120"/>
    <w:rsid w:val="0079770C"/>
    <w:rsid w:val="00797AC4"/>
    <w:rsid w:val="007B1397"/>
    <w:rsid w:val="007B2DE5"/>
    <w:rsid w:val="007C0367"/>
    <w:rsid w:val="007C664C"/>
    <w:rsid w:val="007E1F51"/>
    <w:rsid w:val="007E2702"/>
    <w:rsid w:val="007E438B"/>
    <w:rsid w:val="007E62BF"/>
    <w:rsid w:val="007E6DF6"/>
    <w:rsid w:val="007E784B"/>
    <w:rsid w:val="007F200B"/>
    <w:rsid w:val="008143F3"/>
    <w:rsid w:val="0081452D"/>
    <w:rsid w:val="008235A7"/>
    <w:rsid w:val="00837980"/>
    <w:rsid w:val="008379A1"/>
    <w:rsid w:val="00851D20"/>
    <w:rsid w:val="00853FDF"/>
    <w:rsid w:val="00854544"/>
    <w:rsid w:val="008557F9"/>
    <w:rsid w:val="008829C6"/>
    <w:rsid w:val="00886A6D"/>
    <w:rsid w:val="008934C1"/>
    <w:rsid w:val="00893B48"/>
    <w:rsid w:val="00893D61"/>
    <w:rsid w:val="008952F5"/>
    <w:rsid w:val="008B0661"/>
    <w:rsid w:val="008D4F0F"/>
    <w:rsid w:val="008E0D32"/>
    <w:rsid w:val="008E3941"/>
    <w:rsid w:val="008E7AF8"/>
    <w:rsid w:val="00907204"/>
    <w:rsid w:val="00910452"/>
    <w:rsid w:val="009364BE"/>
    <w:rsid w:val="0094775C"/>
    <w:rsid w:val="00951981"/>
    <w:rsid w:val="009618BD"/>
    <w:rsid w:val="0097435A"/>
    <w:rsid w:val="00975C5E"/>
    <w:rsid w:val="00977E25"/>
    <w:rsid w:val="00983DC8"/>
    <w:rsid w:val="009A1A03"/>
    <w:rsid w:val="009A2778"/>
    <w:rsid w:val="009A557B"/>
    <w:rsid w:val="009B1EBA"/>
    <w:rsid w:val="009B2206"/>
    <w:rsid w:val="009B7078"/>
    <w:rsid w:val="009B7452"/>
    <w:rsid w:val="009C3091"/>
    <w:rsid w:val="009C43FC"/>
    <w:rsid w:val="009D2F10"/>
    <w:rsid w:val="009E05CE"/>
    <w:rsid w:val="009E3649"/>
    <w:rsid w:val="009E4E7D"/>
    <w:rsid w:val="009E55D3"/>
    <w:rsid w:val="009F3E2D"/>
    <w:rsid w:val="00A00C72"/>
    <w:rsid w:val="00A01D11"/>
    <w:rsid w:val="00A02B47"/>
    <w:rsid w:val="00A126FE"/>
    <w:rsid w:val="00A1382D"/>
    <w:rsid w:val="00A157BD"/>
    <w:rsid w:val="00A26705"/>
    <w:rsid w:val="00A277D3"/>
    <w:rsid w:val="00A40A8B"/>
    <w:rsid w:val="00A710F1"/>
    <w:rsid w:val="00A84C89"/>
    <w:rsid w:val="00AA5A4F"/>
    <w:rsid w:val="00AB6BC2"/>
    <w:rsid w:val="00AC3764"/>
    <w:rsid w:val="00AD1FF5"/>
    <w:rsid w:val="00AD7C87"/>
    <w:rsid w:val="00AE35BC"/>
    <w:rsid w:val="00AF1828"/>
    <w:rsid w:val="00AF3763"/>
    <w:rsid w:val="00AF66A6"/>
    <w:rsid w:val="00B03A48"/>
    <w:rsid w:val="00B06C44"/>
    <w:rsid w:val="00B07C3E"/>
    <w:rsid w:val="00B16C32"/>
    <w:rsid w:val="00B200D0"/>
    <w:rsid w:val="00B3517D"/>
    <w:rsid w:val="00B37922"/>
    <w:rsid w:val="00B41D42"/>
    <w:rsid w:val="00B42751"/>
    <w:rsid w:val="00B45E2C"/>
    <w:rsid w:val="00B477D6"/>
    <w:rsid w:val="00B5410E"/>
    <w:rsid w:val="00B6436F"/>
    <w:rsid w:val="00B72A6F"/>
    <w:rsid w:val="00B75970"/>
    <w:rsid w:val="00B92D79"/>
    <w:rsid w:val="00B93019"/>
    <w:rsid w:val="00B95022"/>
    <w:rsid w:val="00BA792C"/>
    <w:rsid w:val="00BB032A"/>
    <w:rsid w:val="00BB6567"/>
    <w:rsid w:val="00BC21D3"/>
    <w:rsid w:val="00BD113C"/>
    <w:rsid w:val="00BE311A"/>
    <w:rsid w:val="00BE5515"/>
    <w:rsid w:val="00BF0D02"/>
    <w:rsid w:val="00BF3535"/>
    <w:rsid w:val="00BF5332"/>
    <w:rsid w:val="00C17B5D"/>
    <w:rsid w:val="00C20644"/>
    <w:rsid w:val="00C36E3F"/>
    <w:rsid w:val="00C37AC1"/>
    <w:rsid w:val="00C43EE5"/>
    <w:rsid w:val="00C5377C"/>
    <w:rsid w:val="00C62DE8"/>
    <w:rsid w:val="00C750C5"/>
    <w:rsid w:val="00C8652E"/>
    <w:rsid w:val="00CA62C5"/>
    <w:rsid w:val="00CA6B02"/>
    <w:rsid w:val="00CC15B8"/>
    <w:rsid w:val="00CC26DB"/>
    <w:rsid w:val="00CC4389"/>
    <w:rsid w:val="00CC54C1"/>
    <w:rsid w:val="00CE06FA"/>
    <w:rsid w:val="00CE2172"/>
    <w:rsid w:val="00CF1E74"/>
    <w:rsid w:val="00CF32D8"/>
    <w:rsid w:val="00CF4CB1"/>
    <w:rsid w:val="00CF62C6"/>
    <w:rsid w:val="00D104FD"/>
    <w:rsid w:val="00D1195A"/>
    <w:rsid w:val="00D138D1"/>
    <w:rsid w:val="00D1704E"/>
    <w:rsid w:val="00D17A36"/>
    <w:rsid w:val="00D17B05"/>
    <w:rsid w:val="00D3228D"/>
    <w:rsid w:val="00D373AC"/>
    <w:rsid w:val="00D54C8C"/>
    <w:rsid w:val="00D5736F"/>
    <w:rsid w:val="00D61416"/>
    <w:rsid w:val="00D76F4A"/>
    <w:rsid w:val="00DA2118"/>
    <w:rsid w:val="00DC3D93"/>
    <w:rsid w:val="00DC7B99"/>
    <w:rsid w:val="00DD2953"/>
    <w:rsid w:val="00DE1CDE"/>
    <w:rsid w:val="00DF103E"/>
    <w:rsid w:val="00E03DFF"/>
    <w:rsid w:val="00E03F8D"/>
    <w:rsid w:val="00E069F0"/>
    <w:rsid w:val="00E12E45"/>
    <w:rsid w:val="00E52B5D"/>
    <w:rsid w:val="00E54322"/>
    <w:rsid w:val="00E56EA3"/>
    <w:rsid w:val="00E63FC7"/>
    <w:rsid w:val="00E73FC7"/>
    <w:rsid w:val="00E75F62"/>
    <w:rsid w:val="00E7644A"/>
    <w:rsid w:val="00E77D75"/>
    <w:rsid w:val="00E81EF6"/>
    <w:rsid w:val="00E82EAD"/>
    <w:rsid w:val="00E90256"/>
    <w:rsid w:val="00E90BC6"/>
    <w:rsid w:val="00EA4363"/>
    <w:rsid w:val="00EA4C22"/>
    <w:rsid w:val="00EA50E6"/>
    <w:rsid w:val="00EB1189"/>
    <w:rsid w:val="00EB5D43"/>
    <w:rsid w:val="00EB6632"/>
    <w:rsid w:val="00EB7AA4"/>
    <w:rsid w:val="00ED4555"/>
    <w:rsid w:val="00ED6D14"/>
    <w:rsid w:val="00EE5ECE"/>
    <w:rsid w:val="00EF3126"/>
    <w:rsid w:val="00EF333F"/>
    <w:rsid w:val="00F2030C"/>
    <w:rsid w:val="00F248D1"/>
    <w:rsid w:val="00F25F5B"/>
    <w:rsid w:val="00F26DCB"/>
    <w:rsid w:val="00F34BBC"/>
    <w:rsid w:val="00F35A77"/>
    <w:rsid w:val="00F362E3"/>
    <w:rsid w:val="00F43203"/>
    <w:rsid w:val="00F51BDD"/>
    <w:rsid w:val="00F554A4"/>
    <w:rsid w:val="00F60D19"/>
    <w:rsid w:val="00F67471"/>
    <w:rsid w:val="00F70873"/>
    <w:rsid w:val="00F71193"/>
    <w:rsid w:val="00F717D6"/>
    <w:rsid w:val="00F74B6C"/>
    <w:rsid w:val="00F837F1"/>
    <w:rsid w:val="00F9380F"/>
    <w:rsid w:val="00FA3AF1"/>
    <w:rsid w:val="00FA54CF"/>
    <w:rsid w:val="00FA5527"/>
    <w:rsid w:val="00FB45C6"/>
    <w:rsid w:val="00FC3CF1"/>
    <w:rsid w:val="00FD5199"/>
    <w:rsid w:val="00FE021B"/>
    <w:rsid w:val="00FF157D"/>
    <w:rsid w:val="00FF7A1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228"/>
    <o:shapelayout v:ext="edit">
      <o:idmap v:ext="edit" data="1"/>
    </o:shapelayout>
  </w:shapeDefaults>
  <w:decimalSymbol w:val=","/>
  <w:listSeparator w:val=";"/>
  <w15:chartTrackingRefBased/>
  <w15:docId w15:val="{AF331F29-5B47-4062-8EAE-FF24E559C7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33C4"/>
    <w:pPr>
      <w:spacing w:after="0" w:line="240" w:lineRule="auto"/>
    </w:pPr>
    <w:rPr>
      <w:sz w:val="24"/>
      <w:szCs w:val="24"/>
    </w:rPr>
  </w:style>
  <w:style w:type="paragraph" w:styleId="Titre1">
    <w:name w:val="heading 1"/>
    <w:basedOn w:val="Normal"/>
    <w:next w:val="Normal"/>
    <w:link w:val="Titre1Car"/>
    <w:uiPriority w:val="9"/>
    <w:qFormat/>
    <w:rsid w:val="00646BCA"/>
    <w:pPr>
      <w:keepNext/>
      <w:keepLines/>
      <w:spacing w:before="240" w:line="259" w:lineRule="auto"/>
      <w:outlineLvl w:val="0"/>
    </w:pPr>
    <w:rPr>
      <w:rFonts w:ascii="Calibri" w:eastAsia="Times New Roman" w:hAnsi="Calibri" w:cs="Times New Roman"/>
      <w:b/>
      <w:bCs/>
      <w:color w:val="345A8A"/>
      <w:sz w:val="32"/>
      <w:szCs w:val="32"/>
    </w:rPr>
  </w:style>
  <w:style w:type="paragraph" w:styleId="Titre2">
    <w:name w:val="heading 2"/>
    <w:basedOn w:val="Normal"/>
    <w:next w:val="Normal"/>
    <w:link w:val="Titre2Car"/>
    <w:uiPriority w:val="9"/>
    <w:unhideWhenUsed/>
    <w:qFormat/>
    <w:rsid w:val="00646BCA"/>
    <w:pPr>
      <w:keepNext/>
      <w:keepLines/>
      <w:spacing w:before="40" w:line="259" w:lineRule="auto"/>
      <w:outlineLvl w:val="1"/>
    </w:pPr>
    <w:rPr>
      <w:rFonts w:ascii="Calibri" w:eastAsia="Times New Roman" w:hAnsi="Calibri" w:cs="Times New Roman"/>
      <w:b/>
      <w:bCs/>
      <w:color w:val="4F81BD"/>
      <w:sz w:val="26"/>
      <w:szCs w:val="26"/>
    </w:rPr>
  </w:style>
  <w:style w:type="paragraph" w:styleId="Titre3">
    <w:name w:val="heading 3"/>
    <w:basedOn w:val="Normal"/>
    <w:next w:val="Normal"/>
    <w:link w:val="Titre3Car"/>
    <w:uiPriority w:val="9"/>
    <w:unhideWhenUsed/>
    <w:qFormat/>
    <w:rsid w:val="006933C4"/>
    <w:pPr>
      <w:keepNext/>
      <w:keepLines/>
      <w:spacing w:before="200"/>
      <w:outlineLvl w:val="2"/>
    </w:pPr>
    <w:rPr>
      <w:rFonts w:asciiTheme="majorHAnsi" w:eastAsiaTheme="majorEastAsia" w:hAnsiTheme="majorHAnsi" w:cstheme="majorBidi"/>
      <w:b/>
      <w:bCs/>
      <w:color w:val="5B9BD5"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6933C4"/>
    <w:rPr>
      <w:rFonts w:asciiTheme="majorHAnsi" w:eastAsiaTheme="majorEastAsia" w:hAnsiTheme="majorHAnsi" w:cstheme="majorBidi"/>
      <w:b/>
      <w:bCs/>
      <w:color w:val="5B9BD5" w:themeColor="accent1"/>
      <w:sz w:val="24"/>
      <w:szCs w:val="24"/>
    </w:rPr>
  </w:style>
  <w:style w:type="paragraph" w:styleId="Pieddepage">
    <w:name w:val="footer"/>
    <w:basedOn w:val="Normal"/>
    <w:link w:val="PieddepageCar"/>
    <w:uiPriority w:val="99"/>
    <w:unhideWhenUsed/>
    <w:rsid w:val="006933C4"/>
    <w:pPr>
      <w:tabs>
        <w:tab w:val="center" w:pos="4536"/>
        <w:tab w:val="right" w:pos="9072"/>
      </w:tabs>
    </w:pPr>
  </w:style>
  <w:style w:type="character" w:customStyle="1" w:styleId="PieddepageCar">
    <w:name w:val="Pied de page Car"/>
    <w:basedOn w:val="Policepardfaut"/>
    <w:link w:val="Pieddepage"/>
    <w:uiPriority w:val="99"/>
    <w:rsid w:val="006933C4"/>
    <w:rPr>
      <w:sz w:val="24"/>
      <w:szCs w:val="24"/>
    </w:rPr>
  </w:style>
  <w:style w:type="character" w:styleId="Numrodepage">
    <w:name w:val="page number"/>
    <w:basedOn w:val="Policepardfaut"/>
    <w:uiPriority w:val="99"/>
    <w:semiHidden/>
    <w:unhideWhenUsed/>
    <w:rsid w:val="006933C4"/>
  </w:style>
  <w:style w:type="paragraph" w:styleId="En-tte">
    <w:name w:val="header"/>
    <w:basedOn w:val="Normal"/>
    <w:link w:val="En-tteCar"/>
    <w:uiPriority w:val="99"/>
    <w:unhideWhenUsed/>
    <w:rsid w:val="00FF7A1F"/>
    <w:pPr>
      <w:tabs>
        <w:tab w:val="center" w:pos="4536"/>
        <w:tab w:val="right" w:pos="9072"/>
      </w:tabs>
    </w:pPr>
  </w:style>
  <w:style w:type="character" w:customStyle="1" w:styleId="En-tteCar">
    <w:name w:val="En-tête Car"/>
    <w:basedOn w:val="Policepardfaut"/>
    <w:link w:val="En-tte"/>
    <w:uiPriority w:val="99"/>
    <w:rsid w:val="00FF7A1F"/>
    <w:rPr>
      <w:sz w:val="24"/>
      <w:szCs w:val="24"/>
    </w:rPr>
  </w:style>
  <w:style w:type="paragraph" w:styleId="Textedebulles">
    <w:name w:val="Balloon Text"/>
    <w:basedOn w:val="Normal"/>
    <w:link w:val="TextedebullesCar"/>
    <w:uiPriority w:val="99"/>
    <w:semiHidden/>
    <w:unhideWhenUsed/>
    <w:rsid w:val="003732EA"/>
    <w:rPr>
      <w:rFonts w:ascii="Segoe UI" w:hAnsi="Segoe UI" w:cs="Segoe UI"/>
      <w:sz w:val="18"/>
      <w:szCs w:val="18"/>
    </w:rPr>
  </w:style>
  <w:style w:type="character" w:customStyle="1" w:styleId="TextedebullesCar">
    <w:name w:val="Texte de bulles Car"/>
    <w:basedOn w:val="Policepardfaut"/>
    <w:link w:val="Textedebulles"/>
    <w:uiPriority w:val="99"/>
    <w:semiHidden/>
    <w:rsid w:val="003732EA"/>
    <w:rPr>
      <w:rFonts w:ascii="Segoe UI" w:hAnsi="Segoe UI" w:cs="Segoe UI"/>
      <w:sz w:val="18"/>
      <w:szCs w:val="18"/>
    </w:rPr>
  </w:style>
  <w:style w:type="paragraph" w:styleId="Paragraphedeliste">
    <w:name w:val="List Paragraph"/>
    <w:basedOn w:val="Normal"/>
    <w:uiPriority w:val="34"/>
    <w:qFormat/>
    <w:rsid w:val="00853FDF"/>
    <w:pPr>
      <w:ind w:left="720"/>
      <w:contextualSpacing/>
    </w:pPr>
  </w:style>
  <w:style w:type="character" w:customStyle="1" w:styleId="Titre1Car">
    <w:name w:val="Titre 1 Car"/>
    <w:basedOn w:val="Policepardfaut"/>
    <w:link w:val="Titre1"/>
    <w:uiPriority w:val="9"/>
    <w:rsid w:val="00646BCA"/>
    <w:rPr>
      <w:rFonts w:ascii="Calibri" w:eastAsia="Times New Roman" w:hAnsi="Calibri" w:cs="Times New Roman"/>
      <w:b/>
      <w:bCs/>
      <w:color w:val="345A8A"/>
      <w:sz w:val="32"/>
      <w:szCs w:val="32"/>
    </w:rPr>
  </w:style>
  <w:style w:type="character" w:customStyle="1" w:styleId="Titre2Car">
    <w:name w:val="Titre 2 Car"/>
    <w:basedOn w:val="Policepardfaut"/>
    <w:link w:val="Titre2"/>
    <w:uiPriority w:val="9"/>
    <w:rsid w:val="00646BCA"/>
    <w:rPr>
      <w:rFonts w:ascii="Calibri" w:eastAsia="Times New Roman" w:hAnsi="Calibri" w:cs="Times New Roman"/>
      <w:b/>
      <w:bCs/>
      <w:color w:val="4F81BD"/>
      <w:sz w:val="26"/>
      <w:szCs w:val="26"/>
    </w:rPr>
  </w:style>
  <w:style w:type="paragraph" w:customStyle="1" w:styleId="Titre11">
    <w:name w:val="Titre 11"/>
    <w:basedOn w:val="Normal"/>
    <w:next w:val="Normal"/>
    <w:uiPriority w:val="9"/>
    <w:qFormat/>
    <w:rsid w:val="00646BCA"/>
    <w:pPr>
      <w:keepNext/>
      <w:keepLines/>
      <w:spacing w:before="480"/>
      <w:outlineLvl w:val="0"/>
    </w:pPr>
    <w:rPr>
      <w:rFonts w:ascii="Calibri" w:eastAsia="Times New Roman" w:hAnsi="Calibri" w:cs="Times New Roman"/>
      <w:b/>
      <w:bCs/>
      <w:color w:val="345A8A"/>
      <w:sz w:val="32"/>
      <w:szCs w:val="32"/>
    </w:rPr>
  </w:style>
  <w:style w:type="paragraph" w:customStyle="1" w:styleId="Titre21">
    <w:name w:val="Titre 21"/>
    <w:basedOn w:val="Normal"/>
    <w:next w:val="Normal"/>
    <w:uiPriority w:val="9"/>
    <w:unhideWhenUsed/>
    <w:qFormat/>
    <w:rsid w:val="00646BCA"/>
    <w:pPr>
      <w:keepNext/>
      <w:keepLines/>
      <w:spacing w:before="200"/>
      <w:outlineLvl w:val="1"/>
    </w:pPr>
    <w:rPr>
      <w:rFonts w:ascii="Calibri" w:eastAsia="Times New Roman" w:hAnsi="Calibri" w:cs="Times New Roman"/>
      <w:b/>
      <w:bCs/>
      <w:color w:val="4F81BD"/>
      <w:sz w:val="26"/>
      <w:szCs w:val="26"/>
    </w:rPr>
  </w:style>
  <w:style w:type="paragraph" w:customStyle="1" w:styleId="Titre31">
    <w:name w:val="Titre 31"/>
    <w:basedOn w:val="Normal"/>
    <w:next w:val="Normal"/>
    <w:uiPriority w:val="9"/>
    <w:unhideWhenUsed/>
    <w:qFormat/>
    <w:rsid w:val="00646BCA"/>
    <w:pPr>
      <w:keepNext/>
      <w:keepLines/>
      <w:spacing w:before="200"/>
      <w:outlineLvl w:val="2"/>
    </w:pPr>
    <w:rPr>
      <w:rFonts w:ascii="Calibri" w:eastAsia="Times New Roman" w:hAnsi="Calibri" w:cs="Times New Roman"/>
      <w:b/>
      <w:bCs/>
      <w:color w:val="4F81BD"/>
    </w:rPr>
  </w:style>
  <w:style w:type="numbering" w:customStyle="1" w:styleId="Aucuneliste1">
    <w:name w:val="Aucune liste1"/>
    <w:next w:val="Aucuneliste"/>
    <w:uiPriority w:val="99"/>
    <w:semiHidden/>
    <w:unhideWhenUsed/>
    <w:rsid w:val="00646BCA"/>
  </w:style>
  <w:style w:type="character" w:styleId="Lienhypertexte">
    <w:name w:val="Hyperlink"/>
    <w:basedOn w:val="Policepardfaut"/>
    <w:uiPriority w:val="99"/>
    <w:rsid w:val="00646BCA"/>
    <w:rPr>
      <w:color w:val="0000FF"/>
      <w:u w:val="single"/>
    </w:rPr>
  </w:style>
  <w:style w:type="character" w:styleId="Lienhypertextesuivivisit">
    <w:name w:val="FollowedHyperlink"/>
    <w:basedOn w:val="Policepardfaut"/>
    <w:uiPriority w:val="99"/>
    <w:rsid w:val="00646BCA"/>
    <w:rPr>
      <w:color w:val="993366"/>
      <w:u w:val="single"/>
    </w:rPr>
  </w:style>
  <w:style w:type="paragraph" w:customStyle="1" w:styleId="font5">
    <w:name w:val="font5"/>
    <w:basedOn w:val="Normal"/>
    <w:rsid w:val="00646BCA"/>
    <w:pPr>
      <w:spacing w:beforeLines="1" w:afterLines="1"/>
    </w:pPr>
    <w:rPr>
      <w:rFonts w:ascii="Verdana" w:hAnsi="Verdana"/>
      <w:sz w:val="16"/>
      <w:szCs w:val="16"/>
      <w:lang w:eastAsia="fr-FR"/>
    </w:rPr>
  </w:style>
  <w:style w:type="paragraph" w:customStyle="1" w:styleId="xl28">
    <w:name w:val="xl28"/>
    <w:basedOn w:val="Normal"/>
    <w:rsid w:val="00646BCA"/>
    <w:pPr>
      <w:pBdr>
        <w:top w:val="single" w:sz="4" w:space="0" w:color="969696"/>
        <w:left w:val="single" w:sz="4" w:space="0" w:color="969696"/>
        <w:bottom w:val="single" w:sz="4" w:space="0" w:color="969696"/>
        <w:right w:val="single" w:sz="4" w:space="0" w:color="969696"/>
      </w:pBdr>
      <w:shd w:val="clear" w:color="FFFFCC" w:fill="CC99FF"/>
      <w:spacing w:beforeLines="1" w:afterLines="1"/>
      <w:jc w:val="center"/>
      <w:textAlignment w:val="center"/>
    </w:pPr>
    <w:rPr>
      <w:rFonts w:ascii="Times New Roman" w:hAnsi="Times New Roman"/>
      <w:b/>
      <w:bCs/>
      <w:color w:val="E6E6E6"/>
      <w:lang w:eastAsia="fr-FR"/>
    </w:rPr>
  </w:style>
  <w:style w:type="paragraph" w:customStyle="1" w:styleId="xl29">
    <w:name w:val="xl29"/>
    <w:basedOn w:val="Normal"/>
    <w:rsid w:val="00646BCA"/>
    <w:pPr>
      <w:pBdr>
        <w:top w:val="single" w:sz="4" w:space="0" w:color="969696"/>
        <w:left w:val="single" w:sz="4" w:space="0" w:color="969696"/>
        <w:bottom w:val="single" w:sz="4" w:space="0" w:color="969696"/>
        <w:right w:val="single" w:sz="4" w:space="0" w:color="969696"/>
      </w:pBdr>
      <w:shd w:val="clear" w:color="FFFFCC" w:fill="E6E6E6"/>
      <w:spacing w:beforeLines="1" w:afterLines="1"/>
      <w:jc w:val="center"/>
      <w:textAlignment w:val="center"/>
    </w:pPr>
    <w:rPr>
      <w:rFonts w:ascii="Times New Roman" w:hAnsi="Times New Roman"/>
      <w:b/>
      <w:bCs/>
      <w:lang w:eastAsia="fr-FR"/>
    </w:rPr>
  </w:style>
  <w:style w:type="paragraph" w:customStyle="1" w:styleId="xl30">
    <w:name w:val="xl30"/>
    <w:basedOn w:val="Normal"/>
    <w:rsid w:val="00646BCA"/>
    <w:pPr>
      <w:pBdr>
        <w:top w:val="single" w:sz="4" w:space="0" w:color="969696"/>
        <w:left w:val="single" w:sz="4" w:space="0" w:color="969696"/>
        <w:bottom w:val="single" w:sz="4" w:space="0" w:color="969696"/>
        <w:right w:val="single" w:sz="4" w:space="0" w:color="969696"/>
      </w:pBdr>
      <w:shd w:val="clear" w:color="FFFFCC" w:fill="E6E6E6"/>
      <w:spacing w:beforeLines="1" w:afterLines="1"/>
      <w:jc w:val="center"/>
      <w:textAlignment w:val="center"/>
    </w:pPr>
    <w:rPr>
      <w:rFonts w:ascii="Times New Roman" w:hAnsi="Times New Roman"/>
      <w:lang w:eastAsia="fr-FR"/>
    </w:rPr>
  </w:style>
  <w:style w:type="paragraph" w:customStyle="1" w:styleId="xl31">
    <w:name w:val="xl31"/>
    <w:basedOn w:val="Normal"/>
    <w:rsid w:val="00646BCA"/>
    <w:pPr>
      <w:pBdr>
        <w:top w:val="single" w:sz="4" w:space="0" w:color="969696"/>
        <w:left w:val="single" w:sz="4" w:space="0" w:color="969696"/>
        <w:bottom w:val="single" w:sz="4" w:space="0" w:color="969696"/>
        <w:right w:val="single" w:sz="4" w:space="0" w:color="969696"/>
      </w:pBdr>
      <w:shd w:val="clear" w:color="FFFFCC" w:fill="E6E6E6"/>
      <w:spacing w:beforeLines="1" w:afterLines="1"/>
      <w:jc w:val="center"/>
      <w:textAlignment w:val="center"/>
    </w:pPr>
    <w:rPr>
      <w:rFonts w:ascii="Times New Roman" w:hAnsi="Times New Roman"/>
      <w:lang w:eastAsia="fr-FR"/>
    </w:rPr>
  </w:style>
  <w:style w:type="paragraph" w:customStyle="1" w:styleId="xl32">
    <w:name w:val="xl32"/>
    <w:basedOn w:val="Normal"/>
    <w:rsid w:val="00646BCA"/>
    <w:pPr>
      <w:pBdr>
        <w:top w:val="single" w:sz="4" w:space="0" w:color="969696"/>
        <w:left w:val="single" w:sz="4" w:space="0" w:color="969696"/>
        <w:bottom w:val="single" w:sz="4" w:space="0" w:color="969696"/>
        <w:right w:val="single" w:sz="4" w:space="0" w:color="969696"/>
      </w:pBdr>
      <w:shd w:val="clear" w:color="FFFFCC" w:fill="E6E6E6"/>
      <w:spacing w:beforeLines="1" w:afterLines="1"/>
      <w:textAlignment w:val="center"/>
    </w:pPr>
    <w:rPr>
      <w:rFonts w:ascii="Times New Roman" w:hAnsi="Times New Roman"/>
      <w:b/>
      <w:bCs/>
      <w:lang w:eastAsia="fr-FR"/>
    </w:rPr>
  </w:style>
  <w:style w:type="paragraph" w:customStyle="1" w:styleId="xl33">
    <w:name w:val="xl33"/>
    <w:basedOn w:val="Normal"/>
    <w:rsid w:val="00646BCA"/>
    <w:pPr>
      <w:pBdr>
        <w:top w:val="single" w:sz="4" w:space="0" w:color="969696"/>
        <w:left w:val="single" w:sz="4" w:space="0" w:color="969696"/>
        <w:bottom w:val="single" w:sz="4" w:space="0" w:color="969696"/>
        <w:right w:val="single" w:sz="4" w:space="0" w:color="969696"/>
      </w:pBdr>
      <w:spacing w:beforeLines="1" w:afterLines="1"/>
      <w:jc w:val="center"/>
      <w:textAlignment w:val="center"/>
    </w:pPr>
    <w:rPr>
      <w:rFonts w:ascii="Times New Roman" w:hAnsi="Times New Roman"/>
      <w:lang w:eastAsia="fr-FR"/>
    </w:rPr>
  </w:style>
  <w:style w:type="paragraph" w:customStyle="1" w:styleId="xl34">
    <w:name w:val="xl34"/>
    <w:basedOn w:val="Normal"/>
    <w:rsid w:val="00646BCA"/>
    <w:pPr>
      <w:pBdr>
        <w:top w:val="single" w:sz="4" w:space="0" w:color="969696"/>
        <w:left w:val="single" w:sz="4" w:space="0" w:color="969696"/>
        <w:bottom w:val="single" w:sz="4" w:space="0" w:color="969696"/>
        <w:right w:val="single" w:sz="4" w:space="0" w:color="969696"/>
      </w:pBdr>
      <w:spacing w:beforeLines="1" w:afterLines="1"/>
      <w:jc w:val="center"/>
      <w:textAlignment w:val="center"/>
    </w:pPr>
    <w:rPr>
      <w:rFonts w:ascii="Times New Roman" w:hAnsi="Times New Roman"/>
      <w:lang w:eastAsia="fr-FR"/>
    </w:rPr>
  </w:style>
  <w:style w:type="paragraph" w:customStyle="1" w:styleId="xl35">
    <w:name w:val="xl35"/>
    <w:basedOn w:val="Normal"/>
    <w:rsid w:val="00646BCA"/>
    <w:pPr>
      <w:pBdr>
        <w:top w:val="single" w:sz="4" w:space="0" w:color="969696"/>
        <w:left w:val="single" w:sz="4" w:space="0" w:color="969696"/>
        <w:bottom w:val="single" w:sz="4" w:space="0" w:color="969696"/>
        <w:right w:val="single" w:sz="4" w:space="0" w:color="969696"/>
      </w:pBdr>
      <w:spacing w:beforeLines="1" w:afterLines="1"/>
      <w:jc w:val="center"/>
      <w:textAlignment w:val="center"/>
    </w:pPr>
    <w:rPr>
      <w:rFonts w:ascii="Times New Roman" w:hAnsi="Times New Roman"/>
      <w:lang w:eastAsia="fr-FR"/>
    </w:rPr>
  </w:style>
  <w:style w:type="paragraph" w:customStyle="1" w:styleId="xl36">
    <w:name w:val="xl36"/>
    <w:basedOn w:val="Normal"/>
    <w:rsid w:val="00646BCA"/>
    <w:pPr>
      <w:pBdr>
        <w:top w:val="single" w:sz="4" w:space="0" w:color="969696"/>
        <w:left w:val="single" w:sz="4" w:space="0" w:color="969696"/>
        <w:bottom w:val="single" w:sz="4" w:space="0" w:color="969696"/>
        <w:right w:val="single" w:sz="4" w:space="0" w:color="969696"/>
      </w:pBdr>
      <w:spacing w:beforeLines="1" w:afterLines="1"/>
      <w:jc w:val="center"/>
      <w:textAlignment w:val="center"/>
    </w:pPr>
    <w:rPr>
      <w:rFonts w:ascii="Times New Roman" w:hAnsi="Times New Roman"/>
      <w:b/>
      <w:bCs/>
      <w:lang w:eastAsia="fr-FR"/>
    </w:rPr>
  </w:style>
  <w:style w:type="paragraph" w:customStyle="1" w:styleId="xl37">
    <w:name w:val="xl37"/>
    <w:basedOn w:val="Normal"/>
    <w:rsid w:val="00646BCA"/>
    <w:pPr>
      <w:pBdr>
        <w:top w:val="single" w:sz="4" w:space="0" w:color="969696"/>
        <w:left w:val="single" w:sz="4" w:space="0" w:color="969696"/>
        <w:bottom w:val="single" w:sz="4" w:space="0" w:color="969696"/>
        <w:right w:val="single" w:sz="4" w:space="0" w:color="969696"/>
      </w:pBdr>
      <w:spacing w:beforeLines="1" w:afterLines="1"/>
      <w:jc w:val="center"/>
      <w:textAlignment w:val="center"/>
    </w:pPr>
    <w:rPr>
      <w:rFonts w:ascii="Times New Roman" w:hAnsi="Times New Roman"/>
      <w:b/>
      <w:bCs/>
      <w:lang w:eastAsia="fr-FR"/>
    </w:rPr>
  </w:style>
  <w:style w:type="paragraph" w:customStyle="1" w:styleId="xl24">
    <w:name w:val="xl24"/>
    <w:basedOn w:val="Normal"/>
    <w:rsid w:val="00646BCA"/>
    <w:pPr>
      <w:pBdr>
        <w:top w:val="single" w:sz="4" w:space="0" w:color="808080"/>
        <w:left w:val="single" w:sz="4" w:space="0" w:color="808080"/>
        <w:bottom w:val="single" w:sz="4" w:space="0" w:color="808080"/>
        <w:right w:val="single" w:sz="4" w:space="0" w:color="808080"/>
      </w:pBdr>
      <w:spacing w:beforeLines="1" w:afterLines="1"/>
    </w:pPr>
    <w:rPr>
      <w:rFonts w:ascii="Times" w:hAnsi="Times"/>
      <w:sz w:val="20"/>
      <w:szCs w:val="20"/>
      <w:lang w:eastAsia="fr-FR"/>
    </w:rPr>
  </w:style>
  <w:style w:type="paragraph" w:customStyle="1" w:styleId="xl25">
    <w:name w:val="xl25"/>
    <w:basedOn w:val="Normal"/>
    <w:rsid w:val="00646BCA"/>
    <w:pPr>
      <w:pBdr>
        <w:top w:val="single" w:sz="4" w:space="0" w:color="808080"/>
        <w:left w:val="single" w:sz="4" w:space="0" w:color="808080"/>
        <w:bottom w:val="single" w:sz="4" w:space="0" w:color="808080"/>
        <w:right w:val="single" w:sz="4" w:space="0" w:color="808080"/>
      </w:pBdr>
      <w:spacing w:beforeLines="1" w:afterLines="1"/>
    </w:pPr>
    <w:rPr>
      <w:rFonts w:ascii="Arial" w:hAnsi="Arial"/>
      <w:b/>
      <w:bCs/>
      <w:sz w:val="20"/>
      <w:szCs w:val="20"/>
      <w:lang w:eastAsia="fr-FR"/>
    </w:rPr>
  </w:style>
  <w:style w:type="paragraph" w:customStyle="1" w:styleId="xl26">
    <w:name w:val="xl26"/>
    <w:basedOn w:val="Normal"/>
    <w:rsid w:val="00646BCA"/>
    <w:pPr>
      <w:spacing w:beforeLines="1" w:afterLines="1"/>
      <w:jc w:val="center"/>
      <w:textAlignment w:val="center"/>
    </w:pPr>
    <w:rPr>
      <w:rFonts w:ascii="Times" w:hAnsi="Times"/>
      <w:b/>
      <w:bCs/>
      <w:color w:val="FFFFFF"/>
      <w:sz w:val="20"/>
      <w:szCs w:val="20"/>
      <w:lang w:eastAsia="fr-FR"/>
    </w:rPr>
  </w:style>
  <w:style w:type="paragraph" w:customStyle="1" w:styleId="xl27">
    <w:name w:val="xl27"/>
    <w:basedOn w:val="Normal"/>
    <w:rsid w:val="00646BCA"/>
    <w:pPr>
      <w:spacing w:beforeLines="1" w:afterLines="1"/>
    </w:pPr>
    <w:rPr>
      <w:rFonts w:ascii="Arial" w:hAnsi="Arial"/>
      <w:b/>
      <w:bCs/>
      <w:sz w:val="20"/>
      <w:szCs w:val="20"/>
      <w:lang w:eastAsia="fr-FR"/>
    </w:rPr>
  </w:style>
  <w:style w:type="paragraph" w:customStyle="1" w:styleId="xl38">
    <w:name w:val="xl38"/>
    <w:basedOn w:val="Normal"/>
    <w:rsid w:val="00646BCA"/>
    <w:pPr>
      <w:pBdr>
        <w:top w:val="single" w:sz="4" w:space="0" w:color="808080"/>
        <w:left w:val="single" w:sz="4" w:space="0" w:color="808080"/>
        <w:bottom w:val="single" w:sz="4" w:space="0" w:color="808080"/>
        <w:right w:val="single" w:sz="4" w:space="0" w:color="808080"/>
      </w:pBdr>
      <w:shd w:val="clear" w:color="auto" w:fill="C0C0C0"/>
      <w:spacing w:beforeLines="1" w:afterLines="1"/>
      <w:jc w:val="center"/>
    </w:pPr>
    <w:rPr>
      <w:rFonts w:ascii="Times" w:hAnsi="Times"/>
      <w:b/>
      <w:bCs/>
      <w:color w:val="FFFFFF"/>
      <w:sz w:val="20"/>
      <w:szCs w:val="20"/>
      <w:lang w:eastAsia="fr-FR"/>
    </w:rPr>
  </w:style>
  <w:style w:type="paragraph" w:customStyle="1" w:styleId="xl39">
    <w:name w:val="xl39"/>
    <w:basedOn w:val="Normal"/>
    <w:rsid w:val="00646BCA"/>
    <w:pPr>
      <w:pBdr>
        <w:top w:val="single" w:sz="4" w:space="0" w:color="808080"/>
        <w:left w:val="single" w:sz="4" w:space="0" w:color="808080"/>
        <w:bottom w:val="single" w:sz="4" w:space="0" w:color="808080"/>
        <w:right w:val="single" w:sz="4" w:space="0" w:color="808080"/>
      </w:pBdr>
      <w:spacing w:beforeLines="1" w:afterLines="1"/>
      <w:jc w:val="center"/>
    </w:pPr>
    <w:rPr>
      <w:rFonts w:ascii="Arial" w:hAnsi="Arial"/>
      <w:b/>
      <w:bCs/>
      <w:sz w:val="20"/>
      <w:szCs w:val="20"/>
      <w:lang w:eastAsia="fr-FR"/>
    </w:rPr>
  </w:style>
  <w:style w:type="paragraph" w:customStyle="1" w:styleId="xl40">
    <w:name w:val="xl40"/>
    <w:basedOn w:val="Normal"/>
    <w:rsid w:val="00646BCA"/>
    <w:pPr>
      <w:pBdr>
        <w:top w:val="single" w:sz="4" w:space="0" w:color="808080"/>
        <w:left w:val="single" w:sz="4" w:space="0" w:color="808080"/>
        <w:bottom w:val="single" w:sz="4" w:space="0" w:color="808080"/>
        <w:right w:val="single" w:sz="4" w:space="0" w:color="808080"/>
      </w:pBdr>
      <w:spacing w:beforeLines="1" w:afterLines="1"/>
      <w:jc w:val="center"/>
    </w:pPr>
    <w:rPr>
      <w:rFonts w:ascii="Times" w:hAnsi="Times"/>
      <w:sz w:val="20"/>
      <w:szCs w:val="20"/>
      <w:lang w:eastAsia="fr-FR"/>
    </w:rPr>
  </w:style>
  <w:style w:type="paragraph" w:customStyle="1" w:styleId="xl41">
    <w:name w:val="xl41"/>
    <w:basedOn w:val="Normal"/>
    <w:rsid w:val="00646BCA"/>
    <w:pPr>
      <w:pBdr>
        <w:top w:val="single" w:sz="4" w:space="0" w:color="808080"/>
        <w:left w:val="single" w:sz="4" w:space="0" w:color="808080"/>
        <w:bottom w:val="single" w:sz="4" w:space="0" w:color="808080"/>
      </w:pBdr>
      <w:spacing w:beforeLines="1" w:afterLines="1"/>
      <w:jc w:val="center"/>
    </w:pPr>
    <w:rPr>
      <w:rFonts w:ascii="Arial" w:hAnsi="Arial"/>
      <w:b/>
      <w:bCs/>
      <w:sz w:val="20"/>
      <w:szCs w:val="20"/>
      <w:lang w:eastAsia="fr-FR"/>
    </w:rPr>
  </w:style>
  <w:style w:type="paragraph" w:customStyle="1" w:styleId="xl42">
    <w:name w:val="xl42"/>
    <w:basedOn w:val="Normal"/>
    <w:rsid w:val="00646BCA"/>
    <w:pPr>
      <w:pBdr>
        <w:top w:val="single" w:sz="4" w:space="0" w:color="808080"/>
        <w:bottom w:val="single" w:sz="4" w:space="0" w:color="808080"/>
        <w:right w:val="single" w:sz="4" w:space="0" w:color="808080"/>
      </w:pBdr>
      <w:spacing w:beforeLines="1" w:afterLines="1"/>
      <w:jc w:val="center"/>
    </w:pPr>
    <w:rPr>
      <w:rFonts w:ascii="Arial" w:hAnsi="Arial"/>
      <w:b/>
      <w:bCs/>
      <w:sz w:val="20"/>
      <w:szCs w:val="20"/>
      <w:lang w:eastAsia="fr-FR"/>
    </w:rPr>
  </w:style>
  <w:style w:type="paragraph" w:customStyle="1" w:styleId="xl43">
    <w:name w:val="xl43"/>
    <w:basedOn w:val="Normal"/>
    <w:rsid w:val="00646BCA"/>
    <w:pPr>
      <w:pBdr>
        <w:top w:val="single" w:sz="4" w:space="0" w:color="808080"/>
        <w:left w:val="single" w:sz="4" w:space="0" w:color="808080"/>
        <w:bottom w:val="single" w:sz="4" w:space="0" w:color="808080"/>
      </w:pBdr>
      <w:spacing w:beforeLines="1" w:afterLines="1"/>
    </w:pPr>
    <w:rPr>
      <w:rFonts w:ascii="Arial" w:hAnsi="Arial"/>
      <w:b/>
      <w:bCs/>
      <w:sz w:val="20"/>
      <w:szCs w:val="20"/>
      <w:lang w:eastAsia="fr-FR"/>
    </w:rPr>
  </w:style>
  <w:style w:type="paragraph" w:customStyle="1" w:styleId="xl44">
    <w:name w:val="xl44"/>
    <w:basedOn w:val="Normal"/>
    <w:rsid w:val="00646BCA"/>
    <w:pPr>
      <w:pBdr>
        <w:top w:val="single" w:sz="4" w:space="0" w:color="808080"/>
        <w:bottom w:val="single" w:sz="4" w:space="0" w:color="808080"/>
        <w:right w:val="single" w:sz="4" w:space="0" w:color="808080"/>
      </w:pBdr>
      <w:spacing w:beforeLines="1" w:afterLines="1"/>
    </w:pPr>
    <w:rPr>
      <w:rFonts w:ascii="Arial" w:hAnsi="Arial"/>
      <w:b/>
      <w:bCs/>
      <w:sz w:val="20"/>
      <w:szCs w:val="20"/>
      <w:lang w:eastAsia="fr-FR"/>
    </w:rPr>
  </w:style>
  <w:style w:type="paragraph" w:customStyle="1" w:styleId="xl45">
    <w:name w:val="xl45"/>
    <w:basedOn w:val="Normal"/>
    <w:rsid w:val="00646BCA"/>
    <w:pPr>
      <w:pBdr>
        <w:top w:val="single" w:sz="4" w:space="0" w:color="808080"/>
        <w:left w:val="single" w:sz="4" w:space="0" w:color="808080"/>
        <w:bottom w:val="single" w:sz="4" w:space="0" w:color="808080"/>
        <w:right w:val="single" w:sz="4" w:space="0" w:color="808080"/>
      </w:pBdr>
      <w:spacing w:beforeLines="1" w:afterLines="1"/>
      <w:textAlignment w:val="center"/>
    </w:pPr>
    <w:rPr>
      <w:rFonts w:ascii="Arial" w:hAnsi="Arial"/>
      <w:b/>
      <w:bCs/>
      <w:sz w:val="20"/>
      <w:szCs w:val="20"/>
      <w:lang w:eastAsia="fr-FR"/>
    </w:rPr>
  </w:style>
  <w:style w:type="paragraph" w:customStyle="1" w:styleId="xl46">
    <w:name w:val="xl46"/>
    <w:basedOn w:val="Normal"/>
    <w:rsid w:val="00646BCA"/>
    <w:pPr>
      <w:pBdr>
        <w:top w:val="single" w:sz="4" w:space="0" w:color="808080"/>
        <w:left w:val="single" w:sz="4" w:space="0" w:color="808080"/>
        <w:bottom w:val="single" w:sz="4" w:space="0" w:color="808080"/>
        <w:right w:val="single" w:sz="4" w:space="0" w:color="808080"/>
      </w:pBdr>
      <w:shd w:val="clear" w:color="auto" w:fill="F20884"/>
      <w:spacing w:beforeLines="1" w:afterLines="1"/>
      <w:jc w:val="center"/>
      <w:textAlignment w:val="center"/>
    </w:pPr>
    <w:rPr>
      <w:rFonts w:ascii="Times" w:hAnsi="Times"/>
      <w:b/>
      <w:bCs/>
      <w:color w:val="FFFFFF"/>
      <w:lang w:eastAsia="fr-FR"/>
    </w:rPr>
  </w:style>
  <w:style w:type="paragraph" w:customStyle="1" w:styleId="xl47">
    <w:name w:val="xl47"/>
    <w:basedOn w:val="Normal"/>
    <w:rsid w:val="00646BCA"/>
    <w:pPr>
      <w:pBdr>
        <w:top w:val="single" w:sz="4" w:space="0" w:color="808080"/>
        <w:left w:val="single" w:sz="4" w:space="0" w:color="808080"/>
        <w:bottom w:val="single" w:sz="4" w:space="0" w:color="808080"/>
      </w:pBdr>
      <w:shd w:val="clear" w:color="auto" w:fill="C0C0C0"/>
      <w:spacing w:beforeLines="1" w:afterLines="1"/>
      <w:jc w:val="center"/>
      <w:textAlignment w:val="center"/>
    </w:pPr>
    <w:rPr>
      <w:rFonts w:ascii="Times" w:hAnsi="Times"/>
      <w:b/>
      <w:bCs/>
      <w:color w:val="FFFFFF"/>
      <w:sz w:val="22"/>
      <w:szCs w:val="22"/>
      <w:lang w:eastAsia="fr-FR"/>
    </w:rPr>
  </w:style>
  <w:style w:type="paragraph" w:customStyle="1" w:styleId="xl48">
    <w:name w:val="xl48"/>
    <w:basedOn w:val="Normal"/>
    <w:rsid w:val="00646BCA"/>
    <w:pPr>
      <w:pBdr>
        <w:top w:val="single" w:sz="4" w:space="0" w:color="808080"/>
        <w:bottom w:val="single" w:sz="4" w:space="0" w:color="808080"/>
        <w:right w:val="single" w:sz="4" w:space="0" w:color="808080"/>
      </w:pBdr>
      <w:shd w:val="clear" w:color="auto" w:fill="C0C0C0"/>
      <w:spacing w:beforeLines="1" w:afterLines="1"/>
      <w:jc w:val="center"/>
      <w:textAlignment w:val="center"/>
    </w:pPr>
    <w:rPr>
      <w:rFonts w:ascii="Times" w:hAnsi="Times"/>
      <w:b/>
      <w:bCs/>
      <w:color w:val="FFFFFF"/>
      <w:sz w:val="22"/>
      <w:szCs w:val="22"/>
      <w:lang w:eastAsia="fr-FR"/>
    </w:rPr>
  </w:style>
  <w:style w:type="paragraph" w:customStyle="1" w:styleId="xl49">
    <w:name w:val="xl49"/>
    <w:basedOn w:val="Normal"/>
    <w:rsid w:val="00646BCA"/>
    <w:pPr>
      <w:pBdr>
        <w:top w:val="single" w:sz="4" w:space="0" w:color="808080"/>
        <w:left w:val="single" w:sz="4" w:space="0" w:color="808080"/>
        <w:bottom w:val="single" w:sz="4" w:space="0" w:color="808080"/>
        <w:right w:val="single" w:sz="4" w:space="0" w:color="808080"/>
      </w:pBdr>
      <w:shd w:val="clear" w:color="auto" w:fill="C0C0C0"/>
      <w:spacing w:beforeLines="1" w:afterLines="1"/>
      <w:jc w:val="center"/>
      <w:textAlignment w:val="center"/>
    </w:pPr>
    <w:rPr>
      <w:rFonts w:ascii="Times" w:hAnsi="Times"/>
      <w:b/>
      <w:bCs/>
      <w:color w:val="FFFFFF"/>
      <w:sz w:val="22"/>
      <w:szCs w:val="22"/>
      <w:lang w:eastAsia="fr-FR"/>
    </w:rPr>
  </w:style>
  <w:style w:type="paragraph" w:customStyle="1" w:styleId="font0">
    <w:name w:val="font0"/>
    <w:basedOn w:val="Normal"/>
    <w:rsid w:val="00646BCA"/>
    <w:pPr>
      <w:spacing w:beforeLines="1" w:afterLines="1"/>
    </w:pPr>
    <w:rPr>
      <w:rFonts w:ascii="Verdana" w:hAnsi="Verdana"/>
      <w:sz w:val="20"/>
      <w:szCs w:val="20"/>
      <w:lang w:eastAsia="fr-FR"/>
    </w:rPr>
  </w:style>
  <w:style w:type="paragraph" w:customStyle="1" w:styleId="font6">
    <w:name w:val="font6"/>
    <w:basedOn w:val="Normal"/>
    <w:rsid w:val="00646BCA"/>
    <w:pPr>
      <w:spacing w:beforeLines="1" w:afterLines="1"/>
    </w:pPr>
    <w:rPr>
      <w:rFonts w:ascii="Verdana" w:hAnsi="Verdana"/>
      <w:sz w:val="20"/>
      <w:szCs w:val="20"/>
      <w:lang w:eastAsia="fr-FR"/>
    </w:rPr>
  </w:style>
  <w:style w:type="paragraph" w:customStyle="1" w:styleId="xl50">
    <w:name w:val="xl50"/>
    <w:basedOn w:val="Normal"/>
    <w:rsid w:val="00646BCA"/>
    <w:pPr>
      <w:pBdr>
        <w:top w:val="single" w:sz="4" w:space="0" w:color="808080"/>
        <w:left w:val="single" w:sz="4" w:space="0" w:color="808080"/>
        <w:bottom w:val="single" w:sz="4" w:space="0" w:color="808080"/>
        <w:right w:val="single" w:sz="4" w:space="0" w:color="808080"/>
      </w:pBdr>
      <w:shd w:val="clear" w:color="auto" w:fill="C0C0C0"/>
      <w:spacing w:beforeLines="1" w:afterLines="1"/>
      <w:jc w:val="center"/>
      <w:textAlignment w:val="center"/>
    </w:pPr>
    <w:rPr>
      <w:rFonts w:ascii="Times" w:hAnsi="Times"/>
      <w:sz w:val="20"/>
      <w:szCs w:val="20"/>
      <w:lang w:eastAsia="fr-FR"/>
    </w:rPr>
  </w:style>
  <w:style w:type="paragraph" w:customStyle="1" w:styleId="xl51">
    <w:name w:val="xl51"/>
    <w:basedOn w:val="Normal"/>
    <w:rsid w:val="00646BCA"/>
    <w:pPr>
      <w:pBdr>
        <w:top w:val="single" w:sz="8" w:space="0" w:color="333333"/>
        <w:left w:val="single" w:sz="8" w:space="0" w:color="333333"/>
        <w:bottom w:val="single" w:sz="8" w:space="0" w:color="333333"/>
      </w:pBdr>
      <w:shd w:val="clear" w:color="auto" w:fill="FF99CC"/>
      <w:spacing w:beforeLines="1" w:afterLines="1"/>
      <w:jc w:val="center"/>
      <w:textAlignment w:val="center"/>
    </w:pPr>
    <w:rPr>
      <w:rFonts w:ascii="Times" w:hAnsi="Times"/>
      <w:b/>
      <w:bCs/>
      <w:color w:val="FFFFFF"/>
      <w:sz w:val="20"/>
      <w:szCs w:val="20"/>
      <w:lang w:eastAsia="fr-FR"/>
    </w:rPr>
  </w:style>
  <w:style w:type="paragraph" w:customStyle="1" w:styleId="xl52">
    <w:name w:val="xl52"/>
    <w:basedOn w:val="Normal"/>
    <w:rsid w:val="00646BCA"/>
    <w:pPr>
      <w:pBdr>
        <w:top w:val="single" w:sz="8" w:space="0" w:color="333333"/>
        <w:bottom w:val="single" w:sz="8" w:space="0" w:color="333333"/>
      </w:pBdr>
      <w:shd w:val="clear" w:color="auto" w:fill="FF99CC"/>
      <w:spacing w:beforeLines="1" w:afterLines="1"/>
      <w:jc w:val="center"/>
      <w:textAlignment w:val="center"/>
    </w:pPr>
    <w:rPr>
      <w:rFonts w:ascii="Times" w:hAnsi="Times"/>
      <w:b/>
      <w:bCs/>
      <w:color w:val="FFFFFF"/>
      <w:sz w:val="20"/>
      <w:szCs w:val="20"/>
      <w:lang w:eastAsia="fr-FR"/>
    </w:rPr>
  </w:style>
  <w:style w:type="paragraph" w:customStyle="1" w:styleId="xl53">
    <w:name w:val="xl53"/>
    <w:basedOn w:val="Normal"/>
    <w:rsid w:val="00646BCA"/>
    <w:pPr>
      <w:pBdr>
        <w:top w:val="single" w:sz="8" w:space="0" w:color="333333"/>
        <w:bottom w:val="single" w:sz="8" w:space="0" w:color="333333"/>
        <w:right w:val="single" w:sz="8" w:space="0" w:color="333333"/>
      </w:pBdr>
      <w:shd w:val="clear" w:color="auto" w:fill="FF99CC"/>
      <w:spacing w:beforeLines="1" w:afterLines="1"/>
      <w:jc w:val="center"/>
      <w:textAlignment w:val="center"/>
    </w:pPr>
    <w:rPr>
      <w:rFonts w:ascii="Times" w:hAnsi="Times"/>
      <w:b/>
      <w:bCs/>
      <w:color w:val="FFFFFF"/>
      <w:sz w:val="20"/>
      <w:szCs w:val="20"/>
      <w:lang w:eastAsia="fr-FR"/>
    </w:rPr>
  </w:style>
  <w:style w:type="paragraph" w:customStyle="1" w:styleId="xl54">
    <w:name w:val="xl54"/>
    <w:basedOn w:val="Normal"/>
    <w:rsid w:val="00646BCA"/>
    <w:pPr>
      <w:pBdr>
        <w:top w:val="single" w:sz="4" w:space="0" w:color="808080"/>
        <w:left w:val="single" w:sz="4" w:space="0" w:color="808080"/>
        <w:bottom w:val="single" w:sz="4" w:space="0" w:color="808080"/>
        <w:right w:val="single" w:sz="4" w:space="0" w:color="808080"/>
      </w:pBdr>
      <w:spacing w:beforeLines="1" w:afterLines="1"/>
    </w:pPr>
    <w:rPr>
      <w:rFonts w:ascii="Arial" w:hAnsi="Arial"/>
      <w:i/>
      <w:iCs/>
      <w:sz w:val="18"/>
      <w:szCs w:val="18"/>
      <w:lang w:eastAsia="fr-FR"/>
    </w:rPr>
  </w:style>
  <w:style w:type="paragraph" w:customStyle="1" w:styleId="xl55">
    <w:name w:val="xl55"/>
    <w:basedOn w:val="Normal"/>
    <w:rsid w:val="00646BCA"/>
    <w:pPr>
      <w:pBdr>
        <w:top w:val="single" w:sz="4" w:space="0" w:color="808080"/>
        <w:left w:val="single" w:sz="4" w:space="0" w:color="808080"/>
        <w:bottom w:val="single" w:sz="4" w:space="0" w:color="808080"/>
        <w:right w:val="single" w:sz="4" w:space="0" w:color="808080"/>
      </w:pBdr>
      <w:spacing w:beforeLines="1" w:afterLines="1"/>
      <w:jc w:val="center"/>
    </w:pPr>
    <w:rPr>
      <w:rFonts w:ascii="Arial" w:hAnsi="Arial"/>
      <w:i/>
      <w:iCs/>
      <w:sz w:val="18"/>
      <w:szCs w:val="18"/>
      <w:lang w:eastAsia="fr-FR"/>
    </w:rPr>
  </w:style>
  <w:style w:type="paragraph" w:customStyle="1" w:styleId="xl56">
    <w:name w:val="xl56"/>
    <w:basedOn w:val="Normal"/>
    <w:rsid w:val="00646BCA"/>
    <w:pPr>
      <w:pBdr>
        <w:top w:val="single" w:sz="4" w:space="0" w:color="808080"/>
        <w:left w:val="single" w:sz="4" w:space="0" w:color="808080"/>
        <w:bottom w:val="single" w:sz="4" w:space="0" w:color="808080"/>
        <w:right w:val="single" w:sz="4" w:space="0" w:color="808080"/>
      </w:pBdr>
      <w:shd w:val="clear" w:color="CCFFFF" w:fill="C0C0C0"/>
      <w:spacing w:beforeLines="1" w:afterLines="1"/>
      <w:jc w:val="center"/>
    </w:pPr>
    <w:rPr>
      <w:rFonts w:ascii="Arial" w:hAnsi="Arial"/>
      <w:i/>
      <w:iCs/>
      <w:sz w:val="18"/>
      <w:szCs w:val="18"/>
      <w:lang w:eastAsia="fr-FR"/>
    </w:rPr>
  </w:style>
  <w:style w:type="paragraph" w:customStyle="1" w:styleId="xl57">
    <w:name w:val="xl57"/>
    <w:basedOn w:val="Normal"/>
    <w:rsid w:val="00646BCA"/>
    <w:pPr>
      <w:pBdr>
        <w:top w:val="single" w:sz="4" w:space="0" w:color="808080"/>
        <w:left w:val="single" w:sz="4" w:space="0" w:color="808080"/>
        <w:bottom w:val="single" w:sz="4" w:space="0" w:color="808080"/>
        <w:right w:val="single" w:sz="4" w:space="0" w:color="808080"/>
      </w:pBdr>
      <w:spacing w:beforeLines="1" w:afterLines="1"/>
      <w:jc w:val="center"/>
    </w:pPr>
    <w:rPr>
      <w:rFonts w:ascii="Arial" w:hAnsi="Arial"/>
      <w:sz w:val="18"/>
      <w:szCs w:val="18"/>
      <w:lang w:eastAsia="fr-FR"/>
    </w:rPr>
  </w:style>
  <w:style w:type="paragraph" w:customStyle="1" w:styleId="xl58">
    <w:name w:val="xl58"/>
    <w:basedOn w:val="Normal"/>
    <w:rsid w:val="00646BCA"/>
    <w:pPr>
      <w:pBdr>
        <w:top w:val="single" w:sz="4" w:space="0" w:color="808080"/>
        <w:left w:val="single" w:sz="4" w:space="0" w:color="808080"/>
        <w:bottom w:val="single" w:sz="4" w:space="0" w:color="808080"/>
        <w:right w:val="single" w:sz="4" w:space="0" w:color="808080"/>
      </w:pBdr>
      <w:spacing w:beforeLines="1" w:afterLines="1"/>
      <w:jc w:val="center"/>
    </w:pPr>
    <w:rPr>
      <w:rFonts w:ascii="Arial" w:hAnsi="Arial"/>
      <w:b/>
      <w:bCs/>
      <w:i/>
      <w:iCs/>
      <w:sz w:val="18"/>
      <w:szCs w:val="18"/>
      <w:lang w:eastAsia="fr-FR"/>
    </w:rPr>
  </w:style>
  <w:style w:type="paragraph" w:customStyle="1" w:styleId="xl59">
    <w:name w:val="xl59"/>
    <w:basedOn w:val="Normal"/>
    <w:rsid w:val="00646BCA"/>
    <w:pPr>
      <w:spacing w:beforeLines="1" w:afterLines="1"/>
    </w:pPr>
    <w:rPr>
      <w:rFonts w:ascii="Arial" w:hAnsi="Arial"/>
      <w:b/>
      <w:bCs/>
      <w:color w:val="FF0000"/>
      <w:sz w:val="18"/>
      <w:szCs w:val="18"/>
      <w:lang w:eastAsia="fr-FR"/>
    </w:rPr>
  </w:style>
  <w:style w:type="paragraph" w:customStyle="1" w:styleId="xl60">
    <w:name w:val="xl60"/>
    <w:basedOn w:val="Normal"/>
    <w:rsid w:val="00646BCA"/>
    <w:pPr>
      <w:pBdr>
        <w:top w:val="single" w:sz="4" w:space="0" w:color="808080"/>
        <w:left w:val="single" w:sz="4" w:space="0" w:color="808080"/>
        <w:bottom w:val="single" w:sz="4" w:space="0" w:color="808080"/>
        <w:right w:val="single" w:sz="4" w:space="0" w:color="808080"/>
      </w:pBdr>
      <w:spacing w:beforeLines="1" w:afterLines="1"/>
    </w:pPr>
    <w:rPr>
      <w:rFonts w:ascii="Arial" w:hAnsi="Arial"/>
      <w:sz w:val="18"/>
      <w:szCs w:val="18"/>
      <w:lang w:eastAsia="fr-FR"/>
    </w:rPr>
  </w:style>
  <w:style w:type="paragraph" w:customStyle="1" w:styleId="xl61">
    <w:name w:val="xl61"/>
    <w:basedOn w:val="Normal"/>
    <w:rsid w:val="00646BCA"/>
    <w:pPr>
      <w:pBdr>
        <w:top w:val="single" w:sz="4" w:space="0" w:color="808080"/>
        <w:left w:val="single" w:sz="4" w:space="0" w:color="808080"/>
        <w:bottom w:val="single" w:sz="4" w:space="0" w:color="808080"/>
        <w:right w:val="single" w:sz="4" w:space="0" w:color="808080"/>
      </w:pBdr>
      <w:shd w:val="clear" w:color="CCFFFF" w:fill="C0C0C0"/>
      <w:spacing w:beforeLines="1" w:afterLines="1"/>
    </w:pPr>
    <w:rPr>
      <w:rFonts w:ascii="Arial" w:hAnsi="Arial"/>
      <w:sz w:val="18"/>
      <w:szCs w:val="18"/>
      <w:lang w:eastAsia="fr-FR"/>
    </w:rPr>
  </w:style>
  <w:style w:type="paragraph" w:customStyle="1" w:styleId="xl62">
    <w:name w:val="xl62"/>
    <w:basedOn w:val="Normal"/>
    <w:rsid w:val="00646BCA"/>
    <w:pPr>
      <w:spacing w:beforeLines="1" w:afterLines="1"/>
    </w:pPr>
    <w:rPr>
      <w:rFonts w:ascii="Arial" w:hAnsi="Arial"/>
      <w:b/>
      <w:bCs/>
      <w:sz w:val="18"/>
      <w:szCs w:val="18"/>
      <w:lang w:eastAsia="fr-FR"/>
    </w:rPr>
  </w:style>
  <w:style w:type="paragraph" w:customStyle="1" w:styleId="xl63">
    <w:name w:val="xl63"/>
    <w:basedOn w:val="Normal"/>
    <w:rsid w:val="00646BCA"/>
    <w:pPr>
      <w:spacing w:beforeLines="1" w:afterLines="1"/>
    </w:pPr>
    <w:rPr>
      <w:rFonts w:ascii="Arial" w:hAnsi="Arial"/>
      <w:b/>
      <w:bCs/>
      <w:sz w:val="18"/>
      <w:szCs w:val="18"/>
      <w:lang w:eastAsia="fr-FR"/>
    </w:rPr>
  </w:style>
  <w:style w:type="paragraph" w:customStyle="1" w:styleId="xl64">
    <w:name w:val="xl64"/>
    <w:basedOn w:val="Normal"/>
    <w:rsid w:val="00646BCA"/>
    <w:pPr>
      <w:spacing w:beforeLines="1" w:afterLines="1"/>
      <w:jc w:val="center"/>
    </w:pPr>
    <w:rPr>
      <w:rFonts w:ascii="Arial" w:hAnsi="Arial"/>
      <w:sz w:val="18"/>
      <w:szCs w:val="18"/>
      <w:lang w:eastAsia="fr-FR"/>
    </w:rPr>
  </w:style>
  <w:style w:type="paragraph" w:customStyle="1" w:styleId="xl65">
    <w:name w:val="xl65"/>
    <w:basedOn w:val="Normal"/>
    <w:rsid w:val="00646BCA"/>
    <w:pPr>
      <w:spacing w:beforeLines="1" w:afterLines="1"/>
      <w:jc w:val="center"/>
    </w:pPr>
    <w:rPr>
      <w:rFonts w:ascii="Arial" w:hAnsi="Arial"/>
      <w:b/>
      <w:bCs/>
      <w:color w:val="FF0000"/>
      <w:sz w:val="18"/>
      <w:szCs w:val="18"/>
      <w:lang w:eastAsia="fr-FR"/>
    </w:rPr>
  </w:style>
  <w:style w:type="paragraph" w:customStyle="1" w:styleId="xl66">
    <w:name w:val="xl66"/>
    <w:basedOn w:val="Normal"/>
    <w:rsid w:val="00646BCA"/>
    <w:pPr>
      <w:pBdr>
        <w:top w:val="single" w:sz="4" w:space="0" w:color="808080"/>
        <w:left w:val="single" w:sz="4" w:space="0" w:color="808080"/>
        <w:bottom w:val="single" w:sz="4" w:space="0" w:color="808080"/>
        <w:right w:val="single" w:sz="4" w:space="0" w:color="808080"/>
      </w:pBdr>
      <w:spacing w:beforeLines="1" w:afterLines="1"/>
      <w:jc w:val="right"/>
    </w:pPr>
    <w:rPr>
      <w:rFonts w:ascii="Arial" w:hAnsi="Arial"/>
      <w:i/>
      <w:iCs/>
      <w:sz w:val="18"/>
      <w:szCs w:val="18"/>
      <w:lang w:eastAsia="fr-FR"/>
    </w:rPr>
  </w:style>
  <w:style w:type="paragraph" w:customStyle="1" w:styleId="xl67">
    <w:name w:val="xl67"/>
    <w:basedOn w:val="Normal"/>
    <w:rsid w:val="00646BCA"/>
    <w:pPr>
      <w:pBdr>
        <w:top w:val="single" w:sz="4" w:space="0" w:color="808080"/>
        <w:left w:val="single" w:sz="4" w:space="0" w:color="808080"/>
        <w:bottom w:val="single" w:sz="4" w:space="0" w:color="808080"/>
        <w:right w:val="single" w:sz="4" w:space="0" w:color="808080"/>
      </w:pBdr>
      <w:spacing w:beforeLines="1" w:afterLines="1"/>
      <w:jc w:val="right"/>
    </w:pPr>
    <w:rPr>
      <w:rFonts w:ascii="Arial" w:hAnsi="Arial"/>
      <w:sz w:val="18"/>
      <w:szCs w:val="18"/>
      <w:lang w:eastAsia="fr-FR"/>
    </w:rPr>
  </w:style>
  <w:style w:type="paragraph" w:customStyle="1" w:styleId="xl68">
    <w:name w:val="xl68"/>
    <w:basedOn w:val="Normal"/>
    <w:rsid w:val="00646BCA"/>
    <w:pPr>
      <w:pBdr>
        <w:top w:val="single" w:sz="4" w:space="0" w:color="808080"/>
        <w:left w:val="single" w:sz="4" w:space="0" w:color="808080"/>
        <w:bottom w:val="single" w:sz="4" w:space="0" w:color="808080"/>
        <w:right w:val="single" w:sz="4" w:space="0" w:color="808080"/>
      </w:pBdr>
      <w:spacing w:beforeLines="1" w:afterLines="1"/>
    </w:pPr>
    <w:rPr>
      <w:rFonts w:ascii="Arial" w:hAnsi="Arial"/>
      <w:b/>
      <w:bCs/>
      <w:sz w:val="18"/>
      <w:szCs w:val="18"/>
      <w:lang w:eastAsia="fr-FR"/>
    </w:rPr>
  </w:style>
  <w:style w:type="paragraph" w:customStyle="1" w:styleId="xl69">
    <w:name w:val="xl69"/>
    <w:basedOn w:val="Normal"/>
    <w:rsid w:val="00646BCA"/>
    <w:pPr>
      <w:pBdr>
        <w:top w:val="single" w:sz="4" w:space="0" w:color="808080"/>
        <w:left w:val="single" w:sz="4" w:space="0" w:color="808080"/>
        <w:bottom w:val="single" w:sz="4" w:space="0" w:color="808080"/>
        <w:right w:val="single" w:sz="4" w:space="0" w:color="808080"/>
      </w:pBdr>
      <w:spacing w:beforeLines="1" w:afterLines="1"/>
    </w:pPr>
    <w:rPr>
      <w:rFonts w:ascii="Arial" w:hAnsi="Arial"/>
      <w:i/>
      <w:iCs/>
      <w:sz w:val="18"/>
      <w:szCs w:val="18"/>
      <w:lang w:eastAsia="fr-FR"/>
    </w:rPr>
  </w:style>
  <w:style w:type="paragraph" w:customStyle="1" w:styleId="xl70">
    <w:name w:val="xl70"/>
    <w:basedOn w:val="Normal"/>
    <w:rsid w:val="00646BCA"/>
    <w:pPr>
      <w:pBdr>
        <w:top w:val="single" w:sz="4" w:space="0" w:color="808080"/>
        <w:left w:val="single" w:sz="4" w:space="0" w:color="808080"/>
        <w:bottom w:val="single" w:sz="4" w:space="0" w:color="808080"/>
        <w:right w:val="single" w:sz="4" w:space="0" w:color="808080"/>
      </w:pBdr>
      <w:shd w:val="clear" w:color="CCFFFF" w:fill="C0C0C0"/>
      <w:spacing w:beforeLines="1" w:afterLines="1"/>
    </w:pPr>
    <w:rPr>
      <w:rFonts w:ascii="Arial" w:hAnsi="Arial"/>
      <w:i/>
      <w:iCs/>
      <w:sz w:val="18"/>
      <w:szCs w:val="18"/>
      <w:lang w:eastAsia="fr-FR"/>
    </w:rPr>
  </w:style>
  <w:style w:type="paragraph" w:customStyle="1" w:styleId="xl71">
    <w:name w:val="xl71"/>
    <w:basedOn w:val="Normal"/>
    <w:rsid w:val="00646BCA"/>
    <w:pPr>
      <w:pBdr>
        <w:top w:val="single" w:sz="4" w:space="0" w:color="808080"/>
        <w:left w:val="single" w:sz="4" w:space="0" w:color="808080"/>
        <w:bottom w:val="single" w:sz="4" w:space="0" w:color="808080"/>
        <w:right w:val="single" w:sz="4" w:space="0" w:color="808080"/>
      </w:pBdr>
      <w:shd w:val="clear" w:color="auto" w:fill="C0C0C0"/>
      <w:spacing w:beforeLines="1" w:afterLines="1"/>
    </w:pPr>
    <w:rPr>
      <w:rFonts w:ascii="Arial" w:hAnsi="Arial"/>
      <w:b/>
      <w:bCs/>
      <w:sz w:val="18"/>
      <w:szCs w:val="18"/>
      <w:lang w:eastAsia="fr-FR"/>
    </w:rPr>
  </w:style>
  <w:style w:type="paragraph" w:customStyle="1" w:styleId="xl72">
    <w:name w:val="xl72"/>
    <w:basedOn w:val="Normal"/>
    <w:rsid w:val="00646BCA"/>
    <w:pPr>
      <w:pBdr>
        <w:top w:val="single" w:sz="4" w:space="0" w:color="808080"/>
        <w:left w:val="single" w:sz="4" w:space="0" w:color="808080"/>
        <w:bottom w:val="single" w:sz="4" w:space="0" w:color="808080"/>
        <w:right w:val="single" w:sz="4" w:space="0" w:color="808080"/>
      </w:pBdr>
      <w:spacing w:beforeLines="1" w:afterLines="1"/>
    </w:pPr>
    <w:rPr>
      <w:rFonts w:ascii="Arial" w:hAnsi="Arial"/>
      <w:color w:val="000000"/>
      <w:sz w:val="18"/>
      <w:szCs w:val="18"/>
      <w:lang w:eastAsia="fr-FR"/>
    </w:rPr>
  </w:style>
  <w:style w:type="paragraph" w:customStyle="1" w:styleId="xl73">
    <w:name w:val="xl73"/>
    <w:basedOn w:val="Normal"/>
    <w:rsid w:val="00646BCA"/>
    <w:pPr>
      <w:pBdr>
        <w:top w:val="single" w:sz="4" w:space="0" w:color="808080"/>
        <w:left w:val="single" w:sz="4" w:space="0" w:color="808080"/>
        <w:bottom w:val="single" w:sz="4" w:space="0" w:color="808080"/>
        <w:right w:val="single" w:sz="4" w:space="0" w:color="808080"/>
      </w:pBdr>
      <w:spacing w:beforeLines="1" w:afterLines="1"/>
    </w:pPr>
    <w:rPr>
      <w:rFonts w:ascii="Arial" w:hAnsi="Arial"/>
      <w:b/>
      <w:bCs/>
      <w:sz w:val="18"/>
      <w:szCs w:val="18"/>
      <w:lang w:eastAsia="fr-FR"/>
    </w:rPr>
  </w:style>
  <w:style w:type="paragraph" w:customStyle="1" w:styleId="xl74">
    <w:name w:val="xl74"/>
    <w:basedOn w:val="Normal"/>
    <w:rsid w:val="00646BCA"/>
    <w:pPr>
      <w:pBdr>
        <w:top w:val="single" w:sz="4" w:space="0" w:color="808080"/>
        <w:left w:val="single" w:sz="4" w:space="0" w:color="808080"/>
        <w:bottom w:val="single" w:sz="4" w:space="0" w:color="808080"/>
        <w:right w:val="single" w:sz="4" w:space="0" w:color="808080"/>
      </w:pBdr>
      <w:shd w:val="clear" w:color="CCFFFF" w:fill="C0C0C0"/>
      <w:spacing w:beforeLines="1" w:afterLines="1"/>
      <w:jc w:val="center"/>
    </w:pPr>
    <w:rPr>
      <w:rFonts w:ascii="Arial" w:hAnsi="Arial"/>
      <w:b/>
      <w:bCs/>
      <w:sz w:val="18"/>
      <w:szCs w:val="18"/>
      <w:lang w:eastAsia="fr-FR"/>
    </w:rPr>
  </w:style>
  <w:style w:type="paragraph" w:customStyle="1" w:styleId="xl75">
    <w:name w:val="xl75"/>
    <w:basedOn w:val="Normal"/>
    <w:rsid w:val="00646BCA"/>
    <w:pPr>
      <w:pBdr>
        <w:top w:val="single" w:sz="4" w:space="0" w:color="808080"/>
        <w:left w:val="single" w:sz="4" w:space="0" w:color="808080"/>
        <w:bottom w:val="single" w:sz="4" w:space="0" w:color="808080"/>
        <w:right w:val="single" w:sz="4" w:space="0" w:color="808080"/>
      </w:pBdr>
      <w:shd w:val="clear" w:color="CCFFFF" w:fill="C0C0C0"/>
      <w:spacing w:beforeLines="1" w:afterLines="1"/>
      <w:jc w:val="center"/>
    </w:pPr>
    <w:rPr>
      <w:rFonts w:ascii="Arial" w:hAnsi="Arial"/>
      <w:b/>
      <w:bCs/>
      <w:sz w:val="18"/>
      <w:szCs w:val="18"/>
      <w:lang w:eastAsia="fr-FR"/>
    </w:rPr>
  </w:style>
  <w:style w:type="paragraph" w:customStyle="1" w:styleId="font7">
    <w:name w:val="font7"/>
    <w:basedOn w:val="Normal"/>
    <w:rsid w:val="00646BCA"/>
    <w:pPr>
      <w:spacing w:beforeLines="1" w:afterLines="1"/>
    </w:pPr>
    <w:rPr>
      <w:rFonts w:ascii="Verdana" w:hAnsi="Verdana"/>
      <w:sz w:val="16"/>
      <w:szCs w:val="16"/>
      <w:lang w:eastAsia="fr-FR"/>
    </w:rPr>
  </w:style>
  <w:style w:type="paragraph" w:customStyle="1" w:styleId="xl76">
    <w:name w:val="xl76"/>
    <w:basedOn w:val="Normal"/>
    <w:rsid w:val="00646BCA"/>
    <w:pPr>
      <w:pBdr>
        <w:top w:val="dotted" w:sz="4" w:space="0" w:color="auto"/>
      </w:pBdr>
      <w:spacing w:beforeLines="1" w:afterLines="1"/>
      <w:jc w:val="center"/>
      <w:textAlignment w:val="center"/>
    </w:pPr>
    <w:rPr>
      <w:rFonts w:ascii="Arial" w:hAnsi="Arial"/>
      <w:sz w:val="18"/>
      <w:szCs w:val="18"/>
      <w:lang w:eastAsia="fr-FR"/>
    </w:rPr>
  </w:style>
  <w:style w:type="paragraph" w:customStyle="1" w:styleId="xl77">
    <w:name w:val="xl77"/>
    <w:basedOn w:val="Normal"/>
    <w:rsid w:val="00646BCA"/>
    <w:pPr>
      <w:pBdr>
        <w:top w:val="dotted" w:sz="4" w:space="0" w:color="auto"/>
        <w:left w:val="single" w:sz="8" w:space="0" w:color="auto"/>
        <w:right w:val="single" w:sz="8" w:space="0" w:color="auto"/>
      </w:pBdr>
      <w:spacing w:beforeLines="1" w:afterLines="1"/>
      <w:jc w:val="center"/>
      <w:textAlignment w:val="center"/>
    </w:pPr>
    <w:rPr>
      <w:rFonts w:ascii="Arial" w:hAnsi="Arial"/>
      <w:sz w:val="18"/>
      <w:szCs w:val="18"/>
      <w:lang w:eastAsia="fr-FR"/>
    </w:rPr>
  </w:style>
  <w:style w:type="paragraph" w:customStyle="1" w:styleId="xl78">
    <w:name w:val="xl78"/>
    <w:basedOn w:val="Normal"/>
    <w:rsid w:val="00646BCA"/>
    <w:pPr>
      <w:pBdr>
        <w:top w:val="dotted" w:sz="4" w:space="0" w:color="auto"/>
        <w:left w:val="single" w:sz="8" w:space="0" w:color="auto"/>
        <w:right w:val="single" w:sz="8" w:space="0" w:color="auto"/>
      </w:pBdr>
      <w:spacing w:beforeLines="1" w:afterLines="1"/>
      <w:jc w:val="center"/>
      <w:textAlignment w:val="center"/>
    </w:pPr>
    <w:rPr>
      <w:rFonts w:ascii="Arial" w:hAnsi="Arial"/>
      <w:sz w:val="18"/>
      <w:szCs w:val="18"/>
      <w:lang w:eastAsia="fr-FR"/>
    </w:rPr>
  </w:style>
  <w:style w:type="paragraph" w:customStyle="1" w:styleId="xl79">
    <w:name w:val="xl79"/>
    <w:basedOn w:val="Normal"/>
    <w:rsid w:val="00646BCA"/>
    <w:pPr>
      <w:pBdr>
        <w:top w:val="dotted" w:sz="4" w:space="0" w:color="auto"/>
        <w:left w:val="single" w:sz="8" w:space="0" w:color="auto"/>
      </w:pBdr>
      <w:spacing w:beforeLines="1" w:afterLines="1"/>
      <w:jc w:val="center"/>
      <w:textAlignment w:val="center"/>
    </w:pPr>
    <w:rPr>
      <w:rFonts w:ascii="Arial" w:hAnsi="Arial"/>
      <w:sz w:val="18"/>
      <w:szCs w:val="18"/>
      <w:lang w:eastAsia="fr-FR"/>
    </w:rPr>
  </w:style>
  <w:style w:type="paragraph" w:customStyle="1" w:styleId="xl80">
    <w:name w:val="xl80"/>
    <w:basedOn w:val="Normal"/>
    <w:rsid w:val="00646BCA"/>
    <w:pPr>
      <w:pBdr>
        <w:top w:val="dotted" w:sz="4" w:space="0" w:color="auto"/>
        <w:left w:val="single" w:sz="4" w:space="0" w:color="auto"/>
        <w:bottom w:val="single" w:sz="4" w:space="0" w:color="auto"/>
        <w:right w:val="single" w:sz="4" w:space="0" w:color="auto"/>
      </w:pBdr>
      <w:spacing w:beforeLines="1" w:afterLines="1"/>
      <w:jc w:val="center"/>
      <w:textAlignment w:val="center"/>
    </w:pPr>
    <w:rPr>
      <w:rFonts w:ascii="Arial" w:hAnsi="Arial"/>
      <w:sz w:val="18"/>
      <w:szCs w:val="18"/>
      <w:lang w:eastAsia="fr-FR"/>
    </w:rPr>
  </w:style>
  <w:style w:type="paragraph" w:customStyle="1" w:styleId="xl81">
    <w:name w:val="xl81"/>
    <w:basedOn w:val="Normal"/>
    <w:rsid w:val="00646BCA"/>
    <w:pPr>
      <w:pBdr>
        <w:top w:val="single" w:sz="8" w:space="0" w:color="auto"/>
        <w:bottom w:val="single" w:sz="8" w:space="0" w:color="auto"/>
        <w:right w:val="single" w:sz="4" w:space="0" w:color="auto"/>
      </w:pBdr>
      <w:spacing w:beforeLines="1" w:afterLines="1"/>
      <w:jc w:val="center"/>
      <w:textAlignment w:val="center"/>
    </w:pPr>
    <w:rPr>
      <w:rFonts w:ascii="Arial" w:hAnsi="Arial"/>
      <w:b/>
      <w:bCs/>
      <w:sz w:val="18"/>
      <w:szCs w:val="18"/>
      <w:lang w:eastAsia="fr-FR"/>
    </w:rPr>
  </w:style>
  <w:style w:type="paragraph" w:customStyle="1" w:styleId="xl82">
    <w:name w:val="xl82"/>
    <w:basedOn w:val="Normal"/>
    <w:rsid w:val="00646BCA"/>
    <w:pPr>
      <w:pBdr>
        <w:top w:val="single" w:sz="4" w:space="0" w:color="auto"/>
        <w:left w:val="single" w:sz="4" w:space="0" w:color="auto"/>
        <w:bottom w:val="single" w:sz="4" w:space="0" w:color="auto"/>
        <w:right w:val="single" w:sz="4" w:space="0" w:color="auto"/>
      </w:pBdr>
      <w:spacing w:beforeLines="1" w:afterLines="1"/>
      <w:jc w:val="center"/>
      <w:textAlignment w:val="center"/>
    </w:pPr>
    <w:rPr>
      <w:rFonts w:ascii="Arial" w:hAnsi="Arial"/>
      <w:b/>
      <w:bCs/>
      <w:sz w:val="18"/>
      <w:szCs w:val="18"/>
      <w:lang w:eastAsia="fr-FR"/>
    </w:rPr>
  </w:style>
  <w:style w:type="paragraph" w:customStyle="1" w:styleId="xl83">
    <w:name w:val="xl83"/>
    <w:basedOn w:val="Normal"/>
    <w:rsid w:val="00646BCA"/>
    <w:pPr>
      <w:spacing w:beforeLines="1" w:afterLines="1"/>
      <w:jc w:val="center"/>
      <w:textAlignment w:val="center"/>
    </w:pPr>
    <w:rPr>
      <w:rFonts w:ascii="Arial" w:hAnsi="Arial"/>
      <w:b/>
      <w:bCs/>
      <w:sz w:val="18"/>
      <w:szCs w:val="18"/>
      <w:lang w:eastAsia="fr-FR"/>
    </w:rPr>
  </w:style>
  <w:style w:type="paragraph" w:customStyle="1" w:styleId="xl84">
    <w:name w:val="xl84"/>
    <w:basedOn w:val="Normal"/>
    <w:rsid w:val="00646BCA"/>
    <w:pPr>
      <w:pBdr>
        <w:top w:val="single" w:sz="8" w:space="0" w:color="auto"/>
        <w:bottom w:val="single" w:sz="8" w:space="0" w:color="auto"/>
      </w:pBdr>
      <w:spacing w:beforeLines="1" w:afterLines="1"/>
      <w:jc w:val="center"/>
      <w:textAlignment w:val="center"/>
    </w:pPr>
    <w:rPr>
      <w:rFonts w:ascii="Arial" w:hAnsi="Arial"/>
      <w:b/>
      <w:bCs/>
      <w:sz w:val="18"/>
      <w:szCs w:val="18"/>
      <w:lang w:eastAsia="fr-FR"/>
    </w:rPr>
  </w:style>
  <w:style w:type="paragraph" w:customStyle="1" w:styleId="xl85">
    <w:name w:val="xl85"/>
    <w:basedOn w:val="Normal"/>
    <w:rsid w:val="00646BCA"/>
    <w:pPr>
      <w:pBdr>
        <w:top w:val="single" w:sz="8" w:space="0" w:color="auto"/>
        <w:left w:val="single" w:sz="8" w:space="0" w:color="auto"/>
        <w:bottom w:val="single" w:sz="8" w:space="0" w:color="auto"/>
      </w:pBdr>
      <w:spacing w:beforeLines="1" w:afterLines="1"/>
      <w:jc w:val="center"/>
      <w:textAlignment w:val="center"/>
    </w:pPr>
    <w:rPr>
      <w:rFonts w:ascii="Arial" w:hAnsi="Arial"/>
      <w:b/>
      <w:bCs/>
      <w:sz w:val="18"/>
      <w:szCs w:val="18"/>
      <w:lang w:eastAsia="fr-FR"/>
    </w:rPr>
  </w:style>
  <w:style w:type="paragraph" w:customStyle="1" w:styleId="xl86">
    <w:name w:val="xl86"/>
    <w:basedOn w:val="Normal"/>
    <w:rsid w:val="00646BCA"/>
    <w:pPr>
      <w:pBdr>
        <w:top w:val="single" w:sz="8" w:space="0" w:color="auto"/>
        <w:left w:val="single" w:sz="8" w:space="0" w:color="auto"/>
        <w:bottom w:val="single" w:sz="8" w:space="0" w:color="auto"/>
        <w:right w:val="single" w:sz="8" w:space="0" w:color="auto"/>
      </w:pBdr>
      <w:spacing w:beforeLines="1" w:afterLines="1"/>
      <w:jc w:val="center"/>
      <w:textAlignment w:val="center"/>
    </w:pPr>
    <w:rPr>
      <w:rFonts w:ascii="Arial" w:hAnsi="Arial"/>
      <w:b/>
      <w:bCs/>
      <w:sz w:val="18"/>
      <w:szCs w:val="18"/>
      <w:lang w:eastAsia="fr-FR"/>
    </w:rPr>
  </w:style>
  <w:style w:type="paragraph" w:styleId="Corpsdetexte">
    <w:name w:val="Body Text"/>
    <w:basedOn w:val="Normal"/>
    <w:link w:val="CorpsdetexteCar"/>
    <w:rsid w:val="00646BCA"/>
    <w:pPr>
      <w:suppressAutoHyphens/>
      <w:jc w:val="both"/>
    </w:pPr>
    <w:rPr>
      <w:rFonts w:ascii="Liberation Sans" w:eastAsia="Lucida Sans Unicode" w:hAnsi="Liberation Sans" w:cs="Mangal"/>
      <w:kern w:val="1"/>
      <w:lang w:eastAsia="hi-IN" w:bidi="hi-IN"/>
    </w:rPr>
  </w:style>
  <w:style w:type="character" w:customStyle="1" w:styleId="CorpsdetexteCar">
    <w:name w:val="Corps de texte Car"/>
    <w:basedOn w:val="Policepardfaut"/>
    <w:link w:val="Corpsdetexte"/>
    <w:rsid w:val="00646BCA"/>
    <w:rPr>
      <w:rFonts w:ascii="Liberation Sans" w:eastAsia="Lucida Sans Unicode" w:hAnsi="Liberation Sans" w:cs="Mangal"/>
      <w:kern w:val="1"/>
      <w:sz w:val="24"/>
      <w:szCs w:val="24"/>
      <w:lang w:eastAsia="hi-IN" w:bidi="hi-IN"/>
    </w:rPr>
  </w:style>
  <w:style w:type="character" w:customStyle="1" w:styleId="Titre1Car1">
    <w:name w:val="Titre 1 Car1"/>
    <w:basedOn w:val="Policepardfaut"/>
    <w:uiPriority w:val="9"/>
    <w:rsid w:val="00646BCA"/>
    <w:rPr>
      <w:rFonts w:asciiTheme="majorHAnsi" w:eastAsiaTheme="majorEastAsia" w:hAnsiTheme="majorHAnsi" w:cstheme="majorBidi"/>
      <w:color w:val="2E74B5" w:themeColor="accent1" w:themeShade="BF"/>
      <w:sz w:val="32"/>
      <w:szCs w:val="32"/>
    </w:rPr>
  </w:style>
  <w:style w:type="character" w:customStyle="1" w:styleId="Titre2Car1">
    <w:name w:val="Titre 2 Car1"/>
    <w:basedOn w:val="Policepardfaut"/>
    <w:uiPriority w:val="9"/>
    <w:semiHidden/>
    <w:rsid w:val="00646BCA"/>
    <w:rPr>
      <w:rFonts w:asciiTheme="majorHAnsi" w:eastAsiaTheme="majorEastAsia" w:hAnsiTheme="majorHAnsi" w:cstheme="majorBidi"/>
      <w:color w:val="2E74B5" w:themeColor="accent1" w:themeShade="BF"/>
      <w:sz w:val="26"/>
      <w:szCs w:val="26"/>
    </w:rPr>
  </w:style>
  <w:style w:type="character" w:customStyle="1" w:styleId="Titre3Car1">
    <w:name w:val="Titre 3 Car1"/>
    <w:basedOn w:val="Policepardfaut"/>
    <w:uiPriority w:val="9"/>
    <w:semiHidden/>
    <w:rsid w:val="00646BCA"/>
    <w:rPr>
      <w:rFonts w:asciiTheme="majorHAnsi" w:eastAsiaTheme="majorEastAsia" w:hAnsiTheme="majorHAnsi" w:cstheme="majorBidi"/>
      <w:color w:val="1F4D78" w:themeColor="accent1" w:themeShade="7F"/>
      <w:sz w:val="24"/>
      <w:szCs w:val="24"/>
    </w:rPr>
  </w:style>
  <w:style w:type="paragraph" w:customStyle="1" w:styleId="western">
    <w:name w:val="western"/>
    <w:basedOn w:val="Normal"/>
    <w:rsid w:val="00646BCA"/>
    <w:pPr>
      <w:spacing w:before="100" w:beforeAutospacing="1" w:after="119"/>
    </w:pPr>
    <w:rPr>
      <w:rFonts w:ascii="Arial" w:eastAsia="Times New Roman" w:hAnsi="Arial" w:cs="Arial"/>
      <w:color w:val="000000"/>
      <w:sz w:val="20"/>
      <w:szCs w:val="20"/>
      <w:lang w:eastAsia="fr-FR"/>
    </w:rPr>
  </w:style>
  <w:style w:type="paragraph" w:styleId="NormalWeb">
    <w:name w:val="Normal (Web)"/>
    <w:basedOn w:val="Normal"/>
    <w:uiPriority w:val="99"/>
    <w:semiHidden/>
    <w:unhideWhenUsed/>
    <w:rsid w:val="00646BCA"/>
    <w:pPr>
      <w:spacing w:before="100" w:beforeAutospacing="1" w:after="119"/>
    </w:pPr>
    <w:rPr>
      <w:rFonts w:ascii="Times New Roman" w:eastAsia="Times New Roman" w:hAnsi="Times New Roman" w:cs="Times New Roman"/>
      <w:color w:val="000000"/>
      <w:lang w:eastAsia="fr-FR"/>
    </w:rPr>
  </w:style>
  <w:style w:type="paragraph" w:customStyle="1" w:styleId="intro">
    <w:name w:val="intro"/>
    <w:basedOn w:val="Normal"/>
    <w:rsid w:val="00646BCA"/>
    <w:pPr>
      <w:spacing w:before="100" w:beforeAutospacing="1" w:after="100" w:afterAutospacing="1"/>
    </w:pPr>
    <w:rPr>
      <w:rFonts w:ascii="Times New Roman" w:eastAsia="Times New Roman" w:hAnsi="Times New Roman" w:cs="Times New Roman"/>
      <w:lang w:eastAsia="fr-FR"/>
    </w:rPr>
  </w:style>
  <w:style w:type="character" w:styleId="Marquedecommentaire">
    <w:name w:val="annotation reference"/>
    <w:basedOn w:val="Policepardfaut"/>
    <w:uiPriority w:val="99"/>
    <w:semiHidden/>
    <w:unhideWhenUsed/>
    <w:rsid w:val="00646BCA"/>
    <w:rPr>
      <w:sz w:val="16"/>
      <w:szCs w:val="16"/>
    </w:rPr>
  </w:style>
  <w:style w:type="paragraph" w:styleId="Commentaire">
    <w:name w:val="annotation text"/>
    <w:basedOn w:val="Normal"/>
    <w:link w:val="CommentaireCar"/>
    <w:uiPriority w:val="99"/>
    <w:semiHidden/>
    <w:unhideWhenUsed/>
    <w:rsid w:val="00646BCA"/>
    <w:pPr>
      <w:spacing w:after="160"/>
    </w:pPr>
    <w:rPr>
      <w:sz w:val="20"/>
      <w:szCs w:val="20"/>
    </w:rPr>
  </w:style>
  <w:style w:type="character" w:customStyle="1" w:styleId="CommentaireCar">
    <w:name w:val="Commentaire Car"/>
    <w:basedOn w:val="Policepardfaut"/>
    <w:link w:val="Commentaire"/>
    <w:uiPriority w:val="99"/>
    <w:semiHidden/>
    <w:rsid w:val="00646BCA"/>
    <w:rPr>
      <w:sz w:val="20"/>
      <w:szCs w:val="20"/>
    </w:rPr>
  </w:style>
  <w:style w:type="paragraph" w:styleId="Objetducommentaire">
    <w:name w:val="annotation subject"/>
    <w:basedOn w:val="Commentaire"/>
    <w:next w:val="Commentaire"/>
    <w:link w:val="ObjetducommentaireCar"/>
    <w:uiPriority w:val="99"/>
    <w:semiHidden/>
    <w:unhideWhenUsed/>
    <w:rsid w:val="00646BCA"/>
    <w:rPr>
      <w:b/>
      <w:bCs/>
    </w:rPr>
  </w:style>
  <w:style w:type="character" w:customStyle="1" w:styleId="ObjetducommentaireCar">
    <w:name w:val="Objet du commentaire Car"/>
    <w:basedOn w:val="CommentaireCar"/>
    <w:link w:val="Objetducommentaire"/>
    <w:uiPriority w:val="99"/>
    <w:semiHidden/>
    <w:rsid w:val="00646BCA"/>
    <w:rPr>
      <w:b/>
      <w:bCs/>
      <w:sz w:val="20"/>
      <w:szCs w:val="20"/>
    </w:rPr>
  </w:style>
  <w:style w:type="character" w:styleId="lev">
    <w:name w:val="Strong"/>
    <w:basedOn w:val="Policepardfaut"/>
    <w:uiPriority w:val="22"/>
    <w:qFormat/>
    <w:rsid w:val="00646BCA"/>
    <w:rPr>
      <w:b/>
      <w:bCs/>
    </w:rPr>
  </w:style>
  <w:style w:type="paragraph" w:customStyle="1" w:styleId="Corpsdetexte21">
    <w:name w:val="Corps de texte 21"/>
    <w:basedOn w:val="Normal"/>
    <w:rsid w:val="00526043"/>
    <w:pPr>
      <w:suppressAutoHyphens/>
      <w:jc w:val="both"/>
    </w:pPr>
    <w:rPr>
      <w:rFonts w:ascii="Times New Roman" w:eastAsia="Times New Roman" w:hAnsi="Times New Roman" w:cs="Times New Roman"/>
      <w:color w:val="008080"/>
      <w:szCs w:val="20"/>
      <w:lang w:eastAsia="hi-IN" w:bidi="hi-IN"/>
    </w:rPr>
  </w:style>
  <w:style w:type="paragraph" w:customStyle="1" w:styleId="Corpsdetexte31">
    <w:name w:val="Corps de texte 31"/>
    <w:basedOn w:val="Normal"/>
    <w:rsid w:val="00526043"/>
    <w:pPr>
      <w:suppressAutoHyphens/>
    </w:pPr>
    <w:rPr>
      <w:rFonts w:ascii="Times New Roman" w:eastAsia="Times New Roman" w:hAnsi="Times New Roman" w:cs="Times New Roman"/>
      <w:color w:val="008080"/>
      <w:szCs w:val="20"/>
      <w:lang w:eastAsia="hi-IN" w:bidi="hi-IN"/>
    </w:rPr>
  </w:style>
  <w:style w:type="table" w:styleId="Grilledutableau">
    <w:name w:val="Table Grid"/>
    <w:basedOn w:val="TableauNormal"/>
    <w:uiPriority w:val="39"/>
    <w:rsid w:val="00D11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39"/>
    <w:rsid w:val="005710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3449">
      <w:bodyDiv w:val="1"/>
      <w:marLeft w:val="0"/>
      <w:marRight w:val="0"/>
      <w:marTop w:val="0"/>
      <w:marBottom w:val="0"/>
      <w:divBdr>
        <w:top w:val="none" w:sz="0" w:space="0" w:color="auto"/>
        <w:left w:val="none" w:sz="0" w:space="0" w:color="auto"/>
        <w:bottom w:val="none" w:sz="0" w:space="0" w:color="auto"/>
        <w:right w:val="none" w:sz="0" w:space="0" w:color="auto"/>
      </w:divBdr>
    </w:div>
    <w:div w:id="17322040">
      <w:bodyDiv w:val="1"/>
      <w:marLeft w:val="0"/>
      <w:marRight w:val="0"/>
      <w:marTop w:val="0"/>
      <w:marBottom w:val="0"/>
      <w:divBdr>
        <w:top w:val="none" w:sz="0" w:space="0" w:color="auto"/>
        <w:left w:val="none" w:sz="0" w:space="0" w:color="auto"/>
        <w:bottom w:val="none" w:sz="0" w:space="0" w:color="auto"/>
        <w:right w:val="none" w:sz="0" w:space="0" w:color="auto"/>
      </w:divBdr>
      <w:divsChild>
        <w:div w:id="2012560535">
          <w:marLeft w:val="0"/>
          <w:marRight w:val="0"/>
          <w:marTop w:val="0"/>
          <w:marBottom w:val="0"/>
          <w:divBdr>
            <w:top w:val="none" w:sz="0" w:space="0" w:color="auto"/>
            <w:left w:val="none" w:sz="0" w:space="0" w:color="auto"/>
            <w:bottom w:val="none" w:sz="0" w:space="0" w:color="auto"/>
            <w:right w:val="none" w:sz="0" w:space="0" w:color="auto"/>
          </w:divBdr>
          <w:divsChild>
            <w:div w:id="144002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29468">
      <w:bodyDiv w:val="1"/>
      <w:marLeft w:val="0"/>
      <w:marRight w:val="0"/>
      <w:marTop w:val="0"/>
      <w:marBottom w:val="0"/>
      <w:divBdr>
        <w:top w:val="none" w:sz="0" w:space="0" w:color="auto"/>
        <w:left w:val="none" w:sz="0" w:space="0" w:color="auto"/>
        <w:bottom w:val="none" w:sz="0" w:space="0" w:color="auto"/>
        <w:right w:val="none" w:sz="0" w:space="0" w:color="auto"/>
      </w:divBdr>
    </w:div>
    <w:div w:id="125271650">
      <w:bodyDiv w:val="1"/>
      <w:marLeft w:val="0"/>
      <w:marRight w:val="0"/>
      <w:marTop w:val="0"/>
      <w:marBottom w:val="0"/>
      <w:divBdr>
        <w:top w:val="none" w:sz="0" w:space="0" w:color="auto"/>
        <w:left w:val="none" w:sz="0" w:space="0" w:color="auto"/>
        <w:bottom w:val="none" w:sz="0" w:space="0" w:color="auto"/>
        <w:right w:val="none" w:sz="0" w:space="0" w:color="auto"/>
      </w:divBdr>
    </w:div>
    <w:div w:id="127166415">
      <w:bodyDiv w:val="1"/>
      <w:marLeft w:val="0"/>
      <w:marRight w:val="0"/>
      <w:marTop w:val="0"/>
      <w:marBottom w:val="0"/>
      <w:divBdr>
        <w:top w:val="none" w:sz="0" w:space="0" w:color="auto"/>
        <w:left w:val="none" w:sz="0" w:space="0" w:color="auto"/>
        <w:bottom w:val="none" w:sz="0" w:space="0" w:color="auto"/>
        <w:right w:val="none" w:sz="0" w:space="0" w:color="auto"/>
      </w:divBdr>
    </w:div>
    <w:div w:id="227426723">
      <w:bodyDiv w:val="1"/>
      <w:marLeft w:val="0"/>
      <w:marRight w:val="0"/>
      <w:marTop w:val="0"/>
      <w:marBottom w:val="0"/>
      <w:divBdr>
        <w:top w:val="none" w:sz="0" w:space="0" w:color="auto"/>
        <w:left w:val="none" w:sz="0" w:space="0" w:color="auto"/>
        <w:bottom w:val="none" w:sz="0" w:space="0" w:color="auto"/>
        <w:right w:val="none" w:sz="0" w:space="0" w:color="auto"/>
      </w:divBdr>
    </w:div>
    <w:div w:id="518929755">
      <w:bodyDiv w:val="1"/>
      <w:marLeft w:val="0"/>
      <w:marRight w:val="0"/>
      <w:marTop w:val="0"/>
      <w:marBottom w:val="0"/>
      <w:divBdr>
        <w:top w:val="none" w:sz="0" w:space="0" w:color="auto"/>
        <w:left w:val="none" w:sz="0" w:space="0" w:color="auto"/>
        <w:bottom w:val="none" w:sz="0" w:space="0" w:color="auto"/>
        <w:right w:val="none" w:sz="0" w:space="0" w:color="auto"/>
      </w:divBdr>
    </w:div>
    <w:div w:id="590092426">
      <w:bodyDiv w:val="1"/>
      <w:marLeft w:val="0"/>
      <w:marRight w:val="0"/>
      <w:marTop w:val="0"/>
      <w:marBottom w:val="0"/>
      <w:divBdr>
        <w:top w:val="none" w:sz="0" w:space="0" w:color="auto"/>
        <w:left w:val="none" w:sz="0" w:space="0" w:color="auto"/>
        <w:bottom w:val="none" w:sz="0" w:space="0" w:color="auto"/>
        <w:right w:val="none" w:sz="0" w:space="0" w:color="auto"/>
      </w:divBdr>
    </w:div>
    <w:div w:id="855190656">
      <w:bodyDiv w:val="1"/>
      <w:marLeft w:val="0"/>
      <w:marRight w:val="0"/>
      <w:marTop w:val="0"/>
      <w:marBottom w:val="0"/>
      <w:divBdr>
        <w:top w:val="none" w:sz="0" w:space="0" w:color="auto"/>
        <w:left w:val="none" w:sz="0" w:space="0" w:color="auto"/>
        <w:bottom w:val="none" w:sz="0" w:space="0" w:color="auto"/>
        <w:right w:val="none" w:sz="0" w:space="0" w:color="auto"/>
      </w:divBdr>
    </w:div>
    <w:div w:id="1143042673">
      <w:bodyDiv w:val="1"/>
      <w:marLeft w:val="0"/>
      <w:marRight w:val="0"/>
      <w:marTop w:val="0"/>
      <w:marBottom w:val="0"/>
      <w:divBdr>
        <w:top w:val="none" w:sz="0" w:space="0" w:color="auto"/>
        <w:left w:val="none" w:sz="0" w:space="0" w:color="auto"/>
        <w:bottom w:val="none" w:sz="0" w:space="0" w:color="auto"/>
        <w:right w:val="none" w:sz="0" w:space="0" w:color="auto"/>
      </w:divBdr>
    </w:div>
    <w:div w:id="1263957944">
      <w:bodyDiv w:val="1"/>
      <w:marLeft w:val="0"/>
      <w:marRight w:val="0"/>
      <w:marTop w:val="0"/>
      <w:marBottom w:val="0"/>
      <w:divBdr>
        <w:top w:val="none" w:sz="0" w:space="0" w:color="auto"/>
        <w:left w:val="none" w:sz="0" w:space="0" w:color="auto"/>
        <w:bottom w:val="none" w:sz="0" w:space="0" w:color="auto"/>
        <w:right w:val="none" w:sz="0" w:space="0" w:color="auto"/>
      </w:divBdr>
    </w:div>
    <w:div w:id="1300719961">
      <w:bodyDiv w:val="1"/>
      <w:marLeft w:val="0"/>
      <w:marRight w:val="0"/>
      <w:marTop w:val="0"/>
      <w:marBottom w:val="0"/>
      <w:divBdr>
        <w:top w:val="none" w:sz="0" w:space="0" w:color="auto"/>
        <w:left w:val="none" w:sz="0" w:space="0" w:color="auto"/>
        <w:bottom w:val="none" w:sz="0" w:space="0" w:color="auto"/>
        <w:right w:val="none" w:sz="0" w:space="0" w:color="auto"/>
      </w:divBdr>
    </w:div>
    <w:div w:id="1453400602">
      <w:bodyDiv w:val="1"/>
      <w:marLeft w:val="0"/>
      <w:marRight w:val="0"/>
      <w:marTop w:val="0"/>
      <w:marBottom w:val="0"/>
      <w:divBdr>
        <w:top w:val="none" w:sz="0" w:space="0" w:color="auto"/>
        <w:left w:val="none" w:sz="0" w:space="0" w:color="auto"/>
        <w:bottom w:val="none" w:sz="0" w:space="0" w:color="auto"/>
        <w:right w:val="none" w:sz="0" w:space="0" w:color="auto"/>
      </w:divBdr>
    </w:div>
    <w:div w:id="1453816571">
      <w:bodyDiv w:val="1"/>
      <w:marLeft w:val="0"/>
      <w:marRight w:val="0"/>
      <w:marTop w:val="0"/>
      <w:marBottom w:val="0"/>
      <w:divBdr>
        <w:top w:val="none" w:sz="0" w:space="0" w:color="auto"/>
        <w:left w:val="none" w:sz="0" w:space="0" w:color="auto"/>
        <w:bottom w:val="none" w:sz="0" w:space="0" w:color="auto"/>
        <w:right w:val="none" w:sz="0" w:space="0" w:color="auto"/>
      </w:divBdr>
    </w:div>
    <w:div w:id="1588230481">
      <w:bodyDiv w:val="1"/>
      <w:marLeft w:val="0"/>
      <w:marRight w:val="0"/>
      <w:marTop w:val="0"/>
      <w:marBottom w:val="0"/>
      <w:divBdr>
        <w:top w:val="none" w:sz="0" w:space="0" w:color="auto"/>
        <w:left w:val="none" w:sz="0" w:space="0" w:color="auto"/>
        <w:bottom w:val="none" w:sz="0" w:space="0" w:color="auto"/>
        <w:right w:val="none" w:sz="0" w:space="0" w:color="auto"/>
      </w:divBdr>
      <w:divsChild>
        <w:div w:id="1859586774">
          <w:marLeft w:val="0"/>
          <w:marRight w:val="0"/>
          <w:marTop w:val="0"/>
          <w:marBottom w:val="0"/>
          <w:divBdr>
            <w:top w:val="none" w:sz="0" w:space="0" w:color="auto"/>
            <w:left w:val="none" w:sz="0" w:space="0" w:color="auto"/>
            <w:bottom w:val="none" w:sz="0" w:space="0" w:color="auto"/>
            <w:right w:val="none" w:sz="0" w:space="0" w:color="auto"/>
          </w:divBdr>
          <w:divsChild>
            <w:div w:id="202408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327624">
      <w:bodyDiv w:val="1"/>
      <w:marLeft w:val="0"/>
      <w:marRight w:val="0"/>
      <w:marTop w:val="0"/>
      <w:marBottom w:val="0"/>
      <w:divBdr>
        <w:top w:val="none" w:sz="0" w:space="0" w:color="auto"/>
        <w:left w:val="none" w:sz="0" w:space="0" w:color="auto"/>
        <w:bottom w:val="none" w:sz="0" w:space="0" w:color="auto"/>
        <w:right w:val="none" w:sz="0" w:space="0" w:color="auto"/>
      </w:divBdr>
    </w:div>
    <w:div w:id="1625193872">
      <w:bodyDiv w:val="1"/>
      <w:marLeft w:val="0"/>
      <w:marRight w:val="0"/>
      <w:marTop w:val="0"/>
      <w:marBottom w:val="0"/>
      <w:divBdr>
        <w:top w:val="none" w:sz="0" w:space="0" w:color="auto"/>
        <w:left w:val="none" w:sz="0" w:space="0" w:color="auto"/>
        <w:bottom w:val="none" w:sz="0" w:space="0" w:color="auto"/>
        <w:right w:val="none" w:sz="0" w:space="0" w:color="auto"/>
      </w:divBdr>
    </w:div>
    <w:div w:id="1652101073">
      <w:bodyDiv w:val="1"/>
      <w:marLeft w:val="0"/>
      <w:marRight w:val="0"/>
      <w:marTop w:val="0"/>
      <w:marBottom w:val="0"/>
      <w:divBdr>
        <w:top w:val="none" w:sz="0" w:space="0" w:color="auto"/>
        <w:left w:val="none" w:sz="0" w:space="0" w:color="auto"/>
        <w:bottom w:val="none" w:sz="0" w:space="0" w:color="auto"/>
        <w:right w:val="none" w:sz="0" w:space="0" w:color="auto"/>
      </w:divBdr>
    </w:div>
    <w:div w:id="1826970078">
      <w:bodyDiv w:val="1"/>
      <w:marLeft w:val="0"/>
      <w:marRight w:val="0"/>
      <w:marTop w:val="0"/>
      <w:marBottom w:val="0"/>
      <w:divBdr>
        <w:top w:val="none" w:sz="0" w:space="0" w:color="auto"/>
        <w:left w:val="none" w:sz="0" w:space="0" w:color="auto"/>
        <w:bottom w:val="none" w:sz="0" w:space="0" w:color="auto"/>
        <w:right w:val="none" w:sz="0" w:space="0" w:color="auto"/>
      </w:divBdr>
    </w:div>
    <w:div w:id="1834374177">
      <w:bodyDiv w:val="1"/>
      <w:marLeft w:val="0"/>
      <w:marRight w:val="0"/>
      <w:marTop w:val="0"/>
      <w:marBottom w:val="0"/>
      <w:divBdr>
        <w:top w:val="none" w:sz="0" w:space="0" w:color="auto"/>
        <w:left w:val="none" w:sz="0" w:space="0" w:color="auto"/>
        <w:bottom w:val="none" w:sz="0" w:space="0" w:color="auto"/>
        <w:right w:val="none" w:sz="0" w:space="0" w:color="auto"/>
      </w:divBdr>
    </w:div>
    <w:div w:id="1942373440">
      <w:bodyDiv w:val="1"/>
      <w:marLeft w:val="0"/>
      <w:marRight w:val="0"/>
      <w:marTop w:val="0"/>
      <w:marBottom w:val="0"/>
      <w:divBdr>
        <w:top w:val="none" w:sz="0" w:space="0" w:color="auto"/>
        <w:left w:val="none" w:sz="0" w:space="0" w:color="auto"/>
        <w:bottom w:val="none" w:sz="0" w:space="0" w:color="auto"/>
        <w:right w:val="none" w:sz="0" w:space="0" w:color="auto"/>
      </w:divBdr>
    </w:div>
    <w:div w:id="1979147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emf"/><Relationship Id="rId21" Type="http://schemas.openxmlformats.org/officeDocument/2006/relationships/footer" Target="footer4.xml"/><Relationship Id="rId42" Type="http://schemas.openxmlformats.org/officeDocument/2006/relationships/image" Target="media/image18.emf"/><Relationship Id="rId63" Type="http://schemas.openxmlformats.org/officeDocument/2006/relationships/image" Target="media/image30.png"/><Relationship Id="rId84" Type="http://schemas.openxmlformats.org/officeDocument/2006/relationships/image" Target="media/image51.emf"/><Relationship Id="rId138" Type="http://schemas.openxmlformats.org/officeDocument/2006/relationships/chart" Target="charts/chart34.xml"/><Relationship Id="rId159" Type="http://schemas.openxmlformats.org/officeDocument/2006/relationships/image" Target="media/image105.emf"/><Relationship Id="rId170" Type="http://schemas.openxmlformats.org/officeDocument/2006/relationships/header" Target="header8.xml"/><Relationship Id="rId191" Type="http://schemas.openxmlformats.org/officeDocument/2006/relationships/image" Target="media/image123.emf"/><Relationship Id="rId205" Type="http://schemas.openxmlformats.org/officeDocument/2006/relationships/image" Target="media/image135.emf"/><Relationship Id="rId226" Type="http://schemas.openxmlformats.org/officeDocument/2006/relationships/image" Target="media/image148.emf"/><Relationship Id="rId247" Type="http://schemas.openxmlformats.org/officeDocument/2006/relationships/image" Target="media/image165.emf"/><Relationship Id="rId107" Type="http://schemas.openxmlformats.org/officeDocument/2006/relationships/image" Target="media/image68.emf"/><Relationship Id="rId11" Type="http://schemas.openxmlformats.org/officeDocument/2006/relationships/image" Target="media/image4.jpeg"/><Relationship Id="rId32" Type="http://schemas.openxmlformats.org/officeDocument/2006/relationships/chart" Target="charts/chart3.xml"/><Relationship Id="rId53" Type="http://schemas.openxmlformats.org/officeDocument/2006/relationships/image" Target="media/image21.emf"/><Relationship Id="rId74" Type="http://schemas.openxmlformats.org/officeDocument/2006/relationships/image" Target="media/image41.png"/><Relationship Id="rId128" Type="http://schemas.openxmlformats.org/officeDocument/2006/relationships/image" Target="media/image82.emf"/><Relationship Id="rId149" Type="http://schemas.openxmlformats.org/officeDocument/2006/relationships/image" Target="media/image95.emf"/><Relationship Id="rId5" Type="http://schemas.openxmlformats.org/officeDocument/2006/relationships/webSettings" Target="webSettings.xml"/><Relationship Id="rId95" Type="http://schemas.openxmlformats.org/officeDocument/2006/relationships/image" Target="media/image62.emf"/><Relationship Id="rId160" Type="http://schemas.openxmlformats.org/officeDocument/2006/relationships/image" Target="media/image106.emf"/><Relationship Id="rId181" Type="http://schemas.openxmlformats.org/officeDocument/2006/relationships/header" Target="header11.xml"/><Relationship Id="rId216" Type="http://schemas.openxmlformats.org/officeDocument/2006/relationships/header" Target="header19.xml"/><Relationship Id="rId237" Type="http://schemas.openxmlformats.org/officeDocument/2006/relationships/image" Target="media/image157.emf"/><Relationship Id="rId22" Type="http://schemas.openxmlformats.org/officeDocument/2006/relationships/footer" Target="footer5.xml"/><Relationship Id="rId43" Type="http://schemas.openxmlformats.org/officeDocument/2006/relationships/chart" Target="charts/chart9.xml"/><Relationship Id="rId64" Type="http://schemas.openxmlformats.org/officeDocument/2006/relationships/image" Target="media/image31.png"/><Relationship Id="rId118" Type="http://schemas.openxmlformats.org/officeDocument/2006/relationships/image" Target="media/image75.emf"/><Relationship Id="rId139" Type="http://schemas.openxmlformats.org/officeDocument/2006/relationships/image" Target="media/image89.emf"/><Relationship Id="rId85" Type="http://schemas.openxmlformats.org/officeDocument/2006/relationships/image" Target="media/image52.emf"/><Relationship Id="rId150" Type="http://schemas.openxmlformats.org/officeDocument/2006/relationships/chart" Target="charts/chart39.xml"/><Relationship Id="rId171" Type="http://schemas.openxmlformats.org/officeDocument/2006/relationships/chart" Target="charts/chart40.xml"/><Relationship Id="rId192" Type="http://schemas.openxmlformats.org/officeDocument/2006/relationships/image" Target="media/image124.emf"/><Relationship Id="rId206" Type="http://schemas.openxmlformats.org/officeDocument/2006/relationships/image" Target="media/image136.emf"/><Relationship Id="rId227" Type="http://schemas.openxmlformats.org/officeDocument/2006/relationships/image" Target="media/image149.emf"/><Relationship Id="rId248" Type="http://schemas.openxmlformats.org/officeDocument/2006/relationships/image" Target="media/image166.emf"/><Relationship Id="rId12" Type="http://schemas.openxmlformats.org/officeDocument/2006/relationships/image" Target="media/image5.jpeg"/><Relationship Id="rId33" Type="http://schemas.openxmlformats.org/officeDocument/2006/relationships/chart" Target="charts/chart4.xml"/><Relationship Id="rId108" Type="http://schemas.openxmlformats.org/officeDocument/2006/relationships/chart" Target="charts/chart24.xml"/><Relationship Id="rId129" Type="http://schemas.openxmlformats.org/officeDocument/2006/relationships/image" Target="media/image83.png"/><Relationship Id="rId54" Type="http://schemas.openxmlformats.org/officeDocument/2006/relationships/chart" Target="charts/chart17.xml"/><Relationship Id="rId75" Type="http://schemas.openxmlformats.org/officeDocument/2006/relationships/image" Target="media/image42.png"/><Relationship Id="rId96" Type="http://schemas.openxmlformats.org/officeDocument/2006/relationships/image" Target="media/image63.emf"/><Relationship Id="rId140" Type="http://schemas.openxmlformats.org/officeDocument/2006/relationships/chart" Target="charts/chart35.xml"/><Relationship Id="rId161" Type="http://schemas.openxmlformats.org/officeDocument/2006/relationships/image" Target="media/image107.png"/><Relationship Id="rId182" Type="http://schemas.openxmlformats.org/officeDocument/2006/relationships/header" Target="header12.xml"/><Relationship Id="rId217" Type="http://schemas.openxmlformats.org/officeDocument/2006/relationships/footer" Target="footer12.xml"/><Relationship Id="rId6" Type="http://schemas.openxmlformats.org/officeDocument/2006/relationships/footnotes" Target="footnotes.xml"/><Relationship Id="rId238" Type="http://schemas.openxmlformats.org/officeDocument/2006/relationships/image" Target="media/image158.emf"/><Relationship Id="rId23" Type="http://schemas.openxmlformats.org/officeDocument/2006/relationships/footer" Target="footer6.xml"/><Relationship Id="rId119" Type="http://schemas.openxmlformats.org/officeDocument/2006/relationships/image" Target="media/image76.emf"/><Relationship Id="rId44" Type="http://schemas.openxmlformats.org/officeDocument/2006/relationships/chart" Target="charts/chart10.xml"/><Relationship Id="rId65" Type="http://schemas.openxmlformats.org/officeDocument/2006/relationships/image" Target="media/image32.png"/><Relationship Id="rId86" Type="http://schemas.openxmlformats.org/officeDocument/2006/relationships/image" Target="media/image53.png"/><Relationship Id="rId130" Type="http://schemas.openxmlformats.org/officeDocument/2006/relationships/image" Target="media/image84.emf"/><Relationship Id="rId151" Type="http://schemas.openxmlformats.org/officeDocument/2006/relationships/image" Target="media/image97.emf"/><Relationship Id="rId172" Type="http://schemas.openxmlformats.org/officeDocument/2006/relationships/image" Target="media/image113.emf"/><Relationship Id="rId193" Type="http://schemas.openxmlformats.org/officeDocument/2006/relationships/image" Target="media/image125.emf"/><Relationship Id="rId207" Type="http://schemas.openxmlformats.org/officeDocument/2006/relationships/header" Target="header14.xml"/><Relationship Id="rId228" Type="http://schemas.openxmlformats.org/officeDocument/2006/relationships/image" Target="media/image150.emf"/><Relationship Id="rId249" Type="http://schemas.openxmlformats.org/officeDocument/2006/relationships/chart" Target="charts/chart48.xml"/><Relationship Id="rId13" Type="http://schemas.openxmlformats.org/officeDocument/2006/relationships/image" Target="media/image6.jpeg"/><Relationship Id="rId109" Type="http://schemas.openxmlformats.org/officeDocument/2006/relationships/chart" Target="charts/chart25.xml"/><Relationship Id="rId34" Type="http://schemas.openxmlformats.org/officeDocument/2006/relationships/image" Target="media/image14.emf"/><Relationship Id="rId55" Type="http://schemas.openxmlformats.org/officeDocument/2006/relationships/image" Target="media/image22.emf"/><Relationship Id="rId76" Type="http://schemas.openxmlformats.org/officeDocument/2006/relationships/image" Target="media/image43.png"/><Relationship Id="rId97" Type="http://schemas.openxmlformats.org/officeDocument/2006/relationships/image" Target="media/image64.emf"/><Relationship Id="rId120" Type="http://schemas.openxmlformats.org/officeDocument/2006/relationships/image" Target="media/image77.emf"/><Relationship Id="rId141" Type="http://schemas.openxmlformats.org/officeDocument/2006/relationships/chart" Target="charts/chart36.xml"/><Relationship Id="rId7" Type="http://schemas.openxmlformats.org/officeDocument/2006/relationships/endnotes" Target="endnotes.xml"/><Relationship Id="rId162" Type="http://schemas.openxmlformats.org/officeDocument/2006/relationships/image" Target="media/image108.emf"/><Relationship Id="rId183" Type="http://schemas.openxmlformats.org/officeDocument/2006/relationships/footer" Target="footer9.xml"/><Relationship Id="rId218" Type="http://schemas.openxmlformats.org/officeDocument/2006/relationships/image" Target="media/image140.emf"/><Relationship Id="rId239" Type="http://schemas.openxmlformats.org/officeDocument/2006/relationships/image" Target="media/image159.emf"/><Relationship Id="rId250" Type="http://schemas.openxmlformats.org/officeDocument/2006/relationships/image" Target="media/image167.png"/><Relationship Id="rId24" Type="http://schemas.openxmlformats.org/officeDocument/2006/relationships/image" Target="media/image8.emf"/><Relationship Id="rId45" Type="http://schemas.openxmlformats.org/officeDocument/2006/relationships/chart" Target="charts/chart11.xml"/><Relationship Id="rId66" Type="http://schemas.openxmlformats.org/officeDocument/2006/relationships/image" Target="media/image33.emf"/><Relationship Id="rId87" Type="http://schemas.openxmlformats.org/officeDocument/2006/relationships/image" Target="media/image54.emf"/><Relationship Id="rId110" Type="http://schemas.openxmlformats.org/officeDocument/2006/relationships/chart" Target="charts/chart26.xml"/><Relationship Id="rId131" Type="http://schemas.openxmlformats.org/officeDocument/2006/relationships/chart" Target="charts/chart31.xml"/><Relationship Id="rId152" Type="http://schemas.openxmlformats.org/officeDocument/2006/relationships/image" Target="media/image98.emf"/><Relationship Id="rId173" Type="http://schemas.openxmlformats.org/officeDocument/2006/relationships/chart" Target="charts/chart41.xml"/><Relationship Id="rId194" Type="http://schemas.openxmlformats.org/officeDocument/2006/relationships/image" Target="media/image126.emf"/><Relationship Id="rId208" Type="http://schemas.openxmlformats.org/officeDocument/2006/relationships/header" Target="header15.xml"/><Relationship Id="rId229" Type="http://schemas.openxmlformats.org/officeDocument/2006/relationships/image" Target="media/image151.emf"/><Relationship Id="rId240" Type="http://schemas.openxmlformats.org/officeDocument/2006/relationships/image" Target="media/image160.emf"/><Relationship Id="rId14" Type="http://schemas.openxmlformats.org/officeDocument/2006/relationships/header" Target="header1.xml"/><Relationship Id="rId35" Type="http://schemas.openxmlformats.org/officeDocument/2006/relationships/chart" Target="charts/chart5.xml"/><Relationship Id="rId56" Type="http://schemas.openxmlformats.org/officeDocument/2006/relationships/image" Target="media/image23.emf"/><Relationship Id="rId77" Type="http://schemas.openxmlformats.org/officeDocument/2006/relationships/image" Target="media/image44.png"/><Relationship Id="rId100" Type="http://schemas.openxmlformats.org/officeDocument/2006/relationships/chart" Target="charts/chart19.xml"/><Relationship Id="rId8" Type="http://schemas.openxmlformats.org/officeDocument/2006/relationships/image" Target="media/image1.jpeg"/><Relationship Id="rId98" Type="http://schemas.openxmlformats.org/officeDocument/2006/relationships/chart" Target="charts/chart18.xml"/><Relationship Id="rId121" Type="http://schemas.openxmlformats.org/officeDocument/2006/relationships/chart" Target="charts/chart28.xml"/><Relationship Id="rId142" Type="http://schemas.openxmlformats.org/officeDocument/2006/relationships/image" Target="media/image90.emf"/><Relationship Id="rId163" Type="http://schemas.openxmlformats.org/officeDocument/2006/relationships/image" Target="media/image109.emf"/><Relationship Id="rId184" Type="http://schemas.openxmlformats.org/officeDocument/2006/relationships/header" Target="header13.xml"/><Relationship Id="rId219" Type="http://schemas.openxmlformats.org/officeDocument/2006/relationships/image" Target="media/image141.emf"/><Relationship Id="rId230" Type="http://schemas.openxmlformats.org/officeDocument/2006/relationships/header" Target="header20.xml"/><Relationship Id="rId251" Type="http://schemas.openxmlformats.org/officeDocument/2006/relationships/image" Target="media/image168.jpg"/><Relationship Id="rId25" Type="http://schemas.openxmlformats.org/officeDocument/2006/relationships/image" Target="media/image9.emf"/><Relationship Id="rId46" Type="http://schemas.openxmlformats.org/officeDocument/2006/relationships/image" Target="media/image19.emf"/><Relationship Id="rId67" Type="http://schemas.openxmlformats.org/officeDocument/2006/relationships/image" Target="media/image34.emf"/><Relationship Id="rId88" Type="http://schemas.openxmlformats.org/officeDocument/2006/relationships/image" Target="media/image55.emf"/><Relationship Id="rId111" Type="http://schemas.openxmlformats.org/officeDocument/2006/relationships/image" Target="media/image69.emf"/><Relationship Id="rId132" Type="http://schemas.openxmlformats.org/officeDocument/2006/relationships/image" Target="media/image85.emf"/><Relationship Id="rId153" Type="http://schemas.openxmlformats.org/officeDocument/2006/relationships/image" Target="media/image99.emf"/><Relationship Id="rId174" Type="http://schemas.openxmlformats.org/officeDocument/2006/relationships/image" Target="media/image114.png"/><Relationship Id="rId195" Type="http://schemas.openxmlformats.org/officeDocument/2006/relationships/chart" Target="charts/chart44.xml"/><Relationship Id="rId209" Type="http://schemas.openxmlformats.org/officeDocument/2006/relationships/footer" Target="footer11.xml"/><Relationship Id="rId220" Type="http://schemas.openxmlformats.org/officeDocument/2006/relationships/image" Target="media/image142.emf"/><Relationship Id="rId241" Type="http://schemas.openxmlformats.org/officeDocument/2006/relationships/image" Target="media/image161.emf"/><Relationship Id="rId15" Type="http://schemas.openxmlformats.org/officeDocument/2006/relationships/header" Target="header2.xml"/><Relationship Id="rId36" Type="http://schemas.openxmlformats.org/officeDocument/2006/relationships/image" Target="media/image15.emf"/><Relationship Id="rId57" Type="http://schemas.openxmlformats.org/officeDocument/2006/relationships/image" Target="media/image24.emf"/><Relationship Id="rId78" Type="http://schemas.openxmlformats.org/officeDocument/2006/relationships/image" Target="media/image45.png"/><Relationship Id="rId99" Type="http://schemas.openxmlformats.org/officeDocument/2006/relationships/image" Target="media/image65.emf"/><Relationship Id="rId101" Type="http://schemas.openxmlformats.org/officeDocument/2006/relationships/image" Target="media/image66.emf"/><Relationship Id="rId122" Type="http://schemas.openxmlformats.org/officeDocument/2006/relationships/image" Target="media/image78.emf"/><Relationship Id="rId143" Type="http://schemas.openxmlformats.org/officeDocument/2006/relationships/chart" Target="charts/chart37.xml"/><Relationship Id="rId164" Type="http://schemas.openxmlformats.org/officeDocument/2006/relationships/image" Target="media/image110.emf"/><Relationship Id="rId185" Type="http://schemas.openxmlformats.org/officeDocument/2006/relationships/footer" Target="footer10.xml"/><Relationship Id="rId9" Type="http://schemas.openxmlformats.org/officeDocument/2006/relationships/image" Target="media/image2.jpeg"/><Relationship Id="rId210" Type="http://schemas.openxmlformats.org/officeDocument/2006/relationships/header" Target="header16.xml"/><Relationship Id="rId26" Type="http://schemas.openxmlformats.org/officeDocument/2006/relationships/image" Target="media/image10.emf"/><Relationship Id="rId231" Type="http://schemas.openxmlformats.org/officeDocument/2006/relationships/header" Target="header21.xml"/><Relationship Id="rId252" Type="http://schemas.openxmlformats.org/officeDocument/2006/relationships/image" Target="media/image169.emf"/><Relationship Id="rId47" Type="http://schemas.openxmlformats.org/officeDocument/2006/relationships/chart" Target="charts/chart12.xml"/><Relationship Id="rId68" Type="http://schemas.openxmlformats.org/officeDocument/2006/relationships/image" Target="media/image35.png"/><Relationship Id="rId89" Type="http://schemas.openxmlformats.org/officeDocument/2006/relationships/image" Target="media/image56.png"/><Relationship Id="rId112" Type="http://schemas.openxmlformats.org/officeDocument/2006/relationships/image" Target="media/image70.emf"/><Relationship Id="rId133" Type="http://schemas.openxmlformats.org/officeDocument/2006/relationships/chart" Target="charts/chart32.xml"/><Relationship Id="rId154" Type="http://schemas.openxmlformats.org/officeDocument/2006/relationships/header" Target="header5.xml"/><Relationship Id="rId175" Type="http://schemas.openxmlformats.org/officeDocument/2006/relationships/chart" Target="charts/chart42.xml"/><Relationship Id="rId196" Type="http://schemas.openxmlformats.org/officeDocument/2006/relationships/image" Target="media/image127.emf"/><Relationship Id="rId200" Type="http://schemas.openxmlformats.org/officeDocument/2006/relationships/image" Target="media/image130.emf"/><Relationship Id="rId16" Type="http://schemas.openxmlformats.org/officeDocument/2006/relationships/footer" Target="footer1.xml"/><Relationship Id="rId221" Type="http://schemas.openxmlformats.org/officeDocument/2006/relationships/image" Target="media/image143.emf"/><Relationship Id="rId242" Type="http://schemas.openxmlformats.org/officeDocument/2006/relationships/header" Target="header22.xml"/><Relationship Id="rId37" Type="http://schemas.openxmlformats.org/officeDocument/2006/relationships/image" Target="media/image16.emf"/><Relationship Id="rId58" Type="http://schemas.openxmlformats.org/officeDocument/2006/relationships/image" Target="media/image25.png"/><Relationship Id="rId79" Type="http://schemas.openxmlformats.org/officeDocument/2006/relationships/image" Target="media/image46.png"/><Relationship Id="rId102" Type="http://schemas.openxmlformats.org/officeDocument/2006/relationships/chart" Target="charts/chart20.xml"/><Relationship Id="rId123" Type="http://schemas.openxmlformats.org/officeDocument/2006/relationships/image" Target="media/image79.emf"/><Relationship Id="rId144" Type="http://schemas.openxmlformats.org/officeDocument/2006/relationships/chart" Target="charts/chart38.xml"/><Relationship Id="rId90" Type="http://schemas.openxmlformats.org/officeDocument/2006/relationships/image" Target="media/image57.png"/><Relationship Id="rId165" Type="http://schemas.openxmlformats.org/officeDocument/2006/relationships/image" Target="media/image111.emf"/><Relationship Id="rId186" Type="http://schemas.openxmlformats.org/officeDocument/2006/relationships/image" Target="media/image118.emf"/><Relationship Id="rId211" Type="http://schemas.openxmlformats.org/officeDocument/2006/relationships/image" Target="media/image138.emf"/><Relationship Id="rId232" Type="http://schemas.openxmlformats.org/officeDocument/2006/relationships/footer" Target="footer13.xml"/><Relationship Id="rId253" Type="http://schemas.openxmlformats.org/officeDocument/2006/relationships/image" Target="media/image170.emf"/><Relationship Id="rId27" Type="http://schemas.openxmlformats.org/officeDocument/2006/relationships/image" Target="media/image11.emf"/><Relationship Id="rId48" Type="http://schemas.openxmlformats.org/officeDocument/2006/relationships/chart" Target="charts/chart13.xml"/><Relationship Id="rId69" Type="http://schemas.openxmlformats.org/officeDocument/2006/relationships/image" Target="media/image36.emf"/><Relationship Id="rId113" Type="http://schemas.openxmlformats.org/officeDocument/2006/relationships/image" Target="media/image71.emf"/><Relationship Id="rId134" Type="http://schemas.openxmlformats.org/officeDocument/2006/relationships/image" Target="media/image86.emf"/><Relationship Id="rId80" Type="http://schemas.openxmlformats.org/officeDocument/2006/relationships/image" Target="media/image47.png"/><Relationship Id="rId155" Type="http://schemas.openxmlformats.org/officeDocument/2006/relationships/image" Target="media/image101.emf"/><Relationship Id="rId176" Type="http://schemas.openxmlformats.org/officeDocument/2006/relationships/chart" Target="charts/chart43.xml"/><Relationship Id="rId197" Type="http://schemas.openxmlformats.org/officeDocument/2006/relationships/chart" Target="charts/chart45.xml"/><Relationship Id="rId201" Type="http://schemas.openxmlformats.org/officeDocument/2006/relationships/image" Target="media/image131.emf"/><Relationship Id="rId222" Type="http://schemas.openxmlformats.org/officeDocument/2006/relationships/image" Target="media/image144.emf"/><Relationship Id="rId243" Type="http://schemas.openxmlformats.org/officeDocument/2006/relationships/header" Target="header23.xml"/><Relationship Id="rId17" Type="http://schemas.openxmlformats.org/officeDocument/2006/relationships/footer" Target="footer2.xml"/><Relationship Id="rId38" Type="http://schemas.openxmlformats.org/officeDocument/2006/relationships/chart" Target="charts/chart6.xml"/><Relationship Id="rId59" Type="http://schemas.openxmlformats.org/officeDocument/2006/relationships/image" Target="media/image26.emf"/><Relationship Id="rId103" Type="http://schemas.openxmlformats.org/officeDocument/2006/relationships/chart" Target="charts/chart21.xml"/><Relationship Id="rId124" Type="http://schemas.openxmlformats.org/officeDocument/2006/relationships/image" Target="media/image80.emf"/><Relationship Id="rId70" Type="http://schemas.openxmlformats.org/officeDocument/2006/relationships/image" Target="media/image37.png"/><Relationship Id="rId91" Type="http://schemas.openxmlformats.org/officeDocument/2006/relationships/image" Target="media/image58.png"/><Relationship Id="rId145" Type="http://schemas.openxmlformats.org/officeDocument/2006/relationships/image" Target="media/image91.emf"/><Relationship Id="rId166" Type="http://schemas.openxmlformats.org/officeDocument/2006/relationships/header" Target="header6.xml"/><Relationship Id="rId187" Type="http://schemas.openxmlformats.org/officeDocument/2006/relationships/image" Target="media/image119.emf"/><Relationship Id="rId1" Type="http://schemas.openxmlformats.org/officeDocument/2006/relationships/customXml" Target="../customXml/item1.xml"/><Relationship Id="rId212" Type="http://schemas.openxmlformats.org/officeDocument/2006/relationships/chart" Target="charts/chart46.xml"/><Relationship Id="rId233" Type="http://schemas.openxmlformats.org/officeDocument/2006/relationships/image" Target="media/image153.emf"/><Relationship Id="rId254" Type="http://schemas.openxmlformats.org/officeDocument/2006/relationships/image" Target="media/image171.emf"/><Relationship Id="rId28" Type="http://schemas.openxmlformats.org/officeDocument/2006/relationships/image" Target="media/image12.emf"/><Relationship Id="rId49" Type="http://schemas.openxmlformats.org/officeDocument/2006/relationships/image" Target="media/image20.emf"/><Relationship Id="rId114" Type="http://schemas.openxmlformats.org/officeDocument/2006/relationships/image" Target="media/image72.emf"/><Relationship Id="rId60" Type="http://schemas.openxmlformats.org/officeDocument/2006/relationships/image" Target="media/image27.emf"/><Relationship Id="rId81" Type="http://schemas.openxmlformats.org/officeDocument/2006/relationships/image" Target="media/image48.png"/><Relationship Id="rId135" Type="http://schemas.openxmlformats.org/officeDocument/2006/relationships/image" Target="media/image87.emf"/><Relationship Id="rId156" Type="http://schemas.openxmlformats.org/officeDocument/2006/relationships/image" Target="media/image102.emf"/><Relationship Id="rId177" Type="http://schemas.openxmlformats.org/officeDocument/2006/relationships/image" Target="media/image115.emf"/><Relationship Id="rId198" Type="http://schemas.openxmlformats.org/officeDocument/2006/relationships/image" Target="media/image128.emf"/><Relationship Id="rId202" Type="http://schemas.openxmlformats.org/officeDocument/2006/relationships/image" Target="media/image132.emf"/><Relationship Id="rId223" Type="http://schemas.openxmlformats.org/officeDocument/2006/relationships/image" Target="media/image145.emf"/><Relationship Id="rId244" Type="http://schemas.openxmlformats.org/officeDocument/2006/relationships/header" Target="header24.xml"/><Relationship Id="rId18" Type="http://schemas.openxmlformats.org/officeDocument/2006/relationships/header" Target="header3.xml"/><Relationship Id="rId39" Type="http://schemas.openxmlformats.org/officeDocument/2006/relationships/chart" Target="charts/chart7.xml"/><Relationship Id="rId50" Type="http://schemas.openxmlformats.org/officeDocument/2006/relationships/chart" Target="charts/chart14.xml"/><Relationship Id="rId104" Type="http://schemas.openxmlformats.org/officeDocument/2006/relationships/chart" Target="charts/chart22.xml"/><Relationship Id="rId125" Type="http://schemas.openxmlformats.org/officeDocument/2006/relationships/chart" Target="charts/chart29.xml"/><Relationship Id="rId146" Type="http://schemas.openxmlformats.org/officeDocument/2006/relationships/image" Target="media/image92.emf"/><Relationship Id="rId167" Type="http://schemas.openxmlformats.org/officeDocument/2006/relationships/header" Target="header7.xml"/><Relationship Id="rId188" Type="http://schemas.openxmlformats.org/officeDocument/2006/relationships/image" Target="media/image120.emf"/><Relationship Id="rId71" Type="http://schemas.openxmlformats.org/officeDocument/2006/relationships/image" Target="media/image38.png"/><Relationship Id="rId92" Type="http://schemas.openxmlformats.org/officeDocument/2006/relationships/image" Target="media/image59.png"/><Relationship Id="rId213" Type="http://schemas.openxmlformats.org/officeDocument/2006/relationships/chart" Target="charts/chart47.xml"/><Relationship Id="rId234" Type="http://schemas.openxmlformats.org/officeDocument/2006/relationships/image" Target="media/image154.emf"/><Relationship Id="rId2" Type="http://schemas.openxmlformats.org/officeDocument/2006/relationships/numbering" Target="numbering.xml"/><Relationship Id="rId29" Type="http://schemas.openxmlformats.org/officeDocument/2006/relationships/image" Target="media/image13.emf"/><Relationship Id="rId255" Type="http://schemas.openxmlformats.org/officeDocument/2006/relationships/header" Target="header25.xml"/><Relationship Id="rId40" Type="http://schemas.openxmlformats.org/officeDocument/2006/relationships/image" Target="media/image17.emf"/><Relationship Id="rId115" Type="http://schemas.openxmlformats.org/officeDocument/2006/relationships/chart" Target="charts/chart27.xml"/><Relationship Id="rId136" Type="http://schemas.openxmlformats.org/officeDocument/2006/relationships/image" Target="media/image88.emf"/><Relationship Id="rId157" Type="http://schemas.openxmlformats.org/officeDocument/2006/relationships/image" Target="media/image103.emf"/><Relationship Id="rId178" Type="http://schemas.openxmlformats.org/officeDocument/2006/relationships/image" Target="media/image116.emf"/><Relationship Id="rId61" Type="http://schemas.openxmlformats.org/officeDocument/2006/relationships/image" Target="media/image28.emf"/><Relationship Id="rId82" Type="http://schemas.openxmlformats.org/officeDocument/2006/relationships/image" Target="media/image49.png"/><Relationship Id="rId199" Type="http://schemas.openxmlformats.org/officeDocument/2006/relationships/image" Target="media/image129.emf"/><Relationship Id="rId203" Type="http://schemas.openxmlformats.org/officeDocument/2006/relationships/image" Target="media/image133.emf"/><Relationship Id="rId19" Type="http://schemas.openxmlformats.org/officeDocument/2006/relationships/footer" Target="footer3.xml"/><Relationship Id="rId224" Type="http://schemas.openxmlformats.org/officeDocument/2006/relationships/image" Target="media/image146.emf"/><Relationship Id="rId245" Type="http://schemas.openxmlformats.org/officeDocument/2006/relationships/image" Target="media/image163.emf"/><Relationship Id="rId30" Type="http://schemas.openxmlformats.org/officeDocument/2006/relationships/chart" Target="charts/chart1.xml"/><Relationship Id="rId105" Type="http://schemas.openxmlformats.org/officeDocument/2006/relationships/image" Target="media/image67.emf"/><Relationship Id="rId126" Type="http://schemas.openxmlformats.org/officeDocument/2006/relationships/image" Target="media/image81.emf"/><Relationship Id="rId147" Type="http://schemas.openxmlformats.org/officeDocument/2006/relationships/image" Target="media/image93.png"/><Relationship Id="rId168" Type="http://schemas.openxmlformats.org/officeDocument/2006/relationships/footer" Target="footer7.xml"/><Relationship Id="rId51" Type="http://schemas.openxmlformats.org/officeDocument/2006/relationships/chart" Target="charts/chart15.xml"/><Relationship Id="rId72" Type="http://schemas.openxmlformats.org/officeDocument/2006/relationships/image" Target="media/image39.png"/><Relationship Id="rId93" Type="http://schemas.openxmlformats.org/officeDocument/2006/relationships/image" Target="media/image60.emf"/><Relationship Id="rId189" Type="http://schemas.openxmlformats.org/officeDocument/2006/relationships/image" Target="media/image121.emf"/><Relationship Id="rId3" Type="http://schemas.openxmlformats.org/officeDocument/2006/relationships/styles" Target="styles.xml"/><Relationship Id="rId214" Type="http://schemas.openxmlformats.org/officeDocument/2006/relationships/header" Target="header17.xml"/><Relationship Id="rId235" Type="http://schemas.openxmlformats.org/officeDocument/2006/relationships/image" Target="media/image155.emf"/><Relationship Id="rId256" Type="http://schemas.openxmlformats.org/officeDocument/2006/relationships/fontTable" Target="fontTable.xml"/><Relationship Id="rId116" Type="http://schemas.openxmlformats.org/officeDocument/2006/relationships/image" Target="media/image73.emf"/><Relationship Id="rId137" Type="http://schemas.openxmlformats.org/officeDocument/2006/relationships/chart" Target="charts/chart33.xml"/><Relationship Id="rId158" Type="http://schemas.openxmlformats.org/officeDocument/2006/relationships/image" Target="media/image104.emf"/><Relationship Id="rId20" Type="http://schemas.openxmlformats.org/officeDocument/2006/relationships/header" Target="header4.xml"/><Relationship Id="rId41" Type="http://schemas.openxmlformats.org/officeDocument/2006/relationships/chart" Target="charts/chart8.xml"/><Relationship Id="rId62" Type="http://schemas.openxmlformats.org/officeDocument/2006/relationships/image" Target="media/image29.png"/><Relationship Id="rId83" Type="http://schemas.openxmlformats.org/officeDocument/2006/relationships/image" Target="media/image50.png"/><Relationship Id="rId179" Type="http://schemas.openxmlformats.org/officeDocument/2006/relationships/header" Target="header9.xml"/><Relationship Id="rId190" Type="http://schemas.openxmlformats.org/officeDocument/2006/relationships/image" Target="media/image122.emf"/><Relationship Id="rId204" Type="http://schemas.openxmlformats.org/officeDocument/2006/relationships/image" Target="media/image134.emf"/><Relationship Id="rId225" Type="http://schemas.openxmlformats.org/officeDocument/2006/relationships/image" Target="media/image147.emf"/><Relationship Id="rId246" Type="http://schemas.openxmlformats.org/officeDocument/2006/relationships/image" Target="media/image164.emf"/><Relationship Id="rId106" Type="http://schemas.openxmlformats.org/officeDocument/2006/relationships/chart" Target="charts/chart23.xml"/><Relationship Id="rId127" Type="http://schemas.openxmlformats.org/officeDocument/2006/relationships/chart" Target="charts/chart30.xml"/><Relationship Id="rId10" Type="http://schemas.openxmlformats.org/officeDocument/2006/relationships/image" Target="media/image3.jpeg"/><Relationship Id="rId31" Type="http://schemas.openxmlformats.org/officeDocument/2006/relationships/chart" Target="charts/chart2.xml"/><Relationship Id="rId52" Type="http://schemas.openxmlformats.org/officeDocument/2006/relationships/chart" Target="charts/chart16.xml"/><Relationship Id="rId73" Type="http://schemas.openxmlformats.org/officeDocument/2006/relationships/image" Target="media/image40.png"/><Relationship Id="rId94" Type="http://schemas.openxmlformats.org/officeDocument/2006/relationships/image" Target="media/image61.emf"/><Relationship Id="rId148" Type="http://schemas.openxmlformats.org/officeDocument/2006/relationships/image" Target="media/image94.png"/><Relationship Id="rId169" Type="http://schemas.openxmlformats.org/officeDocument/2006/relationships/footer" Target="footer8.xml"/><Relationship Id="rId4" Type="http://schemas.openxmlformats.org/officeDocument/2006/relationships/settings" Target="settings.xml"/><Relationship Id="rId180" Type="http://schemas.openxmlformats.org/officeDocument/2006/relationships/header" Target="header10.xml"/><Relationship Id="rId215" Type="http://schemas.openxmlformats.org/officeDocument/2006/relationships/header" Target="header18.xml"/><Relationship Id="rId236" Type="http://schemas.openxmlformats.org/officeDocument/2006/relationships/image" Target="media/image156.png"/><Relationship Id="rId257"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header15.xml.rels><?xml version="1.0" encoding="UTF-8" standalone="yes"?>
<Relationships xmlns="http://schemas.openxmlformats.org/package/2006/relationships"><Relationship Id="rId1" Type="http://schemas.openxmlformats.org/officeDocument/2006/relationships/image" Target="media/image137.png"/></Relationships>
</file>

<file path=word/_rels/header18.xml.rels><?xml version="1.0" encoding="UTF-8" standalone="yes"?>
<Relationships xmlns="http://schemas.openxmlformats.org/package/2006/relationships"><Relationship Id="rId1" Type="http://schemas.openxmlformats.org/officeDocument/2006/relationships/image" Target="media/image139.png"/></Relationships>
</file>

<file path=word/_rels/header20.xml.rels><?xml version="1.0" encoding="UTF-8" standalone="yes"?>
<Relationships xmlns="http://schemas.openxmlformats.org/package/2006/relationships"><Relationship Id="rId1" Type="http://schemas.openxmlformats.org/officeDocument/2006/relationships/image" Target="media/image152.png"/></Relationships>
</file>

<file path=word/_rels/header23.xml.rels><?xml version="1.0" encoding="UTF-8" standalone="yes"?>
<Relationships xmlns="http://schemas.openxmlformats.org/package/2006/relationships"><Relationship Id="rId1" Type="http://schemas.openxmlformats.org/officeDocument/2006/relationships/image" Target="media/image162.png"/></Relationships>
</file>

<file path=word/_rels/header25.xml.rels><?xml version="1.0" encoding="UTF-8" standalone="yes"?>
<Relationships xmlns="http://schemas.openxmlformats.org/package/2006/relationships"><Relationship Id="rId1" Type="http://schemas.openxmlformats.org/officeDocument/2006/relationships/image" Target="media/image172.png"/></Relationships>
</file>

<file path=word/_rels/header5.xml.rels><?xml version="1.0" encoding="UTF-8" standalone="yes"?>
<Relationships xmlns="http://schemas.openxmlformats.org/package/2006/relationships"><Relationship Id="rId1" Type="http://schemas.openxmlformats.org/officeDocument/2006/relationships/image" Target="media/image100.png"/></Relationships>
</file>

<file path=word/_rels/header7.xml.rels><?xml version="1.0" encoding="UTF-8" standalone="yes"?>
<Relationships xmlns="http://schemas.openxmlformats.org/package/2006/relationships"><Relationship Id="rId1" Type="http://schemas.openxmlformats.org/officeDocument/2006/relationships/image" Target="media/image112.png"/></Relationships>
</file>

<file path=word/_rels/header9.xml.rels><?xml version="1.0" encoding="UTF-8" standalone="yes"?>
<Relationships xmlns="http://schemas.openxmlformats.org/package/2006/relationships"><Relationship Id="rId1" Type="http://schemas.openxmlformats.org/officeDocument/2006/relationships/image" Target="media/image117.png"/></Relationships>
</file>

<file path=word/charts/_rels/chart1.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A.2%20Graph.xlsx" TargetMode="External"/></Relationships>
</file>

<file path=word/charts/_rels/chart10.xml.rels><?xml version="1.0" encoding="UTF-8" standalone="yes"?>
<Relationships xmlns="http://schemas.openxmlformats.org/package/2006/relationships"><Relationship Id="rId3" Type="http://schemas.openxmlformats.org/officeDocument/2006/relationships/package" Target="../embeddings/Feuille_de_calcul_Microsoft_Excel33.xlsx"/><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3" Type="http://schemas.openxmlformats.org/officeDocument/2006/relationships/package" Target="../embeddings/Feuille_de_calcul_Microsoft_Excel44.xlsx"/><Relationship Id="rId2" Type="http://schemas.microsoft.com/office/2011/relationships/chartColorStyle" Target="colors3.xml"/><Relationship Id="rId1" Type="http://schemas.microsoft.com/office/2011/relationships/chartStyle" Target="style3.xml"/></Relationships>
</file>

<file path=word/charts/_rels/chart12.xml.rels><?xml version="1.0" encoding="UTF-8" standalone="yes"?>
<Relationships xmlns="http://schemas.openxmlformats.org/package/2006/relationships"><Relationship Id="rId3" Type="http://schemas.openxmlformats.org/officeDocument/2006/relationships/package" Target="../embeddings/Feuille_de_calcul_Microsoft_Excel55.xlsx"/><Relationship Id="rId2" Type="http://schemas.microsoft.com/office/2011/relationships/chartColorStyle" Target="colors4.xml"/><Relationship Id="rId1" Type="http://schemas.microsoft.com/office/2011/relationships/chartStyle" Target="style4.xml"/></Relationships>
</file>

<file path=word/charts/_rels/chart13.xml.rels><?xml version="1.0" encoding="UTF-8" standalone="yes"?>
<Relationships xmlns="http://schemas.openxmlformats.org/package/2006/relationships"><Relationship Id="rId3" Type="http://schemas.openxmlformats.org/officeDocument/2006/relationships/package" Target="../embeddings/Feuille_de_calcul_Microsoft_Excel66.xlsx"/><Relationship Id="rId2" Type="http://schemas.microsoft.com/office/2011/relationships/chartColorStyle" Target="colors5.xml"/><Relationship Id="rId1" Type="http://schemas.microsoft.com/office/2011/relationships/chartStyle" Target="style5.xml"/></Relationships>
</file>

<file path=word/charts/_rels/chart14.xml.rels><?xml version="1.0" encoding="UTF-8" standalone="yes"?>
<Relationships xmlns="http://schemas.openxmlformats.org/package/2006/relationships"><Relationship Id="rId3" Type="http://schemas.openxmlformats.org/officeDocument/2006/relationships/package" Target="../embeddings/Feuille_de_calcul_Microsoft_Excel77.xlsx"/><Relationship Id="rId2" Type="http://schemas.microsoft.com/office/2011/relationships/chartColorStyle" Target="colors6.xml"/><Relationship Id="rId1" Type="http://schemas.microsoft.com/office/2011/relationships/chartStyle" Target="style6.xml"/></Relationships>
</file>

<file path=word/charts/_rels/chart15.xml.rels><?xml version="1.0" encoding="UTF-8" standalone="yes"?>
<Relationships xmlns="http://schemas.openxmlformats.org/package/2006/relationships"><Relationship Id="rId3" Type="http://schemas.openxmlformats.org/officeDocument/2006/relationships/package" Target="../embeddings/Feuille_de_calcul_Microsoft_Excel88.xlsx"/><Relationship Id="rId2" Type="http://schemas.microsoft.com/office/2011/relationships/chartColorStyle" Target="colors7.xml"/><Relationship Id="rId1" Type="http://schemas.microsoft.com/office/2011/relationships/chartStyle" Target="style7.xml"/></Relationships>
</file>

<file path=word/charts/_rels/chart16.xml.rels><?xml version="1.0" encoding="UTF-8" standalone="yes"?>
<Relationships xmlns="http://schemas.openxmlformats.org/package/2006/relationships"><Relationship Id="rId3" Type="http://schemas.openxmlformats.org/officeDocument/2006/relationships/package" Target="../embeddings/Feuille_de_calcul_Microsoft_Excel99.xlsx"/><Relationship Id="rId2" Type="http://schemas.microsoft.com/office/2011/relationships/chartColorStyle" Target="colors8.xml"/><Relationship Id="rId1" Type="http://schemas.microsoft.com/office/2011/relationships/chartStyle" Target="style8.xml"/></Relationships>
</file>

<file path=word/charts/_rels/chart17.xml.rels><?xml version="1.0" encoding="UTF-8" standalone="yes"?>
<Relationships xmlns="http://schemas.openxmlformats.org/package/2006/relationships"><Relationship Id="rId3" Type="http://schemas.openxmlformats.org/officeDocument/2006/relationships/package" Target="../embeddings/Feuille_de_calcul_Microsoft_Excel1010.xlsx"/><Relationship Id="rId2" Type="http://schemas.microsoft.com/office/2011/relationships/chartColorStyle" Target="colors9.xml"/><Relationship Id="rId1" Type="http://schemas.microsoft.com/office/2011/relationships/chartStyle" Target="style9.xml"/></Relationships>
</file>

<file path=word/charts/_rels/chart18.xml.rels><?xml version="1.0" encoding="UTF-8" standalone="yes"?>
<Relationships xmlns="http://schemas.openxmlformats.org/package/2006/relationships"><Relationship Id="rId3" Type="http://schemas.openxmlformats.org/officeDocument/2006/relationships/package" Target="../embeddings/Feuille_de_calcul_Microsoft_Excel1111.xlsx"/><Relationship Id="rId2" Type="http://schemas.microsoft.com/office/2011/relationships/chartColorStyle" Target="colors10.xml"/><Relationship Id="rId1" Type="http://schemas.microsoft.com/office/2011/relationships/chartStyle" Target="style10.xml"/></Relationships>
</file>

<file path=word/charts/_rels/chart19.xml.rels><?xml version="1.0" encoding="UTF-8" standalone="yes"?>
<Relationships xmlns="http://schemas.openxmlformats.org/package/2006/relationships"><Relationship Id="rId1" Type="http://schemas.openxmlformats.org/officeDocument/2006/relationships/package" Target="../embeddings/Feuille_de_calcul_Microsoft_Excel1212.xlsx"/></Relationships>
</file>

<file path=word/charts/_rels/chart2.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A.2%20Graph.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rhin\SG\SRH\SDPRHRS\SRH2-ER\ACTIVITE\Pilotage%20des%20emplois\Bilan%20social\BS%202013\Retour%20des%20services\Contribution%20BER\Effectifs\TB%20faits\1.D.1%20R&#233;p.%20H-F%20fili&#232;re%20et%20cat.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D.2%20Pyramide%20&#226;ges%20H-F.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D.2%20Pyramide%20&#226;ges%20H-F.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D.2%20Pyramide%20&#226;ges%20H-F.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D.5%20Courbe%20&#226;ge%20par%20fili&#232;re.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D.6%20Courbe%20&#226;ge%20par%20cat.xls" TargetMode="External"/></Relationships>
</file>

<file path=word/charts/_rels/chart26.xml.rels><?xml version="1.0" encoding="UTF-8" standalone="yes"?>
<Relationships xmlns="http://schemas.openxmlformats.org/package/2006/relationships"><Relationship Id="rId3" Type="http://schemas.openxmlformats.org/officeDocument/2006/relationships/package" Target="../embeddings/Feuille_de_calcul_Microsoft_Excel1313.xlsx"/><Relationship Id="rId2" Type="http://schemas.microsoft.com/office/2011/relationships/chartColorStyle" Target="colors11.xml"/><Relationship Id="rId1" Type="http://schemas.microsoft.com/office/2011/relationships/chartStyle" Target="style11.xml"/></Relationships>
</file>

<file path=word/charts/_rels/chart27.xml.rels><?xml version="1.0" encoding="UTF-8" standalone="yes"?>
<Relationships xmlns="http://schemas.openxmlformats.org/package/2006/relationships"><Relationship Id="rId3" Type="http://schemas.openxmlformats.org/officeDocument/2006/relationships/package" Target="../embeddings/Feuille_de_calcul_Microsoft_Excel1414.xlsx"/><Relationship Id="rId2" Type="http://schemas.microsoft.com/office/2011/relationships/chartColorStyle" Target="colors12.xml"/><Relationship Id="rId1" Type="http://schemas.microsoft.com/office/2011/relationships/chartStyle" Target="style12.xml"/></Relationships>
</file>

<file path=word/charts/_rels/chart28.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DRMF\Cellule%20mobilit&#233;\Tableau%20Chiffres%20Bilan%20Social%202013.xlsx" TargetMode="External"/></Relationships>
</file>

<file path=word/charts/_rels/chart29.xml.rels><?xml version="1.0" encoding="UTF-8" standalone="yes"?>
<Relationships xmlns="http://schemas.openxmlformats.org/package/2006/relationships"><Relationship Id="rId1" Type="http://schemas.openxmlformats.org/officeDocument/2006/relationships/package" Target="../embeddings/Feuille_de_calcul_Microsoft_Excel1515.xlsx"/></Relationships>
</file>

<file path=word/charts/_rels/chart3.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A.3%20Graph.xlsx"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Feuille_de_calcul_Microsoft_Excel1616.xlsx"/></Relationships>
</file>

<file path=word/charts/_rels/chart31.xml.rels><?xml version="1.0" encoding="UTF-8" standalone="yes"?>
<Relationships xmlns="http://schemas.openxmlformats.org/package/2006/relationships"><Relationship Id="rId3" Type="http://schemas.openxmlformats.org/officeDocument/2006/relationships/package" Target="../embeddings/Feuille_de_calcul_Microsoft_Excel1717.xlsx"/><Relationship Id="rId2" Type="http://schemas.microsoft.com/office/2011/relationships/chartColorStyle" Target="colors13.xml"/><Relationship Id="rId1" Type="http://schemas.microsoft.com/office/2011/relationships/chartStyle" Target="style13.xml"/></Relationships>
</file>

<file path=word/charts/_rels/chart32.xml.rels><?xml version="1.0" encoding="UTF-8" standalone="yes"?>
<Relationships xmlns="http://schemas.openxmlformats.org/package/2006/relationships"><Relationship Id="rId1" Type="http://schemas.openxmlformats.org/officeDocument/2006/relationships/package" Target="../embeddings/Feuille_de_calcul_Microsoft_Excel1818.xlsx"/></Relationships>
</file>

<file path=word/charts/_rels/chart33.xml.rels><?xml version="1.0" encoding="UTF-8" standalone="yes"?>
<Relationships xmlns="http://schemas.openxmlformats.org/package/2006/relationships"><Relationship Id="rId3" Type="http://schemas.openxmlformats.org/officeDocument/2006/relationships/oleObject" Target="file:///\\rhin\SG\SRH\SDPRHRS\SRH2-ER\ACTIVITE\Pilotage%20des%20emplois\Bilan%20social\BS%202013\Contribution%20des%20services\Contribution%20BER\Sch&#233;ma%20d'emploi\BER%20%20Flux%20externes%202013-v2.xlsx" TargetMode="External"/><Relationship Id="rId2" Type="http://schemas.microsoft.com/office/2011/relationships/chartColorStyle" Target="colors14.xml"/><Relationship Id="rId1" Type="http://schemas.microsoft.com/office/2011/relationships/chartStyle" Target="style14.xml"/></Relationships>
</file>

<file path=word/charts/_rels/chart34.xml.rels><?xml version="1.0" encoding="UTF-8" standalone="yes"?>
<Relationships xmlns="http://schemas.openxmlformats.org/package/2006/relationships"><Relationship Id="rId3" Type="http://schemas.openxmlformats.org/officeDocument/2006/relationships/oleObject" Target="file:///\\rhin\SG\SRH\SDPRHRS\SRH2-ER\ACTIVITE\Pilotage%20des%20emplois\Bilan%20social\BS%202013\Contribution%20des%20services\Contribution%20BER\Sch&#233;ma%20d'emploi\BER%20%20Flux%20externes%202013-v2.xlsx" TargetMode="External"/><Relationship Id="rId2" Type="http://schemas.microsoft.com/office/2011/relationships/chartColorStyle" Target="colors15.xml"/><Relationship Id="rId1" Type="http://schemas.microsoft.com/office/2011/relationships/chartStyle" Target="style15.xml"/></Relationships>
</file>

<file path=word/charts/_rels/chart35.xml.rels><?xml version="1.0" encoding="UTF-8" standalone="yes"?>
<Relationships xmlns="http://schemas.openxmlformats.org/package/2006/relationships"><Relationship Id="rId1" Type="http://schemas.openxmlformats.org/officeDocument/2006/relationships/package" Target="../embeddings/Feuille_de_calcul_Microsoft_Excel1919.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Feuille_de_calcul_Microsoft_Excel2020.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Feuille_de_calcul_Microsoft_Excel2121.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Feuille_de_calcul_Microsoft_Excel2222.xlsx"/></Relationships>
</file>

<file path=word/charts/_rels/chart39.xml.rels><?xml version="1.0" encoding="UTF-8" standalone="yes"?>
<Relationships xmlns="http://schemas.openxmlformats.org/package/2006/relationships"><Relationship Id="rId3" Type="http://schemas.openxmlformats.org/officeDocument/2006/relationships/package" Target="../embeddings/Feuille_de_calcul_Microsoft_Excel2323.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A.3%20Graph.xlsx" TargetMode="External"/></Relationships>
</file>

<file path=word/charts/_rels/chart40.xml.rels><?xml version="1.0" encoding="UTF-8" standalone="yes"?>
<Relationships xmlns="http://schemas.openxmlformats.org/package/2006/relationships"><Relationship Id="rId1" Type="http://schemas.openxmlformats.org/officeDocument/2006/relationships/package" Target="../embeddings/Feuille_de_calcul_Microsoft_Excel2424.xlsx"/></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Feuille_de_calcul_Microsoft_Excel2525.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Feuille_de_calcul_Microsoft_Excel2626.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Feuille_de_calcul_Microsoft_Excel2727.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Feuille_de_calcul_Microsoft_Excel2828.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Feuille_de_calcul_Microsoft_Excel2929.xlsx"/></Relationships>
</file>

<file path=word/charts/_rels/chart46.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Contribution%20des%20services\Contribution%20BASP\Action%20sociale\histogramme%202013.xlsx" TargetMode="External"/></Relationships>
</file>

<file path=word/charts/_rels/chart47.xml.rels><?xml version="1.0" encoding="UTF-8" standalone="yes"?>
<Relationships xmlns="http://schemas.openxmlformats.org/package/2006/relationships"><Relationship Id="rId1" Type="http://schemas.openxmlformats.org/officeDocument/2006/relationships/package" Target="../embeddings/Feuille_de_calcul_Microsoft_Excel3030.xlsx"/></Relationships>
</file>

<file path=word/charts/_rels/chart48.xml.rels><?xml version="1.0" encoding="UTF-8" standalone="yes"?>
<Relationships xmlns="http://schemas.openxmlformats.org/package/2006/relationships"><Relationship Id="rId2" Type="http://schemas.openxmlformats.org/officeDocument/2006/relationships/package" Target="../embeddings/Feuille_de_calcul_Microsoft_Excel3131.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A.3%20Graph.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Feuille_de_calcul_Microsoft_Excel11.xlsx"/></Relationships>
</file>

<file path=word/charts/_rels/chart7.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A.4%20Graph.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rhin\SG\SRH\SDPRHRS\SRH2-ER\ACTIVITE\Pilotage%20des%20emplois\Bilan%20social\BS%202013\Retour%20des%20services\Contribution%20BER\Effectifs\TB%20faits\1.A.5%20Graph.xlsx" TargetMode="External"/></Relationships>
</file>

<file path=word/charts/_rels/chart9.xml.rels><?xml version="1.0" encoding="UTF-8" standalone="yes"?>
<Relationships xmlns="http://schemas.openxmlformats.org/package/2006/relationships"><Relationship Id="rId3" Type="http://schemas.openxmlformats.org/officeDocument/2006/relationships/package" Target="../embeddings/Feuille_de_calcul_Microsoft_Excel22.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0" i="0" u="none" strike="noStrike" baseline="0">
                <a:solidFill>
                  <a:srgbClr val="000000"/>
                </a:solidFill>
                <a:latin typeface="Arial"/>
                <a:ea typeface="Arial"/>
                <a:cs typeface="Arial"/>
              </a:defRPr>
            </a:pPr>
            <a:r>
              <a:rPr lang="fr-FR" sz="1175" b="1" i="0" u="none" strike="noStrike" baseline="0">
                <a:solidFill>
                  <a:srgbClr val="000000"/>
                </a:solidFill>
                <a:latin typeface="Arial"/>
                <a:cs typeface="Arial"/>
              </a:rPr>
              <a:t>Effectifs ventilés par type de structure au</a:t>
            </a:r>
          </a:p>
          <a:p>
            <a:pPr>
              <a:defRPr sz="800" b="0" i="0" u="none" strike="noStrike" baseline="0">
                <a:solidFill>
                  <a:srgbClr val="000000"/>
                </a:solidFill>
                <a:latin typeface="Arial"/>
                <a:ea typeface="Arial"/>
                <a:cs typeface="Arial"/>
              </a:defRPr>
            </a:pPr>
            <a:r>
              <a:rPr lang="fr-FR" sz="1175" b="1" i="0" u="none" strike="noStrike" baseline="0">
                <a:solidFill>
                  <a:srgbClr val="000000"/>
                </a:solidFill>
                <a:latin typeface="Arial"/>
                <a:cs typeface="Arial"/>
              </a:rPr>
              <a:t> 31/12/2013</a:t>
            </a:r>
            <a:endParaRPr lang="fr-FR" sz="850" b="1" i="0" u="none" strike="noStrike" baseline="0">
              <a:solidFill>
                <a:srgbClr val="000000"/>
              </a:solidFill>
              <a:latin typeface="Arial"/>
              <a:cs typeface="Arial"/>
            </a:endParaRPr>
          </a:p>
          <a:p>
            <a:pPr>
              <a:defRPr sz="800" b="0" i="0" u="none" strike="noStrike" baseline="0">
                <a:solidFill>
                  <a:srgbClr val="000000"/>
                </a:solidFill>
                <a:latin typeface="Arial"/>
                <a:ea typeface="Arial"/>
                <a:cs typeface="Arial"/>
              </a:defRPr>
            </a:pPr>
            <a:endParaRPr lang="fr-FR" sz="850" b="1" i="0" u="none" strike="noStrike" baseline="0">
              <a:solidFill>
                <a:srgbClr val="000000"/>
              </a:solidFill>
              <a:latin typeface="Arial"/>
              <a:cs typeface="Arial"/>
            </a:endParaRPr>
          </a:p>
        </c:rich>
      </c:tx>
      <c:layout>
        <c:manualLayout>
          <c:xMode val="edge"/>
          <c:yMode val="edge"/>
          <c:x val="0.14679380673746056"/>
          <c:y val="1.6340555469781963E-2"/>
        </c:manualLayout>
      </c:layout>
      <c:overlay val="0"/>
      <c:spPr>
        <a:noFill/>
        <a:ln w="25400">
          <a:noFill/>
        </a:ln>
      </c:spPr>
    </c:title>
    <c:autoTitleDeleted val="0"/>
    <c:plotArea>
      <c:layout>
        <c:manualLayout>
          <c:layoutTarget val="inner"/>
          <c:xMode val="edge"/>
          <c:yMode val="edge"/>
          <c:x val="0.18807964325912432"/>
          <c:y val="0.29412732711671802"/>
          <c:w val="0.42891333279824689"/>
          <c:h val="0.61113122412029186"/>
        </c:manualLayout>
      </c:layout>
      <c:doughnutChart>
        <c:varyColors val="1"/>
        <c:ser>
          <c:idx val="0"/>
          <c:order val="0"/>
          <c:spPr>
            <a:solidFill>
              <a:srgbClr val="FF00FF"/>
            </a:solidFill>
            <a:ln w="12700">
              <a:solidFill>
                <a:srgbClr val="000000"/>
              </a:solidFill>
              <a:prstDash val="solid"/>
            </a:ln>
            <a:scene3d>
              <a:camera prst="orthographicFront"/>
              <a:lightRig rig="threePt" dir="t"/>
            </a:scene3d>
            <a:sp3d>
              <a:bevelT/>
            </a:sp3d>
          </c:spPr>
          <c:explosion val="19"/>
          <c:dPt>
            <c:idx val="0"/>
            <c:bubble3D val="0"/>
            <c:spPr>
              <a:solidFill>
                <a:srgbClr val="FF99CC"/>
              </a:solidFill>
              <a:ln w="25400">
                <a:noFill/>
              </a:ln>
              <a:scene3d>
                <a:camera prst="orthographicFront"/>
                <a:lightRig rig="threePt" dir="t"/>
              </a:scene3d>
              <a:sp3d>
                <a:bevelT/>
              </a:sp3d>
            </c:spPr>
          </c:dPt>
          <c:dPt>
            <c:idx val="1"/>
            <c:bubble3D val="0"/>
            <c:spPr>
              <a:solidFill>
                <a:srgbClr val="FF00FF"/>
              </a:solidFill>
              <a:ln w="25400">
                <a:noFill/>
              </a:ln>
              <a:scene3d>
                <a:camera prst="orthographicFront"/>
                <a:lightRig rig="threePt" dir="t"/>
              </a:scene3d>
              <a:sp3d>
                <a:bevelT/>
              </a:sp3d>
            </c:spPr>
          </c:dPt>
          <c:dPt>
            <c:idx val="2"/>
            <c:bubble3D val="0"/>
            <c:spPr>
              <a:solidFill>
                <a:srgbClr val="969696"/>
              </a:solidFill>
              <a:ln w="25400">
                <a:noFill/>
              </a:ln>
              <a:scene3d>
                <a:camera prst="orthographicFront"/>
                <a:lightRig rig="threePt" dir="t"/>
              </a:scene3d>
              <a:sp3d>
                <a:bevelT/>
              </a:sp3d>
            </c:spPr>
          </c:dPt>
          <c:dPt>
            <c:idx val="3"/>
            <c:bubble3D val="0"/>
            <c:spPr>
              <a:solidFill>
                <a:srgbClr val="CC99FF"/>
              </a:solidFill>
              <a:ln w="25400">
                <a:noFill/>
              </a:ln>
              <a:scene3d>
                <a:camera prst="orthographicFront"/>
                <a:lightRig rig="threePt" dir="t"/>
              </a:scene3d>
              <a:sp3d>
                <a:bevelT/>
              </a:sp3d>
            </c:spPr>
          </c:dPt>
          <c:dPt>
            <c:idx val="4"/>
            <c:bubble3D val="0"/>
            <c:spPr>
              <a:solidFill>
                <a:srgbClr val="CCCCFF"/>
              </a:solidFill>
              <a:ln w="25400">
                <a:noFill/>
              </a:ln>
              <a:scene3d>
                <a:camera prst="orthographicFront"/>
                <a:lightRig rig="threePt" dir="t"/>
              </a:scene3d>
              <a:sp3d>
                <a:bevelT/>
              </a:sp3d>
            </c:spPr>
          </c:dPt>
          <c:dLbls>
            <c:dLbl>
              <c:idx val="0"/>
              <c:layout>
                <c:manualLayout>
                  <c:x val="0.10159651669085631"/>
                  <c:y val="-7.1111111111111111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9.579100145137881E-2"/>
                  <c:y val="4.4444444444444446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9.2888243831640085E-2"/>
                  <c:y val="0.04"/>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7.8374455732946324E-2"/>
                  <c:y val="-0.10222222222222227"/>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2.3222060957910014E-2"/>
                  <c:y val="-0.12888888888888889"/>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 sourceLinked="0"/>
            <c:spPr>
              <a:noFill/>
              <a:ln w="25400">
                <a:noFill/>
              </a:ln>
            </c:spPr>
            <c:txPr>
              <a:bodyPr vertOverflow="overflow" horzOverflow="overflow" wrap="square" lIns="38100" tIns="19050" rIns="38100" bIns="19050" anchor="ctr">
                <a:spAutoFit/>
              </a:bodyPr>
              <a:lstStyle/>
              <a:p>
                <a:pPr algn="ctr" rtl="1">
                  <a:defRPr sz="1075" b="1"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0"/>
            <c:extLst>
              <c:ext xmlns:c15="http://schemas.microsoft.com/office/drawing/2012/chart" uri="{CE6537A1-D6FC-4f65-9D91-7224C49458BB}"/>
            </c:extLst>
          </c:dLbls>
          <c:cat>
            <c:strRef>
              <c:f>([1]Graph.!$D$2,[1]Graph.!$I$2,[1]Graph.!$N$2,[1]Graph.!$S$2,[1]Graph.!$X$2)</c:f>
              <c:strCache>
                <c:ptCount val="5"/>
                <c:pt idx="0">
                  <c:v>AC</c:v>
                </c:pt>
                <c:pt idx="1">
                  <c:v>EPA</c:v>
                </c:pt>
                <c:pt idx="2">
                  <c:v>SCN</c:v>
                </c:pt>
                <c:pt idx="3">
                  <c:v>DRAC</c:v>
                </c:pt>
                <c:pt idx="4">
                  <c:v>AD/BMC</c:v>
                </c:pt>
              </c:strCache>
            </c:strRef>
          </c:cat>
          <c:val>
            <c:numRef>
              <c:f>([1]Graph.!$F$10,[1]Graph.!$K$10,[1]Graph.!$P$10,[1]Graph.!$U$10,[1]Graph.!$Z$10)</c:f>
              <c:numCache>
                <c:formatCode>0</c:formatCode>
                <c:ptCount val="5"/>
                <c:pt idx="0">
                  <c:v>1911.8809999999999</c:v>
                </c:pt>
                <c:pt idx="1">
                  <c:v>4414.5689999999995</c:v>
                </c:pt>
                <c:pt idx="2">
                  <c:v>1788.4365</c:v>
                </c:pt>
                <c:pt idx="3">
                  <c:v>2367.1799999999998</c:v>
                </c:pt>
                <c:pt idx="4">
                  <c:v>277.89999999999998</c:v>
                </c:pt>
              </c:numCache>
            </c:numRef>
          </c:val>
        </c:ser>
        <c:dLbls>
          <c:showLegendKey val="0"/>
          <c:showVal val="0"/>
          <c:showCatName val="0"/>
          <c:showSerName val="0"/>
          <c:showPercent val="0"/>
          <c:showBubbleSize val="0"/>
          <c:showLeaderLines val="0"/>
        </c:dLbls>
        <c:firstSliceAng val="5"/>
        <c:holeSize val="50"/>
      </c:doughnutChart>
      <c:spPr>
        <a:noFill/>
        <a:ln w="25400">
          <a:noFill/>
        </a:ln>
      </c:spPr>
    </c:plotArea>
    <c:legend>
      <c:legendPos val="r"/>
      <c:layout>
        <c:manualLayout>
          <c:xMode val="edge"/>
          <c:yMode val="edge"/>
          <c:x val="0.80263925172477679"/>
          <c:y val="0.37112424905449803"/>
          <c:w val="0.15735894769322195"/>
          <c:h val="0.37533333333333335"/>
        </c:manualLayout>
      </c:layout>
      <c:overlay val="0"/>
      <c:spPr>
        <a:solidFill>
          <a:srgbClr val="FFFFFF"/>
        </a:solidFill>
        <a:ln w="25400">
          <a:noFill/>
        </a:ln>
      </c:spPr>
      <c:txPr>
        <a:bodyPr/>
        <a:lstStyle/>
        <a:p>
          <a:pPr>
            <a:defRPr sz="985"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6350">
      <a:noFill/>
    </a:ln>
  </c:spPr>
  <c:txPr>
    <a:bodyPr/>
    <a:lstStyle/>
    <a:p>
      <a:pPr>
        <a:defRPr sz="800" b="0" i="0" u="none" strike="noStrike" baseline="0">
          <a:solidFill>
            <a:srgbClr val="000000"/>
          </a:solidFill>
          <a:latin typeface="Arial"/>
          <a:ea typeface="Arial"/>
          <a:cs typeface="Arial"/>
        </a:defRPr>
      </a:pPr>
      <a:endParaRPr lang="fr-F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Répartition des agents non titulaires par genre et type de structure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percentStacked"/>
        <c:varyColors val="0"/>
        <c:ser>
          <c:idx val="0"/>
          <c:order val="0"/>
          <c:tx>
            <c:v>Femmes</c:v>
          </c:tx>
          <c:spPr>
            <a:solidFill>
              <a:srgbClr val="FF00FF"/>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'TCD H-F - AE'!$A$18:$A$24</c15:sqref>
                  </c15:fullRef>
                </c:ext>
              </c:extLst>
              <c:f>'TCD H-F - AE'!$A$18:$A$22</c:f>
              <c:strCache>
                <c:ptCount val="5"/>
                <c:pt idx="0">
                  <c:v>AC</c:v>
                </c:pt>
                <c:pt idx="1">
                  <c:v>EPA</c:v>
                </c:pt>
                <c:pt idx="2">
                  <c:v>SCN</c:v>
                </c:pt>
                <c:pt idx="3">
                  <c:v>DRAC</c:v>
                </c:pt>
                <c:pt idx="4">
                  <c:v>AD/BMC</c:v>
                </c:pt>
              </c:strCache>
            </c:strRef>
          </c:cat>
          <c:val>
            <c:numRef>
              <c:extLst>
                <c:ext xmlns:c15="http://schemas.microsoft.com/office/drawing/2012/chart" uri="{02D57815-91ED-43cb-92C2-25804820EDAC}">
                  <c15:fullRef>
                    <c15:sqref>'TCD H-F - AE'!$B$18:$B$24</c15:sqref>
                  </c15:fullRef>
                </c:ext>
              </c:extLst>
              <c:f>'TCD H-F - AE'!$B$18:$B$22</c:f>
              <c:numCache>
                <c:formatCode>0</c:formatCode>
                <c:ptCount val="5"/>
                <c:pt idx="0">
                  <c:v>323.5010000000002</c:v>
                </c:pt>
                <c:pt idx="1">
                  <c:v>215.75900000000004</c:v>
                </c:pt>
                <c:pt idx="2">
                  <c:v>107.80850000000002</c:v>
                </c:pt>
                <c:pt idx="3">
                  <c:v>88.38</c:v>
                </c:pt>
                <c:pt idx="4">
                  <c:v>1</c:v>
                </c:pt>
              </c:numCache>
            </c:numRef>
          </c:val>
        </c:ser>
        <c:ser>
          <c:idx val="3"/>
          <c:order val="3"/>
          <c:tx>
            <c:v>Hommes</c:v>
          </c:tx>
          <c:spPr>
            <a:solidFill>
              <a:schemeClr val="bg1">
                <a:lumMod val="6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'TCD H-F - AE'!$A$18:$A$24</c15:sqref>
                  </c15:fullRef>
                </c:ext>
              </c:extLst>
              <c:f>'TCD H-F - AE'!$A$18:$A$22</c:f>
              <c:strCache>
                <c:ptCount val="5"/>
                <c:pt idx="0">
                  <c:v>AC</c:v>
                </c:pt>
                <c:pt idx="1">
                  <c:v>EPA</c:v>
                </c:pt>
                <c:pt idx="2">
                  <c:v>SCN</c:v>
                </c:pt>
                <c:pt idx="3">
                  <c:v>DRAC</c:v>
                </c:pt>
                <c:pt idx="4">
                  <c:v>AD/BMC</c:v>
                </c:pt>
              </c:strCache>
            </c:strRef>
          </c:cat>
          <c:val>
            <c:numRef>
              <c:extLst>
                <c:ext xmlns:c15="http://schemas.microsoft.com/office/drawing/2012/chart" uri="{02D57815-91ED-43cb-92C2-25804820EDAC}">
                  <c15:fullRef>
                    <c15:sqref>'TCD H-F - AE'!$E$18:$E$24</c15:sqref>
                  </c15:fullRef>
                </c:ext>
              </c:extLst>
              <c:f>'TCD H-F - AE'!$E$18:$E$22</c:f>
              <c:numCache>
                <c:formatCode>0</c:formatCode>
                <c:ptCount val="5"/>
                <c:pt idx="0">
                  <c:v>206.78</c:v>
                </c:pt>
                <c:pt idx="1">
                  <c:v>298.31</c:v>
                </c:pt>
                <c:pt idx="2">
                  <c:v>84.628000000000014</c:v>
                </c:pt>
                <c:pt idx="3">
                  <c:v>64.8</c:v>
                </c:pt>
                <c:pt idx="4">
                  <c:v>1</c:v>
                </c:pt>
              </c:numCache>
            </c:numRef>
          </c:val>
        </c:ser>
        <c:dLbls>
          <c:dLblPos val="ctr"/>
          <c:showLegendKey val="0"/>
          <c:showVal val="1"/>
          <c:showCatName val="0"/>
          <c:showSerName val="0"/>
          <c:showPercent val="0"/>
          <c:showBubbleSize val="0"/>
        </c:dLbls>
        <c:gapWidth val="150"/>
        <c:overlap val="100"/>
        <c:axId val="203192480"/>
        <c:axId val="203193040"/>
        <c:extLst>
          <c:ext xmlns:c15="http://schemas.microsoft.com/office/drawing/2012/chart" uri="{02D57815-91ED-43cb-92C2-25804820EDAC}">
            <c15:filteredBarSeries>
              <c15:ser>
                <c:idx val="1"/>
                <c:order val="1"/>
                <c:tx>
                  <c:strRef>
                    <c:extLst>
                      <c:ext uri="{02D57815-91ED-43cb-92C2-25804820EDAC}">
                        <c15:formulaRef>
                          <c15:sqref>'TCD H-F - AE'!$C$16:$C$17</c15:sqref>
                        </c15:formulaRef>
                      </c:ext>
                    </c:extLst>
                    <c:strCache>
                      <c:ptCount val="2"/>
                      <c:pt idx="0">
                        <c:v>Femmes</c:v>
                      </c:pt>
                      <c:pt idx="1">
                        <c:v>Nbre d'agents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ullRef>
                          <c15:sqref>'TCD H-F - AE'!$A$18:$A$24</c15:sqref>
                        </c15:fullRef>
                        <c15:formulaRef>
                          <c15:sqref>'TCD H-F - AE'!$A$18:$A$22</c15:sqref>
                        </c15:formulaRef>
                      </c:ext>
                    </c:extLst>
                    <c:strCache>
                      <c:ptCount val="5"/>
                      <c:pt idx="0">
                        <c:v>AC</c:v>
                      </c:pt>
                      <c:pt idx="1">
                        <c:v>EPA</c:v>
                      </c:pt>
                      <c:pt idx="2">
                        <c:v>SCN</c:v>
                      </c:pt>
                      <c:pt idx="3">
                        <c:v>DRAC</c:v>
                      </c:pt>
                      <c:pt idx="4">
                        <c:v>AD/BMC</c:v>
                      </c:pt>
                    </c:strCache>
                  </c:strRef>
                </c:cat>
                <c:val>
                  <c:numRef>
                    <c:extLst>
                      <c:ext uri="{02D57815-91ED-43cb-92C2-25804820EDAC}">
                        <c15:fullRef>
                          <c15:sqref>'TCD H-F - AE'!$C$18:$C$24</c15:sqref>
                        </c15:fullRef>
                        <c15:formulaRef>
                          <c15:sqref>'TCD H-F - AE'!$C$18:$C$22</c15:sqref>
                        </c15:formulaRef>
                      </c:ext>
                    </c:extLst>
                    <c:numCache>
                      <c:formatCode>0</c:formatCode>
                      <c:ptCount val="5"/>
                      <c:pt idx="0">
                        <c:v>336</c:v>
                      </c:pt>
                      <c:pt idx="1">
                        <c:v>256</c:v>
                      </c:pt>
                      <c:pt idx="2">
                        <c:v>123</c:v>
                      </c:pt>
                      <c:pt idx="3">
                        <c:v>92</c:v>
                      </c:pt>
                      <c:pt idx="4">
                        <c:v>1</c:v>
                      </c:pt>
                    </c:numCache>
                  </c:numRef>
                </c:val>
              </c15:ser>
            </c15:filteredBarSeries>
            <c15:filteredBarSeries>
              <c15:ser>
                <c:idx val="2"/>
                <c:order val="2"/>
                <c:tx>
                  <c:v>Femmes</c:v>
                </c:tx>
                <c:spPr>
                  <a:solidFill>
                    <a:srgbClr val="FF00FF"/>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'TCD H-F - AE'!$A$18:$A$24</c15:sqref>
                        </c15:fullRef>
                        <c15:formulaRef>
                          <c15:sqref>'TCD H-F - AE'!$A$18:$A$22</c15:sqref>
                        </c15:formulaRef>
                      </c:ext>
                    </c:extLst>
                    <c:strCache>
                      <c:ptCount val="5"/>
                      <c:pt idx="0">
                        <c:v>AC</c:v>
                      </c:pt>
                      <c:pt idx="1">
                        <c:v>EPA</c:v>
                      </c:pt>
                      <c:pt idx="2">
                        <c:v>SCN</c:v>
                      </c:pt>
                      <c:pt idx="3">
                        <c:v>DRAC</c:v>
                      </c:pt>
                      <c:pt idx="4">
                        <c:v>AD/BMC</c:v>
                      </c:pt>
                    </c:strCache>
                  </c:strRef>
                </c:cat>
                <c:val>
                  <c:numRef>
                    <c:extLst>
                      <c:ext xmlns:c15="http://schemas.microsoft.com/office/drawing/2012/chart" uri="{02D57815-91ED-43cb-92C2-25804820EDAC}">
                        <c15:fullRef>
                          <c15:sqref>'TCD H-F - AE'!$D$18:$D$24</c15:sqref>
                        </c15:fullRef>
                        <c15:formulaRef>
                          <c15:sqref>'TCD H-F - AE'!$D$18:$D$22</c15:sqref>
                        </c15:formulaRef>
                      </c:ext>
                    </c:extLst>
                    <c:numCache>
                      <c:formatCode>0%</c:formatCode>
                      <c:ptCount val="5"/>
                      <c:pt idx="0">
                        <c:v>0.43927172096894773</c:v>
                      </c:pt>
                      <c:pt idx="1">
                        <c:v>0.2929722852310786</c:v>
                      </c:pt>
                      <c:pt idx="2">
                        <c:v>0.14638973397325133</c:v>
                      </c:pt>
                      <c:pt idx="3">
                        <c:v>0.12000839162548362</c:v>
                      </c:pt>
                      <c:pt idx="4">
                        <c:v>1.3578682012387827E-3</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'TCD H-F - AE'!$F$16:$F$17</c15:sqref>
                        </c15:formulaRef>
                      </c:ext>
                    </c:extLst>
                    <c:strCache>
                      <c:ptCount val="2"/>
                      <c:pt idx="0">
                        <c:v>Hommes</c:v>
                      </c:pt>
                      <c:pt idx="1">
                        <c:v>Nbre d'agents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'TCD H-F - AE'!$A$18:$A$24</c15:sqref>
                        </c15:fullRef>
                        <c15:formulaRef>
                          <c15:sqref>'TCD H-F - AE'!$A$18:$A$22</c15:sqref>
                        </c15:formulaRef>
                      </c:ext>
                    </c:extLst>
                    <c:strCache>
                      <c:ptCount val="5"/>
                      <c:pt idx="0">
                        <c:v>AC</c:v>
                      </c:pt>
                      <c:pt idx="1">
                        <c:v>EPA</c:v>
                      </c:pt>
                      <c:pt idx="2">
                        <c:v>SCN</c:v>
                      </c:pt>
                      <c:pt idx="3">
                        <c:v>DRAC</c:v>
                      </c:pt>
                      <c:pt idx="4">
                        <c:v>AD/BMC</c:v>
                      </c:pt>
                    </c:strCache>
                  </c:strRef>
                </c:cat>
                <c:val>
                  <c:numRef>
                    <c:extLst>
                      <c:ext xmlns:c15="http://schemas.microsoft.com/office/drawing/2012/chart" uri="{02D57815-91ED-43cb-92C2-25804820EDAC}">
                        <c15:fullRef>
                          <c15:sqref>'TCD H-F - AE'!$F$18:$F$24</c15:sqref>
                        </c15:fullRef>
                        <c15:formulaRef>
                          <c15:sqref>'TCD H-F - AE'!$F$18:$F$22</c15:sqref>
                        </c15:formulaRef>
                      </c:ext>
                    </c:extLst>
                    <c:numCache>
                      <c:formatCode>0</c:formatCode>
                      <c:ptCount val="5"/>
                      <c:pt idx="0">
                        <c:v>209</c:v>
                      </c:pt>
                      <c:pt idx="1">
                        <c:v>370</c:v>
                      </c:pt>
                      <c:pt idx="2">
                        <c:v>90</c:v>
                      </c:pt>
                      <c:pt idx="3">
                        <c:v>65</c:v>
                      </c:pt>
                      <c:pt idx="4">
                        <c:v>1</c:v>
                      </c:pt>
                    </c:numCache>
                  </c:numRef>
                </c:val>
              </c15:ser>
            </c15:filteredBarSeries>
            <c15:filteredBarSeries>
              <c15:ser>
                <c:idx val="5"/>
                <c:order val="5"/>
                <c:tx>
                  <c:v>Hommes</c:v>
                </c:tx>
                <c:spPr>
                  <a:solidFill>
                    <a:schemeClr val="bg1">
                      <a:lumMod val="6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'TCD H-F - AE'!$A$18:$A$24</c15:sqref>
                        </c15:fullRef>
                        <c15:formulaRef>
                          <c15:sqref>'TCD H-F - AE'!$A$18:$A$22</c15:sqref>
                        </c15:formulaRef>
                      </c:ext>
                    </c:extLst>
                    <c:strCache>
                      <c:ptCount val="5"/>
                      <c:pt idx="0">
                        <c:v>AC</c:v>
                      </c:pt>
                      <c:pt idx="1">
                        <c:v>EPA</c:v>
                      </c:pt>
                      <c:pt idx="2">
                        <c:v>SCN</c:v>
                      </c:pt>
                      <c:pt idx="3">
                        <c:v>DRAC</c:v>
                      </c:pt>
                      <c:pt idx="4">
                        <c:v>AD/BMC</c:v>
                      </c:pt>
                    </c:strCache>
                  </c:strRef>
                </c:cat>
                <c:val>
                  <c:numRef>
                    <c:extLst>
                      <c:ext xmlns:c15="http://schemas.microsoft.com/office/drawing/2012/chart" uri="{02D57815-91ED-43cb-92C2-25804820EDAC}">
                        <c15:fullRef>
                          <c15:sqref>'TCD H-F - AE'!$G$18:$G$24</c15:sqref>
                        </c15:fullRef>
                        <c15:formulaRef>
                          <c15:sqref>'TCD H-F - AE'!$G$18:$G$22</c15:sqref>
                        </c15:formulaRef>
                      </c:ext>
                    </c:extLst>
                    <c:numCache>
                      <c:formatCode>0%</c:formatCode>
                      <c:ptCount val="5"/>
                      <c:pt idx="0">
                        <c:v>0.31544518991087961</c:v>
                      </c:pt>
                      <c:pt idx="1">
                        <c:v>0.45507522295345054</c:v>
                      </c:pt>
                      <c:pt idx="2">
                        <c:v>0.12910095527506493</c:v>
                      </c:pt>
                      <c:pt idx="3">
                        <c:v>9.8853120738103289E-2</c:v>
                      </c:pt>
                      <c:pt idx="4">
                        <c:v>1.5255111225015942E-3</c:v>
                      </c:pt>
                    </c:numCache>
                  </c:numRef>
                </c:val>
              </c15:ser>
            </c15:filteredBarSeries>
          </c:ext>
        </c:extLst>
      </c:barChart>
      <c:catAx>
        <c:axId val="203192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203193040"/>
        <c:crosses val="autoZero"/>
        <c:auto val="1"/>
        <c:lblAlgn val="ctr"/>
        <c:lblOffset val="100"/>
        <c:noMultiLvlLbl val="0"/>
      </c:catAx>
      <c:valAx>
        <c:axId val="203193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1924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Répartition des agents non titulaires par équivalence catégorie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8088888888888888"/>
          <c:y val="0.19777194517351998"/>
          <c:w val="0.41406255468066494"/>
          <c:h val="0.69010425780110818"/>
        </c:manualLayout>
      </c:layout>
      <c:pieChart>
        <c:varyColors val="1"/>
        <c:ser>
          <c:idx val="0"/>
          <c:order val="0"/>
          <c:spPr>
            <a:scene3d>
              <a:camera prst="orthographicFront"/>
              <a:lightRig rig="threePt" dir="t"/>
            </a:scene3d>
            <a:sp3d>
              <a:bevelT/>
            </a:sp3d>
          </c:spPr>
          <c:explosion val="14"/>
          <c:dPt>
            <c:idx val="0"/>
            <c:bubble3D val="0"/>
            <c:spPr>
              <a:solidFill>
                <a:srgbClr val="FF99FF"/>
              </a:solidFill>
              <a:ln w="19050">
                <a:solidFill>
                  <a:schemeClr val="lt1"/>
                </a:solidFill>
              </a:ln>
              <a:effectLst/>
              <a:scene3d>
                <a:camera prst="orthographicFront"/>
                <a:lightRig rig="threePt" dir="t"/>
              </a:scene3d>
              <a:sp3d>
                <a:bevelT/>
              </a:sp3d>
            </c:spPr>
          </c:dPt>
          <c:dPt>
            <c:idx val="1"/>
            <c:bubble3D val="0"/>
            <c:spPr>
              <a:solidFill>
                <a:srgbClr val="FF00FF"/>
              </a:solidFill>
              <a:ln w="19050">
                <a:solidFill>
                  <a:schemeClr val="lt1"/>
                </a:solidFill>
              </a:ln>
              <a:effectLst/>
              <a:scene3d>
                <a:camera prst="orthographicFront"/>
                <a:lightRig rig="threePt" dir="t"/>
              </a:scene3d>
              <a:sp3d>
                <a:bevelT/>
              </a:sp3d>
            </c:spPr>
          </c:dPt>
          <c:dPt>
            <c:idx val="2"/>
            <c:bubble3D val="0"/>
            <c:spPr>
              <a:solidFill>
                <a:schemeClr val="accent3"/>
              </a:solidFill>
              <a:ln w="19050">
                <a:solidFill>
                  <a:schemeClr val="lt1"/>
                </a:solidFill>
              </a:ln>
              <a:effectLst/>
              <a:scene3d>
                <a:camera prst="orthographicFront"/>
                <a:lightRig rig="threePt" dir="t"/>
              </a:scene3d>
              <a:sp3d>
                <a:bevelT/>
              </a:sp3d>
            </c:spPr>
          </c:dPt>
          <c:dPt>
            <c:idx val="3"/>
            <c:bubble3D val="0"/>
            <c:spPr>
              <a:solidFill>
                <a:schemeClr val="bg1">
                  <a:lumMod val="85000"/>
                </a:schemeClr>
              </a:solidFill>
              <a:ln w="19050">
                <a:solidFill>
                  <a:schemeClr val="lt1"/>
                </a:solidFill>
              </a:ln>
              <a:effectLst/>
              <a:scene3d>
                <a:camera prst="orthographicFront"/>
                <a:lightRig rig="threePt" dir="t"/>
              </a:scene3d>
              <a:sp3d>
                <a:bevelT/>
              </a:sp3d>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'TCD H-F - filière &amp; cat'!$A$38:$A$41</c:f>
              <c:strCache>
                <c:ptCount val="4"/>
                <c:pt idx="0">
                  <c:v>Catégorie A+</c:v>
                </c:pt>
                <c:pt idx="1">
                  <c:v>Catégorie A</c:v>
                </c:pt>
                <c:pt idx="2">
                  <c:v>Catégorie B</c:v>
                </c:pt>
                <c:pt idx="3">
                  <c:v>Catégorie C</c:v>
                </c:pt>
              </c:strCache>
            </c:strRef>
          </c:cat>
          <c:val>
            <c:numRef>
              <c:f>'TCD H-F - filière &amp; cat'!$H$38:$H$41</c:f>
              <c:numCache>
                <c:formatCode>0</c:formatCode>
                <c:ptCount val="4"/>
                <c:pt idx="0">
                  <c:v>90.310500000000005</c:v>
                </c:pt>
                <c:pt idx="1">
                  <c:v>924.78100000000018</c:v>
                </c:pt>
                <c:pt idx="2">
                  <c:v>209.26899999999998</c:v>
                </c:pt>
                <c:pt idx="3">
                  <c:v>167.60600000000005</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Répartition des agents non titulaires par filière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20735629292344845"/>
          <c:y val="0.17717692636663232"/>
          <c:w val="0.35845060501622605"/>
          <c:h val="0.71690121003245211"/>
        </c:manualLayout>
      </c:layout>
      <c:doughnutChart>
        <c:varyColors val="1"/>
        <c:ser>
          <c:idx val="0"/>
          <c:order val="0"/>
          <c:spPr>
            <a:scene3d>
              <a:camera prst="orthographicFront"/>
              <a:lightRig rig="threePt" dir="t"/>
            </a:scene3d>
            <a:sp3d>
              <a:bevelT/>
            </a:sp3d>
          </c:spPr>
          <c:explosion val="11"/>
          <c:dPt>
            <c:idx val="0"/>
            <c:bubble3D val="0"/>
            <c:spPr>
              <a:solidFill>
                <a:srgbClr val="FF00FF"/>
              </a:solidFill>
              <a:ln w="19050">
                <a:solidFill>
                  <a:schemeClr val="lt1"/>
                </a:solidFill>
              </a:ln>
              <a:effectLst/>
              <a:scene3d>
                <a:camera prst="orthographicFront"/>
                <a:lightRig rig="threePt" dir="t"/>
              </a:scene3d>
              <a:sp3d>
                <a:bevelT/>
              </a:sp3d>
            </c:spPr>
          </c:dPt>
          <c:dPt>
            <c:idx val="1"/>
            <c:bubble3D val="0"/>
            <c:spPr>
              <a:solidFill>
                <a:srgbClr val="FF99FF"/>
              </a:solidFill>
              <a:ln w="19050">
                <a:solidFill>
                  <a:schemeClr val="lt1"/>
                </a:solidFill>
              </a:ln>
              <a:effectLst/>
              <a:scene3d>
                <a:camera prst="orthographicFront"/>
                <a:lightRig rig="threePt" dir="t"/>
              </a:scene3d>
              <a:sp3d>
                <a:bevelT/>
              </a:sp3d>
            </c:spPr>
          </c:dPt>
          <c:dPt>
            <c:idx val="2"/>
            <c:bubble3D val="0"/>
            <c:spPr>
              <a:solidFill>
                <a:schemeClr val="accent3"/>
              </a:solidFill>
              <a:ln w="19050">
                <a:solidFill>
                  <a:schemeClr val="lt1"/>
                </a:solidFill>
              </a:ln>
              <a:effectLst/>
              <a:scene3d>
                <a:camera prst="orthographicFront"/>
                <a:lightRig rig="threePt" dir="t"/>
              </a:scene3d>
              <a:sp3d>
                <a:bevel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('TCD H-F - filière &amp; cat'!$A$22,'TCD H-F - filière &amp; cat'!$A$27,'TCD H-F - filière &amp; cat'!$A$30)</c:f>
              <c:strCache>
                <c:ptCount val="3"/>
                <c:pt idx="0">
                  <c:v>Filière administrative</c:v>
                </c:pt>
                <c:pt idx="1">
                  <c:v>Filière scientifique</c:v>
                </c:pt>
                <c:pt idx="2">
                  <c:v>Filière technique et enseignement</c:v>
                </c:pt>
              </c:strCache>
            </c:strRef>
          </c:cat>
          <c:val>
            <c:numRef>
              <c:f>('TCD H-F - filière &amp; cat'!$H$22,'TCD H-F - filière &amp; cat'!$H$27,'TCD H-F - filière &amp; cat'!$H$30)</c:f>
              <c:numCache>
                <c:formatCode>0</c:formatCode>
                <c:ptCount val="3"/>
                <c:pt idx="0">
                  <c:v>1063.6665000000003</c:v>
                </c:pt>
                <c:pt idx="1">
                  <c:v>5</c:v>
                </c:pt>
                <c:pt idx="2">
                  <c:v>323.3</c:v>
                </c:pt>
              </c:numCache>
            </c:numRef>
          </c:val>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Répartition des agents non titulaires par filière</a:t>
            </a:r>
            <a:r>
              <a:rPr lang="fr-FR" sz="1000" b="1" baseline="0">
                <a:latin typeface="Arial" panose="020B0604020202020204" pitchFamily="34" charset="0"/>
                <a:cs typeface="Arial" panose="020B0604020202020204" pitchFamily="34" charset="0"/>
              </a:rPr>
              <a:t> et équivalence catégorie</a:t>
            </a:r>
            <a:endParaRPr lang="fr-FR" sz="1000" b="1">
              <a:latin typeface="Arial" panose="020B0604020202020204" pitchFamily="34" charset="0"/>
              <a:cs typeface="Arial" panose="020B0604020202020204" pitchFamily="34" charset="0"/>
            </a:endParaRPr>
          </a:p>
        </c:rich>
      </c:tx>
      <c:layout>
        <c:manualLayout>
          <c:xMode val="edge"/>
          <c:yMode val="edge"/>
          <c:x val="0.10646171620891888"/>
          <c:y val="1.601394088034077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percentStacked"/>
        <c:varyColors val="0"/>
        <c:ser>
          <c:idx val="0"/>
          <c:order val="0"/>
          <c:tx>
            <c:v>Catégorie A+</c:v>
          </c:tx>
          <c:spPr>
            <a:solidFill>
              <a:srgbClr val="FF00FF"/>
            </a:solidFill>
            <a:ln>
              <a:noFill/>
            </a:ln>
            <a:effectLst/>
            <a:scene3d>
              <a:camera prst="orthographicFront"/>
              <a:lightRig rig="threePt" dir="t"/>
            </a:scene3d>
            <a:sp3d>
              <a:bevelT/>
            </a:sp3d>
          </c:spPr>
          <c:invertIfNegative val="0"/>
          <c:dLbls>
            <c:dLbl>
              <c:idx val="0"/>
              <c:layout>
                <c:manualLayout>
                  <c:x val="2.7777777777777779E-3"/>
                  <c:y val="-8.4875562720133283E-17"/>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('TCD H-F - filière &amp; cat'!$A$22,'TCD H-F - filière &amp; cat'!$A$27,'TCD H-F - filière &amp; cat'!$A$30)</c:f>
              <c:strCache>
                <c:ptCount val="3"/>
                <c:pt idx="0">
                  <c:v>Filière administrative</c:v>
                </c:pt>
                <c:pt idx="1">
                  <c:v>Filière scientifique</c:v>
                </c:pt>
                <c:pt idx="2">
                  <c:v>Filière technique et enseignement</c:v>
                </c:pt>
              </c:strCache>
            </c:strRef>
          </c:cat>
          <c:val>
            <c:numRef>
              <c:f>'TCD H-F - filière &amp; cat'!$H$23</c:f>
              <c:numCache>
                <c:formatCode>0</c:formatCode>
                <c:ptCount val="1"/>
                <c:pt idx="0">
                  <c:v>90.310500000000005</c:v>
                </c:pt>
              </c:numCache>
            </c:numRef>
          </c:val>
        </c:ser>
        <c:ser>
          <c:idx val="1"/>
          <c:order val="1"/>
          <c:tx>
            <c:v>Catégorie A</c:v>
          </c:tx>
          <c:spPr>
            <a:solidFill>
              <a:srgbClr val="FF99FF"/>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('TCD H-F - filière &amp; cat'!$A$22,'TCD H-F - filière &amp; cat'!$A$27,'TCD H-F - filière &amp; cat'!$A$30)</c:f>
              <c:strCache>
                <c:ptCount val="3"/>
                <c:pt idx="0">
                  <c:v>Filière administrative</c:v>
                </c:pt>
                <c:pt idx="1">
                  <c:v>Filière scientifique</c:v>
                </c:pt>
                <c:pt idx="2">
                  <c:v>Filière technique et enseignement</c:v>
                </c:pt>
              </c:strCache>
            </c:strRef>
          </c:cat>
          <c:val>
            <c:numRef>
              <c:f>('TCD H-F - filière &amp; cat'!$H$24,'TCD H-F - filière &amp; cat'!$H$28,'TCD H-F - filière &amp; cat'!$H$31)</c:f>
              <c:numCache>
                <c:formatCode>0</c:formatCode>
                <c:ptCount val="3"/>
                <c:pt idx="0">
                  <c:v>634.98100000000022</c:v>
                </c:pt>
                <c:pt idx="1">
                  <c:v>3</c:v>
                </c:pt>
                <c:pt idx="2">
                  <c:v>286.8</c:v>
                </c:pt>
              </c:numCache>
            </c:numRef>
          </c:val>
        </c:ser>
        <c:ser>
          <c:idx val="2"/>
          <c:order val="2"/>
          <c:tx>
            <c:v>Catégorie B</c:v>
          </c:tx>
          <c:spPr>
            <a:solidFill>
              <a:schemeClr val="bg1">
                <a:lumMod val="6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('TCD H-F - filière &amp; cat'!$A$22,'TCD H-F - filière &amp; cat'!$A$27,'TCD H-F - filière &amp; cat'!$A$30)</c:f>
              <c:strCache>
                <c:ptCount val="3"/>
                <c:pt idx="0">
                  <c:v>Filière administrative</c:v>
                </c:pt>
                <c:pt idx="1">
                  <c:v>Filière scientifique</c:v>
                </c:pt>
                <c:pt idx="2">
                  <c:v>Filière technique et enseignement</c:v>
                </c:pt>
              </c:strCache>
            </c:strRef>
          </c:cat>
          <c:val>
            <c:numRef>
              <c:f>('TCD H-F - filière &amp; cat'!$H$25,'TCD H-F - filière &amp; cat'!$H$29,'TCD H-F - filière &amp; cat'!$H$32)</c:f>
              <c:numCache>
                <c:formatCode>0</c:formatCode>
                <c:ptCount val="3"/>
                <c:pt idx="0">
                  <c:v>187.26899999999998</c:v>
                </c:pt>
                <c:pt idx="1">
                  <c:v>2</c:v>
                </c:pt>
                <c:pt idx="2">
                  <c:v>20</c:v>
                </c:pt>
              </c:numCache>
            </c:numRef>
          </c:val>
        </c:ser>
        <c:ser>
          <c:idx val="3"/>
          <c:order val="3"/>
          <c:tx>
            <c:v>Catégorie C</c:v>
          </c:tx>
          <c:spPr>
            <a:solidFill>
              <a:schemeClr val="bg1">
                <a:lumMod val="85000"/>
              </a:schemeClr>
            </a:solidFill>
            <a:ln>
              <a:noFill/>
            </a:ln>
            <a:effectLst/>
            <a:scene3d>
              <a:camera prst="orthographicFront"/>
              <a:lightRig rig="threePt" dir="t"/>
            </a:scene3d>
            <a:sp3d>
              <a:bevelT/>
            </a:sp3d>
          </c:spPr>
          <c:invertIfNegative val="0"/>
          <c:dLbls>
            <c:dLbl>
              <c:idx val="2"/>
              <c:layout>
                <c:manualLayout>
                  <c:x val="-1.0185067526415994E-16"/>
                  <c:y val="-4.6296296296296511E-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('TCD H-F - filière &amp; cat'!$A$22,'TCD H-F - filière &amp; cat'!$A$27,'TCD H-F - filière &amp; cat'!$A$30)</c:f>
              <c:strCache>
                <c:ptCount val="3"/>
                <c:pt idx="0">
                  <c:v>Filière administrative</c:v>
                </c:pt>
                <c:pt idx="1">
                  <c:v>Filière scientifique</c:v>
                </c:pt>
                <c:pt idx="2">
                  <c:v>Filière technique et enseignement</c:v>
                </c:pt>
              </c:strCache>
            </c:strRef>
          </c:cat>
          <c:val>
            <c:numRef>
              <c:f>('TCD H-F - filière &amp; cat'!$H$26,'TCD H-F - filière &amp; cat'!$K$29,'TCD H-F - filière &amp; cat'!$H$33)</c:f>
              <c:numCache>
                <c:formatCode>General</c:formatCode>
                <c:ptCount val="3"/>
                <c:pt idx="0" formatCode="0">
                  <c:v>151.10600000000005</c:v>
                </c:pt>
                <c:pt idx="2" formatCode="0">
                  <c:v>16.5</c:v>
                </c:pt>
              </c:numCache>
            </c:numRef>
          </c:val>
        </c:ser>
        <c:dLbls>
          <c:dLblPos val="ctr"/>
          <c:showLegendKey val="0"/>
          <c:showVal val="1"/>
          <c:showCatName val="0"/>
          <c:showSerName val="0"/>
          <c:showPercent val="0"/>
          <c:showBubbleSize val="0"/>
        </c:dLbls>
        <c:gapWidth val="150"/>
        <c:overlap val="100"/>
        <c:axId val="204398304"/>
        <c:axId val="204398864"/>
        <c:extLst>
          <c:ext xmlns:c15="http://schemas.microsoft.com/office/drawing/2012/chart" uri="{02D57815-91ED-43cb-92C2-25804820EDAC}">
            <c15:filteredBarSeries>
              <c15:ser>
                <c:idx val="4"/>
                <c:order val="4"/>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('TCD H-F - filière &amp; cat'!$A$22,'TCD H-F - filière &amp; cat'!$A$27,'TCD H-F - filière &amp; cat'!$A$30)</c15:sqref>
                        </c15:formulaRef>
                      </c:ext>
                    </c:extLst>
                    <c:strCache>
                      <c:ptCount val="3"/>
                      <c:pt idx="0">
                        <c:v>Filière administrative</c:v>
                      </c:pt>
                      <c:pt idx="1">
                        <c:v>Filière scientifique</c:v>
                      </c:pt>
                      <c:pt idx="2">
                        <c:v>Filière technique et enseignement</c:v>
                      </c:pt>
                    </c:strCache>
                  </c:strRef>
                </c:cat>
                <c:val>
                  <c:numRef>
                    <c:extLst>
                      <c:ext uri="{02D57815-91ED-43cb-92C2-25804820EDAC}">
                        <c15:formulaRef>
                          <c15:sqref>'TCD H-F - filière &amp; cat'!$F$22:$F$33</c15:sqref>
                        </c15:formulaRef>
                      </c:ext>
                    </c:extLst>
                    <c:numCache>
                      <c:formatCode>0</c:formatCode>
                      <c:ptCount val="12"/>
                      <c:pt idx="0">
                        <c:v>452</c:v>
                      </c:pt>
                      <c:pt idx="1">
                        <c:v>59</c:v>
                      </c:pt>
                      <c:pt idx="2">
                        <c:v>254</c:v>
                      </c:pt>
                      <c:pt idx="3">
                        <c:v>62</c:v>
                      </c:pt>
                      <c:pt idx="4">
                        <c:v>77</c:v>
                      </c:pt>
                      <c:pt idx="5">
                        <c:v>2</c:v>
                      </c:pt>
                      <c:pt idx="6">
                        <c:v>1</c:v>
                      </c:pt>
                      <c:pt idx="7">
                        <c:v>1</c:v>
                      </c:pt>
                      <c:pt idx="8">
                        <c:v>281</c:v>
                      </c:pt>
                      <c:pt idx="9">
                        <c:v>271</c:v>
                      </c:pt>
                      <c:pt idx="10">
                        <c:v>2</c:v>
                      </c:pt>
                      <c:pt idx="11">
                        <c:v>8</c:v>
                      </c:pt>
                    </c:numCache>
                  </c:numRef>
                </c:val>
              </c15:ser>
            </c15:filteredBarSeries>
            <c15:filteredBarSeries>
              <c15:ser>
                <c:idx val="5"/>
                <c:order val="5"/>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('TCD H-F - filière &amp; cat'!$A$22,'TCD H-F - filière &amp; cat'!$A$27,'TCD H-F - filière &amp; cat'!$A$30)</c15:sqref>
                        </c15:formulaRef>
                      </c:ext>
                    </c:extLst>
                    <c:strCache>
                      <c:ptCount val="3"/>
                      <c:pt idx="0">
                        <c:v>Filière administrative</c:v>
                      </c:pt>
                      <c:pt idx="1">
                        <c:v>Filière scientifique</c:v>
                      </c:pt>
                      <c:pt idx="2">
                        <c:v>Filière technique et enseignement</c:v>
                      </c:pt>
                    </c:strCache>
                  </c:strRef>
                </c:cat>
                <c:val>
                  <c:numRef>
                    <c:extLst xmlns:c15="http://schemas.microsoft.com/office/drawing/2012/chart">
                      <c:ext xmlns:c15="http://schemas.microsoft.com/office/drawing/2012/chart" uri="{02D57815-91ED-43cb-92C2-25804820EDAC}">
                        <c15:formulaRef>
                          <c15:sqref>'TCD H-F - filière &amp; cat'!$G$22:$G$33</c15:sqref>
                        </c15:formulaRef>
                      </c:ext>
                    </c:extLst>
                    <c:numCache>
                      <c:formatCode>0%</c:formatCode>
                      <c:ptCount val="12"/>
                      <c:pt idx="0">
                        <c:v>0.41457355289463371</c:v>
                      </c:pt>
                      <c:pt idx="1">
                        <c:v>0.13379655666624335</c:v>
                      </c:pt>
                      <c:pt idx="2">
                        <c:v>0.57310281018123765</c:v>
                      </c:pt>
                      <c:pt idx="3">
                        <c:v>0.13908038678543566</c:v>
                      </c:pt>
                      <c:pt idx="4">
                        <c:v>0.15402024636708334</c:v>
                      </c:pt>
                      <c:pt idx="5">
                        <c:v>0.4</c:v>
                      </c:pt>
                      <c:pt idx="6">
                        <c:v>0.5</c:v>
                      </c:pt>
                      <c:pt idx="7">
                        <c:v>0.5</c:v>
                      </c:pt>
                      <c:pt idx="8">
                        <c:v>0.65743891122796161</c:v>
                      </c:pt>
                      <c:pt idx="9">
                        <c:v>0.95295224653022814</c:v>
                      </c:pt>
                      <c:pt idx="10">
                        <c:v>9.4095506939543636E-3</c:v>
                      </c:pt>
                      <c:pt idx="11">
                        <c:v>3.7638202775817454E-2</c:v>
                      </c:pt>
                    </c:numCache>
                  </c:numRef>
                </c:val>
              </c15:ser>
            </c15:filteredBarSeries>
            <c15:filteredBarSeries>
              <c15:ser>
                <c:idx val="6"/>
                <c:order val="6"/>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('TCD H-F - filière &amp; cat'!$A$22,'TCD H-F - filière &amp; cat'!$A$27,'TCD H-F - filière &amp; cat'!$A$30)</c15:sqref>
                        </c15:formulaRef>
                      </c:ext>
                    </c:extLst>
                    <c:strCache>
                      <c:ptCount val="3"/>
                      <c:pt idx="0">
                        <c:v>Filière administrative</c:v>
                      </c:pt>
                      <c:pt idx="1">
                        <c:v>Filière scientifique</c:v>
                      </c:pt>
                      <c:pt idx="2">
                        <c:v>Filière technique et enseignement</c:v>
                      </c:pt>
                    </c:strCache>
                  </c:strRef>
                </c:cat>
                <c:val>
                  <c:numRef>
                    <c:extLst xmlns:c15="http://schemas.microsoft.com/office/drawing/2012/chart">
                      <c:ext xmlns:c15="http://schemas.microsoft.com/office/drawing/2012/chart" uri="{02D57815-91ED-43cb-92C2-25804820EDAC}">
                        <c15:formulaRef>
                          <c15:sqref>'TCD H-F - filière &amp; cat'!$H$22:$H$33</c15:sqref>
                        </c15:formulaRef>
                      </c:ext>
                    </c:extLst>
                    <c:numCache>
                      <c:formatCode>0</c:formatCode>
                      <c:ptCount val="12"/>
                      <c:pt idx="0">
                        <c:v>1063.6665000000003</c:v>
                      </c:pt>
                      <c:pt idx="1">
                        <c:v>90.310500000000005</c:v>
                      </c:pt>
                      <c:pt idx="2">
                        <c:v>634.98100000000022</c:v>
                      </c:pt>
                      <c:pt idx="3">
                        <c:v>187.26899999999998</c:v>
                      </c:pt>
                      <c:pt idx="4">
                        <c:v>151.10600000000005</c:v>
                      </c:pt>
                      <c:pt idx="5">
                        <c:v>5</c:v>
                      </c:pt>
                      <c:pt idx="6">
                        <c:v>3</c:v>
                      </c:pt>
                      <c:pt idx="7">
                        <c:v>2</c:v>
                      </c:pt>
                      <c:pt idx="8">
                        <c:v>323.3</c:v>
                      </c:pt>
                      <c:pt idx="9">
                        <c:v>286.8</c:v>
                      </c:pt>
                      <c:pt idx="10">
                        <c:v>20</c:v>
                      </c:pt>
                      <c:pt idx="11">
                        <c:v>16.5</c:v>
                      </c:pt>
                    </c:numCache>
                  </c:numRef>
                </c:val>
              </c15:ser>
            </c15:filteredBarSeries>
          </c:ext>
        </c:extLst>
      </c:barChart>
      <c:catAx>
        <c:axId val="20439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4398864"/>
        <c:crosses val="autoZero"/>
        <c:auto val="1"/>
        <c:lblAlgn val="ctr"/>
        <c:lblOffset val="100"/>
        <c:noMultiLvlLbl val="0"/>
      </c:catAx>
      <c:valAx>
        <c:axId val="204398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43983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Répartition géographique des agents non titulaires</a:t>
            </a:r>
          </a:p>
        </c:rich>
      </c:tx>
      <c:layout>
        <c:manualLayout>
          <c:xMode val="edge"/>
          <c:yMode val="edge"/>
          <c:x val="0.1579582239720034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doughnutChart>
        <c:varyColors val="1"/>
        <c:ser>
          <c:idx val="0"/>
          <c:order val="0"/>
          <c:spPr>
            <a:scene3d>
              <a:camera prst="orthographicFront"/>
              <a:lightRig rig="threePt" dir="t"/>
            </a:scene3d>
            <a:sp3d>
              <a:bevelT/>
            </a:sp3d>
          </c:spPr>
          <c:explosion val="9"/>
          <c:dPt>
            <c:idx val="0"/>
            <c:bubble3D val="0"/>
            <c:spPr>
              <a:solidFill>
                <a:srgbClr val="FF00FF"/>
              </a:solidFill>
              <a:ln w="19050">
                <a:solidFill>
                  <a:schemeClr val="lt1"/>
                </a:solidFill>
              </a:ln>
              <a:effectLst/>
              <a:scene3d>
                <a:camera prst="orthographicFront"/>
                <a:lightRig rig="threePt" dir="t"/>
              </a:scene3d>
              <a:sp3d>
                <a:bevelT/>
              </a:sp3d>
            </c:spPr>
          </c:dPt>
          <c:dPt>
            <c:idx val="1"/>
            <c:bubble3D val="0"/>
            <c:spPr>
              <a:solidFill>
                <a:schemeClr val="bg1">
                  <a:lumMod val="65000"/>
                </a:schemeClr>
              </a:solidFill>
              <a:ln w="19050">
                <a:solidFill>
                  <a:schemeClr val="lt1"/>
                </a:solidFill>
              </a:ln>
              <a:effectLst/>
              <a:scene3d>
                <a:camera prst="orthographicFront"/>
                <a:lightRig rig="threePt" dir="t"/>
              </a:scene3d>
              <a:sp3d>
                <a:bevelT/>
              </a:sp3d>
            </c:spPr>
          </c:dPt>
          <c:dLbls>
            <c:dLbl>
              <c:idx val="0"/>
              <c:layout/>
              <c:showLegendKey val="0"/>
              <c:showVal val="1"/>
              <c:showCatName val="0"/>
              <c:showSerName val="0"/>
              <c:showPercent val="0"/>
              <c:showBubbleSize val="0"/>
              <c:extLst>
                <c:ext xmlns:c15="http://schemas.microsoft.com/office/drawing/2012/chart" uri="{CE6537A1-D6FC-4f65-9D91-7224C49458BB}">
                  <c15:layout/>
                </c:ext>
              </c:extLst>
            </c:dLbl>
            <c:dLbl>
              <c:idx val="1"/>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FR"/>
              </a:p>
            </c:txPr>
            <c:showLegendKey val="0"/>
            <c:showVal val="0"/>
            <c:showCatName val="0"/>
            <c:showSerName val="0"/>
            <c:showPercent val="0"/>
            <c:showBubbleSize val="0"/>
            <c:extLst>
              <c:ext xmlns:c15="http://schemas.microsoft.com/office/drawing/2012/chart" uri="{CE6537A1-D6FC-4f65-9D91-7224C49458BB}"/>
            </c:extLst>
          </c:dLbls>
          <c:cat>
            <c:strRef>
              <c:f>'TCD géo'!$H$3:$H$4</c:f>
              <c:strCache>
                <c:ptCount val="2"/>
                <c:pt idx="0">
                  <c:v>Ile-de-France</c:v>
                </c:pt>
                <c:pt idx="1">
                  <c:v>Autres régions</c:v>
                </c:pt>
              </c:strCache>
            </c:strRef>
          </c:cat>
          <c:val>
            <c:numRef>
              <c:f>'TCD géo'!$I$3:$I$4</c:f>
              <c:numCache>
                <c:formatCode>0%</c:formatCode>
                <c:ptCount val="2"/>
                <c:pt idx="0">
                  <c:v>0.71549746348062238</c:v>
                </c:pt>
                <c:pt idx="1">
                  <c:v>0.2845025365193779</c:v>
                </c:pt>
              </c:numCache>
            </c:numRef>
          </c:val>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Pyramide des âges</a:t>
            </a:r>
            <a:r>
              <a:rPr lang="fr-FR" sz="1000" b="1" baseline="0">
                <a:latin typeface="Arial" panose="020B0604020202020204" pitchFamily="34" charset="0"/>
                <a:cs typeface="Arial" panose="020B0604020202020204" pitchFamily="34" charset="0"/>
              </a:rPr>
              <a:t> des agents non titulaires</a:t>
            </a:r>
            <a:endParaRPr lang="fr-FR" sz="1000"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5.2692038495188102E-2"/>
          <c:y val="0.19486111111111112"/>
          <c:w val="0.90053958880139984"/>
          <c:h val="0.72088764946048411"/>
        </c:manualLayout>
      </c:layout>
      <c:barChart>
        <c:barDir val="col"/>
        <c:grouping val="clustered"/>
        <c:varyColors val="0"/>
        <c:ser>
          <c:idx val="0"/>
          <c:order val="0"/>
          <c:spPr>
            <a:solidFill>
              <a:schemeClr val="bg1">
                <a:lumMod val="65000"/>
              </a:schemeClr>
            </a:solidFill>
            <a:ln>
              <a:noFill/>
            </a:ln>
            <a:effectLst/>
            <a:scene3d>
              <a:camera prst="orthographicFront"/>
              <a:lightRig rig="threePt" dir="t"/>
            </a:scene3d>
            <a:sp3d>
              <a:bevelT/>
            </a:sp3d>
          </c:spPr>
          <c:invertIfNegative val="0"/>
          <c:cat>
            <c:numRef>
              <c:f>'TCD âge'!$F$5:$F$51</c:f>
              <c:numCache>
                <c:formatCode>General</c:formatCode>
                <c:ptCount val="47"/>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numCache>
            </c:numRef>
          </c:cat>
          <c:val>
            <c:numRef>
              <c:f>'TCD âge'!$K$5:$K$51</c:f>
              <c:numCache>
                <c:formatCode>0</c:formatCode>
                <c:ptCount val="47"/>
                <c:pt idx="0">
                  <c:v>4</c:v>
                </c:pt>
                <c:pt idx="1">
                  <c:v>3</c:v>
                </c:pt>
                <c:pt idx="2">
                  <c:v>3.56</c:v>
                </c:pt>
                <c:pt idx="3">
                  <c:v>6</c:v>
                </c:pt>
                <c:pt idx="4">
                  <c:v>5.5590000000000002</c:v>
                </c:pt>
                <c:pt idx="5">
                  <c:v>16.560000000000002</c:v>
                </c:pt>
                <c:pt idx="6">
                  <c:v>21.12</c:v>
                </c:pt>
                <c:pt idx="7">
                  <c:v>17.5</c:v>
                </c:pt>
                <c:pt idx="8">
                  <c:v>24.759999999999998</c:v>
                </c:pt>
                <c:pt idx="9">
                  <c:v>27.560000000000002</c:v>
                </c:pt>
                <c:pt idx="10">
                  <c:v>26.5</c:v>
                </c:pt>
                <c:pt idx="11">
                  <c:v>25.310500000000001</c:v>
                </c:pt>
                <c:pt idx="12">
                  <c:v>35.5</c:v>
                </c:pt>
                <c:pt idx="13">
                  <c:v>43.3</c:v>
                </c:pt>
                <c:pt idx="14">
                  <c:v>31.819999999999997</c:v>
                </c:pt>
                <c:pt idx="15">
                  <c:v>35.42</c:v>
                </c:pt>
                <c:pt idx="16">
                  <c:v>37.200000000000003</c:v>
                </c:pt>
                <c:pt idx="17">
                  <c:v>34.019999999999996</c:v>
                </c:pt>
                <c:pt idx="18">
                  <c:v>39.4</c:v>
                </c:pt>
                <c:pt idx="19">
                  <c:v>38.32</c:v>
                </c:pt>
                <c:pt idx="20">
                  <c:v>44.400000000000006</c:v>
                </c:pt>
                <c:pt idx="21">
                  <c:v>51.798000000000002</c:v>
                </c:pt>
                <c:pt idx="22">
                  <c:v>48.739999999999995</c:v>
                </c:pt>
                <c:pt idx="23">
                  <c:v>39.950000000000003</c:v>
                </c:pt>
                <c:pt idx="24">
                  <c:v>39.400000000000006</c:v>
                </c:pt>
                <c:pt idx="25">
                  <c:v>33.39</c:v>
                </c:pt>
                <c:pt idx="26">
                  <c:v>42.46</c:v>
                </c:pt>
                <c:pt idx="27">
                  <c:v>41.6</c:v>
                </c:pt>
                <c:pt idx="28">
                  <c:v>36.4</c:v>
                </c:pt>
                <c:pt idx="29">
                  <c:v>44.168999999999997</c:v>
                </c:pt>
                <c:pt idx="30">
                  <c:v>42.641000000000005</c:v>
                </c:pt>
                <c:pt idx="31">
                  <c:v>19.100000000000001</c:v>
                </c:pt>
                <c:pt idx="32">
                  <c:v>32.5</c:v>
                </c:pt>
                <c:pt idx="33">
                  <c:v>30.060000000000002</c:v>
                </c:pt>
                <c:pt idx="34">
                  <c:v>38.1</c:v>
                </c:pt>
                <c:pt idx="35">
                  <c:v>29.62</c:v>
                </c:pt>
                <c:pt idx="36">
                  <c:v>32.68</c:v>
                </c:pt>
                <c:pt idx="37">
                  <c:v>39.36</c:v>
                </c:pt>
                <c:pt idx="38">
                  <c:v>36.32</c:v>
                </c:pt>
                <c:pt idx="39">
                  <c:v>37.32</c:v>
                </c:pt>
                <c:pt idx="40">
                  <c:v>32.739000000000004</c:v>
                </c:pt>
                <c:pt idx="41">
                  <c:v>39.39</c:v>
                </c:pt>
                <c:pt idx="42">
                  <c:v>32.730000000000004</c:v>
                </c:pt>
                <c:pt idx="43">
                  <c:v>19.190000000000001</c:v>
                </c:pt>
                <c:pt idx="44">
                  <c:v>23</c:v>
                </c:pt>
                <c:pt idx="45">
                  <c:v>6.5</c:v>
                </c:pt>
                <c:pt idx="46">
                  <c:v>2</c:v>
                </c:pt>
              </c:numCache>
            </c:numRef>
          </c:val>
        </c:ser>
        <c:dLbls>
          <c:showLegendKey val="0"/>
          <c:showVal val="0"/>
          <c:showCatName val="0"/>
          <c:showSerName val="0"/>
          <c:showPercent val="0"/>
          <c:showBubbleSize val="0"/>
        </c:dLbls>
        <c:gapWidth val="219"/>
        <c:axId val="204402784"/>
        <c:axId val="204403344"/>
      </c:barChart>
      <c:catAx>
        <c:axId val="20440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4403344"/>
        <c:crosses val="autoZero"/>
        <c:auto val="1"/>
        <c:lblAlgn val="ctr"/>
        <c:lblOffset val="100"/>
        <c:noMultiLvlLbl val="0"/>
      </c:catAx>
      <c:valAx>
        <c:axId val="204403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44027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Pyramide des âges hommes/femmes des agents non titulaires</a:t>
            </a:r>
          </a:p>
        </c:rich>
      </c:tx>
      <c:layout>
        <c:manualLayout>
          <c:xMode val="edge"/>
          <c:yMode val="edge"/>
          <c:x val="0.14416816261490112"/>
          <c:y val="2.678770249260243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bar"/>
        <c:grouping val="clustered"/>
        <c:varyColors val="0"/>
        <c:ser>
          <c:idx val="0"/>
          <c:order val="0"/>
          <c:tx>
            <c:strRef>
              <c:f>'TCD âge'!$I$4</c:f>
              <c:strCache>
                <c:ptCount val="1"/>
                <c:pt idx="0">
                  <c:v>Femmes</c:v>
                </c:pt>
              </c:strCache>
            </c:strRef>
          </c:tx>
          <c:spPr>
            <a:solidFill>
              <a:srgbClr val="FF00FF"/>
            </a:solidFill>
            <a:ln w="9525">
              <a:solidFill>
                <a:srgbClr val="FF00FF"/>
              </a:solidFill>
            </a:ln>
            <a:effectLst/>
            <a:scene3d>
              <a:camera prst="orthographicFront"/>
              <a:lightRig rig="threePt" dir="t"/>
            </a:scene3d>
            <a:sp3d>
              <a:bevelT w="139700" h="133350"/>
            </a:sp3d>
          </c:spPr>
          <c:invertIfNegative val="0"/>
          <c:cat>
            <c:strRef>
              <c:f>'TCD âge'!$G$5:$G$51</c:f>
              <c:strCache>
                <c:ptCount val="47"/>
                <c:pt idx="0">
                  <c:v>20 ans</c:v>
                </c:pt>
                <c:pt idx="1">
                  <c:v>21 ans</c:v>
                </c:pt>
                <c:pt idx="2">
                  <c:v>22 ans</c:v>
                </c:pt>
                <c:pt idx="3">
                  <c:v>23 ans</c:v>
                </c:pt>
                <c:pt idx="4">
                  <c:v>24 ans</c:v>
                </c:pt>
                <c:pt idx="5">
                  <c:v>25 ans</c:v>
                </c:pt>
                <c:pt idx="6">
                  <c:v>26 ans</c:v>
                </c:pt>
                <c:pt idx="7">
                  <c:v>27 ans</c:v>
                </c:pt>
                <c:pt idx="8">
                  <c:v>28 ans</c:v>
                </c:pt>
                <c:pt idx="9">
                  <c:v>29 ans</c:v>
                </c:pt>
                <c:pt idx="10">
                  <c:v>30 ans</c:v>
                </c:pt>
                <c:pt idx="11">
                  <c:v>31 ans</c:v>
                </c:pt>
                <c:pt idx="12">
                  <c:v>32 ans</c:v>
                </c:pt>
                <c:pt idx="13">
                  <c:v>33 ans</c:v>
                </c:pt>
                <c:pt idx="14">
                  <c:v>34 ans</c:v>
                </c:pt>
                <c:pt idx="15">
                  <c:v>35 ans</c:v>
                </c:pt>
                <c:pt idx="16">
                  <c:v>36 ans</c:v>
                </c:pt>
                <c:pt idx="17">
                  <c:v>37 ans</c:v>
                </c:pt>
                <c:pt idx="18">
                  <c:v>38 ans</c:v>
                </c:pt>
                <c:pt idx="19">
                  <c:v>39 ans</c:v>
                </c:pt>
                <c:pt idx="20">
                  <c:v>40 ans</c:v>
                </c:pt>
                <c:pt idx="21">
                  <c:v>41 ans</c:v>
                </c:pt>
                <c:pt idx="22">
                  <c:v>42 ans</c:v>
                </c:pt>
                <c:pt idx="23">
                  <c:v>43 ans</c:v>
                </c:pt>
                <c:pt idx="24">
                  <c:v>44 ans</c:v>
                </c:pt>
                <c:pt idx="25">
                  <c:v>45 ans</c:v>
                </c:pt>
                <c:pt idx="26">
                  <c:v>46 ans</c:v>
                </c:pt>
                <c:pt idx="27">
                  <c:v>47 ans</c:v>
                </c:pt>
                <c:pt idx="28">
                  <c:v>48 ans</c:v>
                </c:pt>
                <c:pt idx="29">
                  <c:v>49 ans</c:v>
                </c:pt>
                <c:pt idx="30">
                  <c:v>50 ans</c:v>
                </c:pt>
                <c:pt idx="31">
                  <c:v>51 ans</c:v>
                </c:pt>
                <c:pt idx="32">
                  <c:v>52 ans</c:v>
                </c:pt>
                <c:pt idx="33">
                  <c:v>53 ans</c:v>
                </c:pt>
                <c:pt idx="34">
                  <c:v>54 ans</c:v>
                </c:pt>
                <c:pt idx="35">
                  <c:v>55 ans</c:v>
                </c:pt>
                <c:pt idx="36">
                  <c:v>56 ans</c:v>
                </c:pt>
                <c:pt idx="37">
                  <c:v>57 ans</c:v>
                </c:pt>
                <c:pt idx="38">
                  <c:v>58 ans</c:v>
                </c:pt>
                <c:pt idx="39">
                  <c:v>59 ans</c:v>
                </c:pt>
                <c:pt idx="40">
                  <c:v>60 ans</c:v>
                </c:pt>
                <c:pt idx="41">
                  <c:v>61 ans</c:v>
                </c:pt>
                <c:pt idx="42">
                  <c:v>62 ans</c:v>
                </c:pt>
                <c:pt idx="43">
                  <c:v>63 ans</c:v>
                </c:pt>
                <c:pt idx="44">
                  <c:v>64 ans</c:v>
                </c:pt>
                <c:pt idx="45">
                  <c:v>65 ans</c:v>
                </c:pt>
                <c:pt idx="46">
                  <c:v>66 ans</c:v>
                </c:pt>
              </c:strCache>
            </c:strRef>
          </c:cat>
          <c:val>
            <c:numRef>
              <c:f>'TCD âge'!$I$5:$I$51</c:f>
              <c:numCache>
                <c:formatCode>0</c:formatCode>
                <c:ptCount val="47"/>
                <c:pt idx="0">
                  <c:v>-2</c:v>
                </c:pt>
                <c:pt idx="1">
                  <c:v>-3</c:v>
                </c:pt>
                <c:pt idx="2">
                  <c:v>-2</c:v>
                </c:pt>
                <c:pt idx="3">
                  <c:v>-5</c:v>
                </c:pt>
                <c:pt idx="4">
                  <c:v>-4</c:v>
                </c:pt>
                <c:pt idx="5">
                  <c:v>-10</c:v>
                </c:pt>
                <c:pt idx="6">
                  <c:v>-15.56</c:v>
                </c:pt>
                <c:pt idx="7">
                  <c:v>-12.5</c:v>
                </c:pt>
                <c:pt idx="8">
                  <c:v>-14.8</c:v>
                </c:pt>
                <c:pt idx="9">
                  <c:v>-15.56</c:v>
                </c:pt>
                <c:pt idx="10">
                  <c:v>-15.2</c:v>
                </c:pt>
                <c:pt idx="11">
                  <c:v>-17.0105</c:v>
                </c:pt>
                <c:pt idx="12">
                  <c:v>-21</c:v>
                </c:pt>
                <c:pt idx="13">
                  <c:v>-27.439999999999998</c:v>
                </c:pt>
                <c:pt idx="14">
                  <c:v>-22.819999999999997</c:v>
                </c:pt>
                <c:pt idx="15">
                  <c:v>-15.420000000000002</c:v>
                </c:pt>
                <c:pt idx="16">
                  <c:v>-19.700000000000003</c:v>
                </c:pt>
                <c:pt idx="17">
                  <c:v>-17.52</c:v>
                </c:pt>
                <c:pt idx="18">
                  <c:v>-20.399999999999999</c:v>
                </c:pt>
                <c:pt idx="19">
                  <c:v>-12.760000000000002</c:v>
                </c:pt>
                <c:pt idx="20">
                  <c:v>-23.6</c:v>
                </c:pt>
                <c:pt idx="21">
                  <c:v>-20.689</c:v>
                </c:pt>
                <c:pt idx="22">
                  <c:v>-22.74</c:v>
                </c:pt>
                <c:pt idx="23">
                  <c:v>-18.420000000000002</c:v>
                </c:pt>
                <c:pt idx="24">
                  <c:v>-17.900000000000002</c:v>
                </c:pt>
                <c:pt idx="25">
                  <c:v>-14.89</c:v>
                </c:pt>
                <c:pt idx="26">
                  <c:v>-29.400000000000002</c:v>
                </c:pt>
                <c:pt idx="27">
                  <c:v>-20.3</c:v>
                </c:pt>
                <c:pt idx="28">
                  <c:v>-19.899999999999999</c:v>
                </c:pt>
                <c:pt idx="29">
                  <c:v>-21.969000000000001</c:v>
                </c:pt>
                <c:pt idx="30">
                  <c:v>-20.981000000000002</c:v>
                </c:pt>
                <c:pt idx="31">
                  <c:v>-13.600000000000001</c:v>
                </c:pt>
                <c:pt idx="32">
                  <c:v>-18.5</c:v>
                </c:pt>
                <c:pt idx="33">
                  <c:v>-15.8</c:v>
                </c:pt>
                <c:pt idx="34">
                  <c:v>-20.11</c:v>
                </c:pt>
                <c:pt idx="35">
                  <c:v>-18.62</c:v>
                </c:pt>
                <c:pt idx="36">
                  <c:v>-11.36</c:v>
                </c:pt>
                <c:pt idx="37">
                  <c:v>-15.8</c:v>
                </c:pt>
                <c:pt idx="38">
                  <c:v>-18.32</c:v>
                </c:pt>
                <c:pt idx="39">
                  <c:v>-19.27</c:v>
                </c:pt>
                <c:pt idx="40">
                  <c:v>-20.739000000000001</c:v>
                </c:pt>
                <c:pt idx="41">
                  <c:v>-21.43</c:v>
                </c:pt>
                <c:pt idx="42">
                  <c:v>-16.73</c:v>
                </c:pt>
                <c:pt idx="43">
                  <c:v>-6.69</c:v>
                </c:pt>
                <c:pt idx="44">
                  <c:v>-11</c:v>
                </c:pt>
                <c:pt idx="45">
                  <c:v>-4</c:v>
                </c:pt>
                <c:pt idx="46">
                  <c:v>0</c:v>
                </c:pt>
              </c:numCache>
            </c:numRef>
          </c:val>
        </c:ser>
        <c:ser>
          <c:idx val="1"/>
          <c:order val="1"/>
          <c:tx>
            <c:strRef>
              <c:f>'TCD âge'!$J$4</c:f>
              <c:strCache>
                <c:ptCount val="1"/>
                <c:pt idx="0">
                  <c:v>Hommes</c:v>
                </c:pt>
              </c:strCache>
            </c:strRef>
          </c:tx>
          <c:spPr>
            <a:solidFill>
              <a:schemeClr val="bg1">
                <a:lumMod val="65000"/>
              </a:schemeClr>
            </a:solidFill>
            <a:ln w="9525">
              <a:solidFill>
                <a:schemeClr val="bg1">
                  <a:lumMod val="65000"/>
                </a:schemeClr>
              </a:solidFill>
            </a:ln>
            <a:effectLst/>
            <a:scene3d>
              <a:camera prst="orthographicFront"/>
              <a:lightRig rig="threePt" dir="t"/>
            </a:scene3d>
            <a:sp3d>
              <a:bevelT w="127000" h="120650"/>
            </a:sp3d>
          </c:spPr>
          <c:invertIfNegative val="0"/>
          <c:cat>
            <c:strRef>
              <c:f>'TCD âge'!$G$5:$G$51</c:f>
              <c:strCache>
                <c:ptCount val="47"/>
                <c:pt idx="0">
                  <c:v>20 ans</c:v>
                </c:pt>
                <c:pt idx="1">
                  <c:v>21 ans</c:v>
                </c:pt>
                <c:pt idx="2">
                  <c:v>22 ans</c:v>
                </c:pt>
                <c:pt idx="3">
                  <c:v>23 ans</c:v>
                </c:pt>
                <c:pt idx="4">
                  <c:v>24 ans</c:v>
                </c:pt>
                <c:pt idx="5">
                  <c:v>25 ans</c:v>
                </c:pt>
                <c:pt idx="6">
                  <c:v>26 ans</c:v>
                </c:pt>
                <c:pt idx="7">
                  <c:v>27 ans</c:v>
                </c:pt>
                <c:pt idx="8">
                  <c:v>28 ans</c:v>
                </c:pt>
                <c:pt idx="9">
                  <c:v>29 ans</c:v>
                </c:pt>
                <c:pt idx="10">
                  <c:v>30 ans</c:v>
                </c:pt>
                <c:pt idx="11">
                  <c:v>31 ans</c:v>
                </c:pt>
                <c:pt idx="12">
                  <c:v>32 ans</c:v>
                </c:pt>
                <c:pt idx="13">
                  <c:v>33 ans</c:v>
                </c:pt>
                <c:pt idx="14">
                  <c:v>34 ans</c:v>
                </c:pt>
                <c:pt idx="15">
                  <c:v>35 ans</c:v>
                </c:pt>
                <c:pt idx="16">
                  <c:v>36 ans</c:v>
                </c:pt>
                <c:pt idx="17">
                  <c:v>37 ans</c:v>
                </c:pt>
                <c:pt idx="18">
                  <c:v>38 ans</c:v>
                </c:pt>
                <c:pt idx="19">
                  <c:v>39 ans</c:v>
                </c:pt>
                <c:pt idx="20">
                  <c:v>40 ans</c:v>
                </c:pt>
                <c:pt idx="21">
                  <c:v>41 ans</c:v>
                </c:pt>
                <c:pt idx="22">
                  <c:v>42 ans</c:v>
                </c:pt>
                <c:pt idx="23">
                  <c:v>43 ans</c:v>
                </c:pt>
                <c:pt idx="24">
                  <c:v>44 ans</c:v>
                </c:pt>
                <c:pt idx="25">
                  <c:v>45 ans</c:v>
                </c:pt>
                <c:pt idx="26">
                  <c:v>46 ans</c:v>
                </c:pt>
                <c:pt idx="27">
                  <c:v>47 ans</c:v>
                </c:pt>
                <c:pt idx="28">
                  <c:v>48 ans</c:v>
                </c:pt>
                <c:pt idx="29">
                  <c:v>49 ans</c:v>
                </c:pt>
                <c:pt idx="30">
                  <c:v>50 ans</c:v>
                </c:pt>
                <c:pt idx="31">
                  <c:v>51 ans</c:v>
                </c:pt>
                <c:pt idx="32">
                  <c:v>52 ans</c:v>
                </c:pt>
                <c:pt idx="33">
                  <c:v>53 ans</c:v>
                </c:pt>
                <c:pt idx="34">
                  <c:v>54 ans</c:v>
                </c:pt>
                <c:pt idx="35">
                  <c:v>55 ans</c:v>
                </c:pt>
                <c:pt idx="36">
                  <c:v>56 ans</c:v>
                </c:pt>
                <c:pt idx="37">
                  <c:v>57 ans</c:v>
                </c:pt>
                <c:pt idx="38">
                  <c:v>58 ans</c:v>
                </c:pt>
                <c:pt idx="39">
                  <c:v>59 ans</c:v>
                </c:pt>
                <c:pt idx="40">
                  <c:v>60 ans</c:v>
                </c:pt>
                <c:pt idx="41">
                  <c:v>61 ans</c:v>
                </c:pt>
                <c:pt idx="42">
                  <c:v>62 ans</c:v>
                </c:pt>
                <c:pt idx="43">
                  <c:v>63 ans</c:v>
                </c:pt>
                <c:pt idx="44">
                  <c:v>64 ans</c:v>
                </c:pt>
                <c:pt idx="45">
                  <c:v>65 ans</c:v>
                </c:pt>
                <c:pt idx="46">
                  <c:v>66 ans</c:v>
                </c:pt>
              </c:strCache>
            </c:strRef>
          </c:cat>
          <c:val>
            <c:numRef>
              <c:f>'TCD âge'!$J$5:$J$51</c:f>
              <c:numCache>
                <c:formatCode>General</c:formatCode>
                <c:ptCount val="47"/>
                <c:pt idx="0" formatCode="0">
                  <c:v>2</c:v>
                </c:pt>
                <c:pt idx="2" formatCode="0">
                  <c:v>1.56</c:v>
                </c:pt>
                <c:pt idx="3" formatCode="0">
                  <c:v>1</c:v>
                </c:pt>
                <c:pt idx="4" formatCode="0">
                  <c:v>1.5590000000000002</c:v>
                </c:pt>
                <c:pt idx="5" formatCode="0">
                  <c:v>6.5600000000000005</c:v>
                </c:pt>
                <c:pt idx="6" formatCode="0">
                  <c:v>5.5600000000000005</c:v>
                </c:pt>
                <c:pt idx="7" formatCode="0">
                  <c:v>5</c:v>
                </c:pt>
                <c:pt idx="8" formatCode="0">
                  <c:v>9.9599999999999991</c:v>
                </c:pt>
                <c:pt idx="9" formatCode="0">
                  <c:v>12</c:v>
                </c:pt>
                <c:pt idx="10" formatCode="0">
                  <c:v>11.3</c:v>
                </c:pt>
                <c:pt idx="11" formatCode="0">
                  <c:v>8.3000000000000007</c:v>
                </c:pt>
                <c:pt idx="12" formatCode="0">
                  <c:v>14.5</c:v>
                </c:pt>
                <c:pt idx="13" formatCode="0">
                  <c:v>15.860000000000001</c:v>
                </c:pt>
                <c:pt idx="14" formatCode="0">
                  <c:v>9</c:v>
                </c:pt>
                <c:pt idx="15" formatCode="0">
                  <c:v>20</c:v>
                </c:pt>
                <c:pt idx="16" formatCode="0">
                  <c:v>17.5</c:v>
                </c:pt>
                <c:pt idx="17" formatCode="0">
                  <c:v>16.5</c:v>
                </c:pt>
                <c:pt idx="18" formatCode="0">
                  <c:v>19</c:v>
                </c:pt>
                <c:pt idx="19" formatCode="0">
                  <c:v>25.56</c:v>
                </c:pt>
                <c:pt idx="20" formatCode="0">
                  <c:v>20.8</c:v>
                </c:pt>
                <c:pt idx="21" formatCode="0">
                  <c:v>31.108999999999998</c:v>
                </c:pt>
                <c:pt idx="22" formatCode="0">
                  <c:v>26</c:v>
                </c:pt>
                <c:pt idx="23" formatCode="0">
                  <c:v>21.53</c:v>
                </c:pt>
                <c:pt idx="24" formatCode="0">
                  <c:v>21.5</c:v>
                </c:pt>
                <c:pt idx="25" formatCode="0">
                  <c:v>18.5</c:v>
                </c:pt>
                <c:pt idx="26" formatCode="0">
                  <c:v>13.06</c:v>
                </c:pt>
                <c:pt idx="27" formatCode="0">
                  <c:v>21.3</c:v>
                </c:pt>
                <c:pt idx="28" formatCode="0">
                  <c:v>16.5</c:v>
                </c:pt>
                <c:pt idx="29" formatCode="0">
                  <c:v>22.2</c:v>
                </c:pt>
                <c:pt idx="30" formatCode="0">
                  <c:v>21.66</c:v>
                </c:pt>
                <c:pt idx="31" formatCode="0">
                  <c:v>5.5</c:v>
                </c:pt>
                <c:pt idx="32" formatCode="0">
                  <c:v>14</c:v>
                </c:pt>
                <c:pt idx="33" formatCode="0">
                  <c:v>14.26</c:v>
                </c:pt>
                <c:pt idx="34" formatCode="0">
                  <c:v>17.990000000000002</c:v>
                </c:pt>
                <c:pt idx="35" formatCode="0">
                  <c:v>11</c:v>
                </c:pt>
                <c:pt idx="36" formatCode="0">
                  <c:v>21.32</c:v>
                </c:pt>
                <c:pt idx="37" formatCode="0">
                  <c:v>23.56</c:v>
                </c:pt>
                <c:pt idx="38" formatCode="0">
                  <c:v>18</c:v>
                </c:pt>
                <c:pt idx="39" formatCode="0">
                  <c:v>18.05</c:v>
                </c:pt>
                <c:pt idx="40" formatCode="0">
                  <c:v>12</c:v>
                </c:pt>
                <c:pt idx="41" formatCode="0">
                  <c:v>17.959999999999997</c:v>
                </c:pt>
                <c:pt idx="42" formatCode="0">
                  <c:v>16</c:v>
                </c:pt>
                <c:pt idx="43" formatCode="0">
                  <c:v>12.5</c:v>
                </c:pt>
                <c:pt idx="44" formatCode="0">
                  <c:v>12</c:v>
                </c:pt>
                <c:pt idx="45" formatCode="0">
                  <c:v>2.5</c:v>
                </c:pt>
                <c:pt idx="46" formatCode="0">
                  <c:v>2</c:v>
                </c:pt>
              </c:numCache>
            </c:numRef>
          </c:val>
        </c:ser>
        <c:dLbls>
          <c:showLegendKey val="0"/>
          <c:showVal val="0"/>
          <c:showCatName val="0"/>
          <c:showSerName val="0"/>
          <c:showPercent val="0"/>
          <c:showBubbleSize val="0"/>
        </c:dLbls>
        <c:gapWidth val="219"/>
        <c:axId val="208888896"/>
        <c:axId val="208889456"/>
      </c:barChart>
      <c:catAx>
        <c:axId val="20888889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b"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8889456"/>
        <c:crosses val="autoZero"/>
        <c:auto val="1"/>
        <c:lblAlgn val="ctr"/>
        <c:lblOffset val="100"/>
        <c:noMultiLvlLbl val="0"/>
      </c:catAx>
      <c:valAx>
        <c:axId val="2088894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8888896"/>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Répartition des agents non titulaires par genre et tranche d'âge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v>Hommes</c:v>
          </c:tx>
          <c:spPr>
            <a:solidFill>
              <a:schemeClr val="bg1">
                <a:lumMod val="65000"/>
              </a:schemeClr>
            </a:solidFill>
            <a:ln>
              <a:noFill/>
            </a:ln>
            <a:effectLst/>
            <a:scene3d>
              <a:camera prst="orthographicFront"/>
              <a:lightRig rig="threePt" dir="t"/>
            </a:scene3d>
            <a:sp3d>
              <a:bevelT/>
            </a:sp3d>
          </c:spPr>
          <c:invertIfNegative val="0"/>
          <c:cat>
            <c:strRef>
              <c:f>'TCD âge'!$M$5:$M$14</c:f>
              <c:strCache>
                <c:ptCount val="10"/>
                <c:pt idx="0">
                  <c:v>&lt; 25 ans</c:v>
                </c:pt>
                <c:pt idx="1">
                  <c:v>de 25 à 29 ans </c:v>
                </c:pt>
                <c:pt idx="2">
                  <c:v>de 30 à 34 ans</c:v>
                </c:pt>
                <c:pt idx="3">
                  <c:v>de 35 à 39 ans</c:v>
                </c:pt>
                <c:pt idx="4">
                  <c:v>de 40 à 44 ans</c:v>
                </c:pt>
                <c:pt idx="5">
                  <c:v>de 45 à 49 ans</c:v>
                </c:pt>
                <c:pt idx="6">
                  <c:v>de 50 à 54 ans</c:v>
                </c:pt>
                <c:pt idx="7">
                  <c:v>de 55 à 59 ans</c:v>
                </c:pt>
                <c:pt idx="8">
                  <c:v>de 60 à 64 ans</c:v>
                </c:pt>
                <c:pt idx="9">
                  <c:v>65 et +</c:v>
                </c:pt>
              </c:strCache>
            </c:strRef>
          </c:cat>
          <c:val>
            <c:numRef>
              <c:f>'TCD âge'!$N$5:$N$14</c:f>
              <c:numCache>
                <c:formatCode>0</c:formatCode>
                <c:ptCount val="10"/>
                <c:pt idx="0">
                  <c:v>6.1190000000000007</c:v>
                </c:pt>
                <c:pt idx="1">
                  <c:v>39.08</c:v>
                </c:pt>
                <c:pt idx="2">
                  <c:v>58.96</c:v>
                </c:pt>
                <c:pt idx="3">
                  <c:v>98.56</c:v>
                </c:pt>
                <c:pt idx="4">
                  <c:v>120.93899999999999</c:v>
                </c:pt>
                <c:pt idx="5">
                  <c:v>91.56</c:v>
                </c:pt>
                <c:pt idx="6">
                  <c:v>73.41</c:v>
                </c:pt>
                <c:pt idx="7">
                  <c:v>91.929999999999993</c:v>
                </c:pt>
                <c:pt idx="8">
                  <c:v>70.459999999999994</c:v>
                </c:pt>
                <c:pt idx="9">
                  <c:v>4.5</c:v>
                </c:pt>
              </c:numCache>
            </c:numRef>
          </c:val>
        </c:ser>
        <c:ser>
          <c:idx val="2"/>
          <c:order val="2"/>
          <c:tx>
            <c:v>Femmes</c:v>
          </c:tx>
          <c:spPr>
            <a:solidFill>
              <a:srgbClr val="FF00FF"/>
            </a:solidFill>
            <a:ln>
              <a:noFill/>
            </a:ln>
            <a:effectLst/>
            <a:scene3d>
              <a:camera prst="orthographicFront"/>
              <a:lightRig rig="threePt" dir="t"/>
            </a:scene3d>
            <a:sp3d>
              <a:bevelT/>
            </a:sp3d>
          </c:spPr>
          <c:invertIfNegative val="0"/>
          <c:cat>
            <c:strRef>
              <c:f>'TCD âge'!$M$5:$M$14</c:f>
              <c:strCache>
                <c:ptCount val="10"/>
                <c:pt idx="0">
                  <c:v>&lt; 25 ans</c:v>
                </c:pt>
                <c:pt idx="1">
                  <c:v>de 25 à 29 ans </c:v>
                </c:pt>
                <c:pt idx="2">
                  <c:v>de 30 à 34 ans</c:v>
                </c:pt>
                <c:pt idx="3">
                  <c:v>de 35 à 39 ans</c:v>
                </c:pt>
                <c:pt idx="4">
                  <c:v>de 40 à 44 ans</c:v>
                </c:pt>
                <c:pt idx="5">
                  <c:v>de 45 à 49 ans</c:v>
                </c:pt>
                <c:pt idx="6">
                  <c:v>de 50 à 54 ans</c:v>
                </c:pt>
                <c:pt idx="7">
                  <c:v>de 55 à 59 ans</c:v>
                </c:pt>
                <c:pt idx="8">
                  <c:v>de 60 à 64 ans</c:v>
                </c:pt>
                <c:pt idx="9">
                  <c:v>65 et +</c:v>
                </c:pt>
              </c:strCache>
            </c:strRef>
          </c:cat>
          <c:val>
            <c:numRef>
              <c:f>'TCD âge'!$P$5:$P$14</c:f>
              <c:numCache>
                <c:formatCode>0</c:formatCode>
                <c:ptCount val="10"/>
                <c:pt idx="0">
                  <c:v>16</c:v>
                </c:pt>
                <c:pt idx="1">
                  <c:v>68.42</c:v>
                </c:pt>
                <c:pt idx="2">
                  <c:v>103.47049999999999</c:v>
                </c:pt>
                <c:pt idx="3">
                  <c:v>85.8</c:v>
                </c:pt>
                <c:pt idx="4">
                  <c:v>103.349</c:v>
                </c:pt>
                <c:pt idx="5">
                  <c:v>106.459</c:v>
                </c:pt>
                <c:pt idx="6">
                  <c:v>88.991</c:v>
                </c:pt>
                <c:pt idx="7">
                  <c:v>83.36999999999999</c:v>
                </c:pt>
                <c:pt idx="8">
                  <c:v>76.588999999999999</c:v>
                </c:pt>
                <c:pt idx="9">
                  <c:v>4</c:v>
                </c:pt>
              </c:numCache>
            </c:numRef>
          </c:val>
        </c:ser>
        <c:dLbls>
          <c:showLegendKey val="0"/>
          <c:showVal val="0"/>
          <c:showCatName val="0"/>
          <c:showSerName val="0"/>
          <c:showPercent val="0"/>
          <c:showBubbleSize val="0"/>
        </c:dLbls>
        <c:gapWidth val="150"/>
        <c:overlap val="100"/>
        <c:axId val="208893376"/>
        <c:axId val="208893936"/>
        <c:extLst>
          <c:ext xmlns:c15="http://schemas.microsoft.com/office/drawing/2012/chart" uri="{02D57815-91ED-43cb-92C2-25804820EDAC}">
            <c15:filteredBarSeries>
              <c15:ser>
                <c:idx val="1"/>
                <c:order val="1"/>
                <c:tx>
                  <c:strRef>
                    <c:extLst>
                      <c:ext uri="{02D57815-91ED-43cb-92C2-25804820EDAC}">
                        <c15:formulaRef>
                          <c15:sqref>'TCD âge'!$O$3:$O$4</c15:sqref>
                        </c15:formulaRef>
                      </c:ext>
                    </c:extLst>
                    <c:strCache>
                      <c:ptCount val="2"/>
                      <c:pt idx="0">
                        <c:v>Hommes</c:v>
                      </c:pt>
                      <c:pt idx="1">
                        <c:v>%</c:v>
                      </c:pt>
                    </c:strCache>
                  </c:strRef>
                </c:tx>
                <c:spPr>
                  <a:solidFill>
                    <a:schemeClr val="accent2"/>
                  </a:solidFill>
                  <a:ln>
                    <a:noFill/>
                  </a:ln>
                  <a:effectLst/>
                </c:spPr>
                <c:invertIfNegative val="0"/>
                <c:cat>
                  <c:strRef>
                    <c:extLst>
                      <c:ext uri="{02D57815-91ED-43cb-92C2-25804820EDAC}">
                        <c15:formulaRef>
                          <c15:sqref>'TCD âge'!$M$5:$M$14</c15:sqref>
                        </c15:formulaRef>
                      </c:ext>
                    </c:extLst>
                    <c:strCache>
                      <c:ptCount val="10"/>
                      <c:pt idx="0">
                        <c:v>&lt; 25 ans</c:v>
                      </c:pt>
                      <c:pt idx="1">
                        <c:v>de 25 à 29 ans </c:v>
                      </c:pt>
                      <c:pt idx="2">
                        <c:v>de 30 à 34 ans</c:v>
                      </c:pt>
                      <c:pt idx="3">
                        <c:v>de 35 à 39 ans</c:v>
                      </c:pt>
                      <c:pt idx="4">
                        <c:v>de 40 à 44 ans</c:v>
                      </c:pt>
                      <c:pt idx="5">
                        <c:v>de 45 à 49 ans</c:v>
                      </c:pt>
                      <c:pt idx="6">
                        <c:v>de 50 à 54 ans</c:v>
                      </c:pt>
                      <c:pt idx="7">
                        <c:v>de 55 à 59 ans</c:v>
                      </c:pt>
                      <c:pt idx="8">
                        <c:v>de 60 à 64 ans</c:v>
                      </c:pt>
                      <c:pt idx="9">
                        <c:v>65 et +</c:v>
                      </c:pt>
                    </c:strCache>
                  </c:strRef>
                </c:cat>
                <c:val>
                  <c:numRef>
                    <c:extLst>
                      <c:ext uri="{02D57815-91ED-43cb-92C2-25804820EDAC}">
                        <c15:formulaRef>
                          <c15:sqref>'TCD âge'!$O$5:$O$14</c15:sqref>
                        </c15:formulaRef>
                      </c:ext>
                    </c:extLst>
                    <c:numCache>
                      <c:formatCode>0%</c:formatCode>
                      <c:ptCount val="10"/>
                      <c:pt idx="0">
                        <c:v>0.27663999276639994</c:v>
                      </c:pt>
                      <c:pt idx="1">
                        <c:v>0.36353488372093024</c:v>
                      </c:pt>
                      <c:pt idx="2">
                        <c:v>0.36298601555742305</c:v>
                      </c:pt>
                      <c:pt idx="3">
                        <c:v>0.53460620525059666</c:v>
                      </c:pt>
                      <c:pt idx="4">
                        <c:v>0.53921297617349118</c:v>
                      </c:pt>
                      <c:pt idx="5">
                        <c:v>0.46237987263848418</c:v>
                      </c:pt>
                      <c:pt idx="6">
                        <c:v>0.45202923627317559</c:v>
                      </c:pt>
                      <c:pt idx="7">
                        <c:v>0.52441528807758131</c:v>
                      </c:pt>
                      <c:pt idx="8">
                        <c:v>0.47916000788852697</c:v>
                      </c:pt>
                      <c:pt idx="9">
                        <c:v>0.52941176470588236</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'TCD âge'!$Q$3:$Q$4</c15:sqref>
                        </c15:formulaRef>
                      </c:ext>
                    </c:extLst>
                    <c:strCache>
                      <c:ptCount val="2"/>
                      <c:pt idx="0">
                        <c:v>Femmes</c:v>
                      </c:pt>
                      <c:pt idx="1">
                        <c:v>%</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'TCD âge'!$M$5:$M$14</c15:sqref>
                        </c15:formulaRef>
                      </c:ext>
                    </c:extLst>
                    <c:strCache>
                      <c:ptCount val="10"/>
                      <c:pt idx="0">
                        <c:v>&lt; 25 ans</c:v>
                      </c:pt>
                      <c:pt idx="1">
                        <c:v>de 25 à 29 ans </c:v>
                      </c:pt>
                      <c:pt idx="2">
                        <c:v>de 30 à 34 ans</c:v>
                      </c:pt>
                      <c:pt idx="3">
                        <c:v>de 35 à 39 ans</c:v>
                      </c:pt>
                      <c:pt idx="4">
                        <c:v>de 40 à 44 ans</c:v>
                      </c:pt>
                      <c:pt idx="5">
                        <c:v>de 45 à 49 ans</c:v>
                      </c:pt>
                      <c:pt idx="6">
                        <c:v>de 50 à 54 ans</c:v>
                      </c:pt>
                      <c:pt idx="7">
                        <c:v>de 55 à 59 ans</c:v>
                      </c:pt>
                      <c:pt idx="8">
                        <c:v>de 60 à 64 ans</c:v>
                      </c:pt>
                      <c:pt idx="9">
                        <c:v>65 et +</c:v>
                      </c:pt>
                    </c:strCache>
                  </c:strRef>
                </c:cat>
                <c:val>
                  <c:numRef>
                    <c:extLst xmlns:c15="http://schemas.microsoft.com/office/drawing/2012/chart">
                      <c:ext xmlns:c15="http://schemas.microsoft.com/office/drawing/2012/chart" uri="{02D57815-91ED-43cb-92C2-25804820EDAC}">
                        <c15:formulaRef>
                          <c15:sqref>'TCD âge'!$Q$5:$Q$14</c15:sqref>
                        </c15:formulaRef>
                      </c:ext>
                    </c:extLst>
                    <c:numCache>
                      <c:formatCode>0%</c:formatCode>
                      <c:ptCount val="10"/>
                      <c:pt idx="0">
                        <c:v>0.72336000723360006</c:v>
                      </c:pt>
                      <c:pt idx="1">
                        <c:v>0.63646511627906976</c:v>
                      </c:pt>
                      <c:pt idx="2">
                        <c:v>0.63701398444257695</c:v>
                      </c:pt>
                      <c:pt idx="3">
                        <c:v>0.46539379474940329</c:v>
                      </c:pt>
                      <c:pt idx="4">
                        <c:v>0.46078702382650877</c:v>
                      </c:pt>
                      <c:pt idx="5">
                        <c:v>0.53762012736151576</c:v>
                      </c:pt>
                      <c:pt idx="6">
                        <c:v>0.54797076372682429</c:v>
                      </c:pt>
                      <c:pt idx="7">
                        <c:v>0.47558471192241869</c:v>
                      </c:pt>
                      <c:pt idx="8">
                        <c:v>0.52083999211147314</c:v>
                      </c:pt>
                      <c:pt idx="9">
                        <c:v>0.47058823529411764</c:v>
                      </c:pt>
                    </c:numCache>
                  </c:numRef>
                </c:val>
              </c15:ser>
            </c15:filteredBarSeries>
          </c:ext>
        </c:extLst>
      </c:barChart>
      <c:catAx>
        <c:axId val="20889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208893936"/>
        <c:crosses val="autoZero"/>
        <c:auto val="1"/>
        <c:lblAlgn val="ctr"/>
        <c:lblOffset val="100"/>
        <c:noMultiLvlLbl val="0"/>
      </c:catAx>
      <c:valAx>
        <c:axId val="208893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88933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641426071741032"/>
          <c:y val="7.407407407407407E-2"/>
          <c:w val="0.7314350393700787"/>
          <c:h val="0.73577136191309422"/>
        </c:manualLayout>
      </c:layout>
      <c:lineChart>
        <c:grouping val="standard"/>
        <c:varyColors val="0"/>
        <c:ser>
          <c:idx val="0"/>
          <c:order val="0"/>
          <c:tx>
            <c:strRef>
              <c:f>Feuil1!$A$2</c:f>
              <c:strCache>
                <c:ptCount val="1"/>
                <c:pt idx="0">
                  <c:v>Contribution FIPHFP</c:v>
                </c:pt>
              </c:strCache>
            </c:strRef>
          </c:tx>
          <c:spPr>
            <a:ln w="28575" cap="rnd">
              <a:solidFill>
                <a:srgbClr val="E917DF"/>
              </a:solidFill>
              <a:round/>
            </a:ln>
            <a:effectLst/>
          </c:spPr>
          <c:marker>
            <c:symbol val="circle"/>
            <c:size val="5"/>
            <c:spPr>
              <a:solidFill>
                <a:srgbClr val="E917DF"/>
              </a:solidFill>
              <a:ln w="9525">
                <a:solidFill>
                  <a:srgbClr val="FF0066"/>
                </a:solidFill>
              </a:ln>
              <a:effectLst/>
              <a:scene3d>
                <a:camera prst="orthographicFront"/>
                <a:lightRig rig="threePt" dir="t"/>
              </a:scene3d>
              <a:sp3d>
                <a:bevelT/>
              </a:sp3d>
            </c:spPr>
          </c:marker>
          <c:cat>
            <c:numRef>
              <c:f>Feuil1!$B$1:$E$1</c:f>
              <c:numCache>
                <c:formatCode>General</c:formatCode>
                <c:ptCount val="4"/>
                <c:pt idx="0">
                  <c:v>2010</c:v>
                </c:pt>
                <c:pt idx="1">
                  <c:v>2011</c:v>
                </c:pt>
                <c:pt idx="2">
                  <c:v>2012</c:v>
                </c:pt>
                <c:pt idx="3">
                  <c:v>2013</c:v>
                </c:pt>
              </c:numCache>
            </c:numRef>
          </c:cat>
          <c:val>
            <c:numRef>
              <c:f>Feuil1!$B$2:$E$2</c:f>
              <c:numCache>
                <c:formatCode>_-* #,##0\ "€"_-;\-* #,##0\ "€"_-;_-* "-"??\ "€"_-;_-@_-</c:formatCode>
                <c:ptCount val="4"/>
                <c:pt idx="0">
                  <c:v>1480636.34</c:v>
                </c:pt>
                <c:pt idx="1">
                  <c:v>1189554</c:v>
                </c:pt>
                <c:pt idx="2">
                  <c:v>951478</c:v>
                </c:pt>
                <c:pt idx="3">
                  <c:v>758466</c:v>
                </c:pt>
              </c:numCache>
            </c:numRef>
          </c:val>
          <c:smooth val="0"/>
        </c:ser>
        <c:dLbls>
          <c:showLegendKey val="0"/>
          <c:showVal val="0"/>
          <c:showCatName val="0"/>
          <c:showSerName val="0"/>
          <c:showPercent val="0"/>
          <c:showBubbleSize val="0"/>
        </c:dLbls>
        <c:marker val="1"/>
        <c:smooth val="0"/>
        <c:axId val="211100768"/>
        <c:axId val="211101328"/>
      </c:lineChart>
      <c:lineChart>
        <c:grouping val="standard"/>
        <c:varyColors val="0"/>
        <c:ser>
          <c:idx val="1"/>
          <c:order val="1"/>
          <c:tx>
            <c:strRef>
              <c:f>Feuil1!$A$3</c:f>
              <c:strCache>
                <c:ptCount val="1"/>
                <c:pt idx="0">
                  <c:v>Taux d'emploi légal</c:v>
                </c:pt>
              </c:strCache>
            </c:strRef>
          </c:tx>
          <c:spPr>
            <a:ln w="28575" cap="rnd">
              <a:solidFill>
                <a:schemeClr val="bg1">
                  <a:lumMod val="65000"/>
                </a:schemeClr>
              </a:solidFill>
              <a:round/>
            </a:ln>
            <a:effectLst/>
          </c:spPr>
          <c:marker>
            <c:symbol val="circle"/>
            <c:size val="5"/>
            <c:spPr>
              <a:solidFill>
                <a:schemeClr val="bg1">
                  <a:lumMod val="65000"/>
                </a:schemeClr>
              </a:solidFill>
              <a:ln w="9525">
                <a:solidFill>
                  <a:schemeClr val="bg1">
                    <a:lumMod val="50000"/>
                  </a:schemeClr>
                </a:solidFill>
              </a:ln>
              <a:effectLst/>
              <a:scene3d>
                <a:camera prst="orthographicFront"/>
                <a:lightRig rig="threePt" dir="t"/>
              </a:scene3d>
              <a:sp3d>
                <a:bevelT/>
              </a:sp3d>
            </c:spPr>
          </c:marker>
          <c:cat>
            <c:numRef>
              <c:f>Feuil1!$B$1:$E$1</c:f>
              <c:numCache>
                <c:formatCode>General</c:formatCode>
                <c:ptCount val="4"/>
                <c:pt idx="0">
                  <c:v>2010</c:v>
                </c:pt>
                <c:pt idx="1">
                  <c:v>2011</c:v>
                </c:pt>
                <c:pt idx="2">
                  <c:v>2012</c:v>
                </c:pt>
                <c:pt idx="3">
                  <c:v>2013</c:v>
                </c:pt>
              </c:numCache>
            </c:numRef>
          </c:cat>
          <c:val>
            <c:numRef>
              <c:f>Feuil1!$B$3:$E$3</c:f>
              <c:numCache>
                <c:formatCode>0.00%</c:formatCode>
                <c:ptCount val="4"/>
                <c:pt idx="0">
                  <c:v>3.5700000000000003E-2</c:v>
                </c:pt>
                <c:pt idx="1">
                  <c:v>4.1200000000000001E-2</c:v>
                </c:pt>
                <c:pt idx="2">
                  <c:v>4.4900000000000002E-2</c:v>
                </c:pt>
                <c:pt idx="3">
                  <c:v>4.7899999999999998E-2</c:v>
                </c:pt>
              </c:numCache>
            </c:numRef>
          </c:val>
          <c:smooth val="0"/>
        </c:ser>
        <c:dLbls>
          <c:showLegendKey val="0"/>
          <c:showVal val="0"/>
          <c:showCatName val="0"/>
          <c:showSerName val="0"/>
          <c:showPercent val="0"/>
          <c:showBubbleSize val="0"/>
        </c:dLbls>
        <c:marker val="1"/>
        <c:smooth val="0"/>
        <c:axId val="211102448"/>
        <c:axId val="211101888"/>
      </c:lineChart>
      <c:catAx>
        <c:axId val="21110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1101328"/>
        <c:crosses val="autoZero"/>
        <c:auto val="1"/>
        <c:lblAlgn val="ctr"/>
        <c:lblOffset val="100"/>
        <c:noMultiLvlLbl val="0"/>
      </c:catAx>
      <c:valAx>
        <c:axId val="211101328"/>
        <c:scaling>
          <c:orientation val="minMax"/>
        </c:scaling>
        <c:delete val="0"/>
        <c:axPos val="l"/>
        <c:majorGridlines>
          <c:spPr>
            <a:ln w="9525" cap="flat" cmpd="sng" algn="ctr">
              <a:solidFill>
                <a:schemeClr val="tx1">
                  <a:lumMod val="15000"/>
                  <a:lumOff val="85000"/>
                </a:schemeClr>
              </a:solidFill>
              <a:round/>
            </a:ln>
            <a:effectLst/>
          </c:spPr>
        </c:majorGridlines>
        <c:numFmt formatCode="_-* #,##0\ &quot;€&quot;_-;\-* #,##0\ &quot;€&quot;_-;_-* &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1100768"/>
        <c:crosses val="autoZero"/>
        <c:crossBetween val="between"/>
      </c:valAx>
      <c:valAx>
        <c:axId val="211101888"/>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1102448"/>
        <c:crosses val="max"/>
        <c:crossBetween val="between"/>
      </c:valAx>
      <c:catAx>
        <c:axId val="211102448"/>
        <c:scaling>
          <c:orientation val="minMax"/>
        </c:scaling>
        <c:delete val="1"/>
        <c:axPos val="b"/>
        <c:numFmt formatCode="General" sourceLinked="1"/>
        <c:majorTickMark val="out"/>
        <c:minorTickMark val="none"/>
        <c:tickLblPos val="nextTo"/>
        <c:crossAx val="211101888"/>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Arial"/>
                <a:ea typeface="Arial"/>
                <a:cs typeface="Arial"/>
              </a:defRPr>
            </a:pPr>
            <a:r>
              <a:rPr lang="fr-FR" sz="1100" baseline="0"/>
              <a:t>Répartition hommes/femmes au 31/12/2013</a:t>
            </a:r>
          </a:p>
        </c:rich>
      </c:tx>
      <c:layout>
        <c:manualLayout>
          <c:xMode val="edge"/>
          <c:yMode val="edge"/>
          <c:x val="0.21420668185421249"/>
          <c:y val="2.8635292858627492E-2"/>
        </c:manualLayout>
      </c:layout>
      <c:overlay val="0"/>
      <c:spPr>
        <a:noFill/>
        <a:ln w="25400">
          <a:noFill/>
        </a:ln>
      </c:spPr>
    </c:title>
    <c:autoTitleDeleted val="0"/>
    <c:plotArea>
      <c:layout>
        <c:manualLayout>
          <c:layoutTarget val="inner"/>
          <c:xMode val="edge"/>
          <c:yMode val="edge"/>
          <c:x val="0.34898841425686306"/>
          <c:y val="0.20925907939921606"/>
          <c:w val="0.34537764006935961"/>
          <c:h val="0.63217801519303485"/>
        </c:manualLayout>
      </c:layout>
      <c:doughnutChart>
        <c:varyColors val="1"/>
        <c:ser>
          <c:idx val="0"/>
          <c:order val="0"/>
          <c:spPr>
            <a:solidFill>
              <a:srgbClr val="9999FF"/>
            </a:solidFill>
            <a:ln w="12700">
              <a:solidFill>
                <a:srgbClr val="000000"/>
              </a:solidFill>
              <a:prstDash val="solid"/>
            </a:ln>
            <a:scene3d>
              <a:camera prst="orthographicFront"/>
              <a:lightRig rig="threePt" dir="t"/>
            </a:scene3d>
            <a:sp3d>
              <a:bevelT/>
            </a:sp3d>
          </c:spPr>
          <c:explosion val="19"/>
          <c:dPt>
            <c:idx val="0"/>
            <c:bubble3D val="0"/>
            <c:spPr>
              <a:solidFill>
                <a:srgbClr val="C0C0C0"/>
              </a:solidFill>
              <a:ln w="25400">
                <a:noFill/>
              </a:ln>
              <a:scene3d>
                <a:camera prst="orthographicFront"/>
                <a:lightRig rig="threePt" dir="t"/>
              </a:scene3d>
              <a:sp3d>
                <a:bevelT/>
              </a:sp3d>
            </c:spPr>
          </c:dPt>
          <c:dPt>
            <c:idx val="1"/>
            <c:bubble3D val="0"/>
            <c:spPr>
              <a:solidFill>
                <a:srgbClr val="FF00FF"/>
              </a:solidFill>
              <a:ln w="25400">
                <a:noFill/>
              </a:ln>
              <a:scene3d>
                <a:camera prst="orthographicFront"/>
                <a:lightRig rig="threePt" dir="t"/>
              </a:scene3d>
              <a:sp3d>
                <a:bevelT/>
              </a:sp3d>
            </c:spPr>
          </c:dPt>
          <c:dLbls>
            <c:dLbl>
              <c:idx val="0"/>
              <c:layout>
                <c:manualLayout>
                  <c:x val="-8.4235860409145602E-2"/>
                  <c:y val="2.202643171806167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8.6642599277978433E-2"/>
                  <c:y val="-4.8458149779735685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lgn="ctr" rtl="1">
                  <a:defRPr sz="11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extLst>
          </c:dLbls>
          <c:cat>
            <c:strRef>
              <c:f>(Graph!$AC$16,Graph!$AE$16)</c:f>
              <c:strCache>
                <c:ptCount val="2"/>
                <c:pt idx="0">
                  <c:v>Hommes</c:v>
                </c:pt>
                <c:pt idx="1">
                  <c:v>Femmes</c:v>
                </c:pt>
              </c:strCache>
            </c:strRef>
          </c:cat>
          <c:val>
            <c:numRef>
              <c:f>(Graph!$AC$21,Graph!$AE$21)</c:f>
              <c:numCache>
                <c:formatCode>0%</c:formatCode>
                <c:ptCount val="2"/>
                <c:pt idx="0">
                  <c:v>0.46877636654352034</c:v>
                </c:pt>
                <c:pt idx="1">
                  <c:v>0.5312236334564796</c:v>
                </c:pt>
              </c:numCache>
            </c:numRef>
          </c:val>
        </c:ser>
        <c:dLbls>
          <c:showLegendKey val="0"/>
          <c:showVal val="1"/>
          <c:showCatName val="0"/>
          <c:showSerName val="0"/>
          <c:showPercent val="0"/>
          <c:showBubbleSize val="0"/>
          <c:showLeaderLines val="0"/>
        </c:dLbls>
        <c:firstSliceAng val="170"/>
        <c:holeSize val="50"/>
      </c:doughnutChart>
      <c:spPr>
        <a:noFill/>
        <a:ln w="25400">
          <a:noFill/>
        </a:ln>
      </c:spPr>
    </c:plotArea>
    <c:legend>
      <c:legendPos val="b"/>
      <c:layout>
        <c:manualLayout>
          <c:xMode val="edge"/>
          <c:yMode val="edge"/>
          <c:x val="0.39712082018628531"/>
          <c:y val="0.87007319019043328"/>
          <c:w val="0.2888041160919867"/>
          <c:h val="7.5648132089215711E-2"/>
        </c:manualLayout>
      </c:layout>
      <c:overlay val="0"/>
      <c:spPr>
        <a:solidFill>
          <a:srgbClr val="FFFFFF"/>
        </a:solidFill>
        <a:ln w="25400">
          <a:noFill/>
        </a:ln>
      </c:spPr>
      <c:txPr>
        <a:bodyPr/>
        <a:lstStyle/>
        <a:p>
          <a:pPr>
            <a:defRPr sz="1010"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6350">
      <a:noFill/>
    </a:ln>
  </c:spPr>
  <c:txPr>
    <a:bodyPr/>
    <a:lstStyle/>
    <a:p>
      <a:pPr>
        <a:defRPr sz="900" b="0" i="0" u="none" strike="noStrike" baseline="0">
          <a:solidFill>
            <a:srgbClr val="000000"/>
          </a:solidFill>
          <a:latin typeface="Arial"/>
          <a:ea typeface="Arial"/>
          <a:cs typeface="Arial"/>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nchor="t" anchorCtr="0"/>
          <a:lstStyle/>
          <a:p>
            <a:pPr>
              <a:defRPr sz="1100" b="1" i="0" u="none" strike="noStrike" baseline="0">
                <a:solidFill>
                  <a:srgbClr val="000000"/>
                </a:solidFill>
                <a:latin typeface="Arial"/>
                <a:ea typeface="Arial"/>
                <a:cs typeface="Arial"/>
              </a:defRPr>
            </a:pPr>
            <a:r>
              <a:rPr lang="fr-FR" sz="950"/>
              <a:t>Effectifs ventilés par statut et type de structure au 
31/12/2013</a:t>
            </a:r>
            <a:r>
              <a:rPr lang="fr-FR"/>
              <a:t>
</a:t>
            </a:r>
          </a:p>
        </c:rich>
      </c:tx>
      <c:layout>
        <c:manualLayout>
          <c:xMode val="edge"/>
          <c:yMode val="edge"/>
          <c:x val="0.13804332984388512"/>
          <c:y val="1.3906977843985717E-2"/>
        </c:manualLayout>
      </c:layout>
      <c:overlay val="0"/>
      <c:spPr>
        <a:noFill/>
        <a:ln w="25400">
          <a:noFill/>
        </a:ln>
      </c:spPr>
    </c:title>
    <c:autoTitleDeleted val="0"/>
    <c:plotArea>
      <c:layout>
        <c:manualLayout>
          <c:layoutTarget val="inner"/>
          <c:xMode val="edge"/>
          <c:yMode val="edge"/>
          <c:x val="0.13008548587739163"/>
          <c:y val="0.24295090630449717"/>
          <c:w val="0.68294880085630616"/>
          <c:h val="0.65817597124683735"/>
        </c:manualLayout>
      </c:layout>
      <c:barChart>
        <c:barDir val="col"/>
        <c:grouping val="percentStacked"/>
        <c:varyColors val="0"/>
        <c:ser>
          <c:idx val="0"/>
          <c:order val="0"/>
          <c:tx>
            <c:v>Titulaires</c:v>
          </c:tx>
          <c:spPr>
            <a:solidFill>
              <a:schemeClr val="bg1">
                <a:lumMod val="75000"/>
              </a:schemeClr>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lgn="ctr" rtl="1">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([1]Graph.!$D$2,[1]Graph.!$I$2,[1]Graph.!$N$2,[1]Graph.!$S$2,[1]Graph.!$X$2)</c:f>
              <c:strCache>
                <c:ptCount val="5"/>
                <c:pt idx="0">
                  <c:v>AC</c:v>
                </c:pt>
                <c:pt idx="1">
                  <c:v>EPA</c:v>
                </c:pt>
                <c:pt idx="2">
                  <c:v>SCN</c:v>
                </c:pt>
                <c:pt idx="3">
                  <c:v>DRAC</c:v>
                </c:pt>
                <c:pt idx="4">
                  <c:v>AD/BMC</c:v>
                </c:pt>
              </c:strCache>
            </c:strRef>
          </c:cat>
          <c:val>
            <c:numRef>
              <c:f>([1]Graph.!$F$6,[1]Graph.!$K$6,[1]Graph.!$P$6,[1]Graph.!$U$6,[1]Graph.!$Z$6)</c:f>
              <c:numCache>
                <c:formatCode>0</c:formatCode>
                <c:ptCount val="5"/>
                <c:pt idx="0">
                  <c:v>1381.6</c:v>
                </c:pt>
                <c:pt idx="1">
                  <c:v>3900.5</c:v>
                </c:pt>
                <c:pt idx="2">
                  <c:v>1596</c:v>
                </c:pt>
                <c:pt idx="3">
                  <c:v>2214</c:v>
                </c:pt>
                <c:pt idx="4">
                  <c:v>275.89999999999998</c:v>
                </c:pt>
              </c:numCache>
            </c:numRef>
          </c:val>
        </c:ser>
        <c:ser>
          <c:idx val="1"/>
          <c:order val="1"/>
          <c:tx>
            <c:v>CDI</c:v>
          </c:tx>
          <c:spPr>
            <a:solidFill>
              <a:srgbClr val="FF00FF"/>
            </a:solidFill>
            <a:ln w="25400">
              <a:noFill/>
            </a:ln>
            <a:scene3d>
              <a:camera prst="orthographicFront"/>
              <a:lightRig rig="threePt" dir="t"/>
            </a:scene3d>
            <a:sp3d>
              <a:bevelT/>
            </a:sp3d>
          </c:spPr>
          <c:invertIfNegative val="0"/>
          <c:dLbls>
            <c:dLbl>
              <c:idx val="0"/>
              <c:spPr>
                <a:noFill/>
                <a:ln w="25400">
                  <a:noFill/>
                </a:ln>
                <a:scene3d>
                  <a:camera prst="orthographicFront"/>
                  <a:lightRig rig="threePt" dir="t"/>
                </a:scene3d>
                <a:sp3d>
                  <a:bevelT w="6350"/>
                </a:sp3d>
              </c:spPr>
              <c:txPr>
                <a:bodyPr/>
                <a:lstStyle/>
                <a:p>
                  <a:pPr algn="ctr" rtl="1">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dLbl>
            <c:dLbl>
              <c:idx val="1"/>
              <c:layout>
                <c:manualLayout>
                  <c:x val="4.4463844317484402E-3"/>
                  <c:y val="3.2276759356805962E-2"/>
                </c:manualLayout>
              </c:layout>
              <c:spPr>
                <a:noFill/>
                <a:ln w="25400">
                  <a:noFill/>
                </a:ln>
                <a:scene3d>
                  <a:camera prst="orthographicFront"/>
                  <a:lightRig rig="threePt" dir="t"/>
                </a:scene3d>
                <a:sp3d>
                  <a:bevelT w="6350"/>
                </a:sp3d>
              </c:spPr>
              <c:txPr>
                <a:bodyPr/>
                <a:lstStyle/>
                <a:p>
                  <a:pPr algn="ctr" rtl="1">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7019701894886468E-3"/>
                  <c:y val="4.2219868986087927E-2"/>
                </c:manualLayout>
              </c:layout>
              <c:spPr>
                <a:noFill/>
                <a:ln w="25400">
                  <a:noFill/>
                </a:ln>
                <a:scene3d>
                  <a:camera prst="orthographicFront"/>
                  <a:lightRig rig="threePt" dir="t"/>
                </a:scene3d>
                <a:sp3d>
                  <a:bevelT w="6350"/>
                </a:sp3d>
              </c:spPr>
              <c:txPr>
                <a:bodyPr/>
                <a:lstStyle/>
                <a:p>
                  <a:pPr algn="ctr" rtl="1">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2955240003955675E-3"/>
                  <c:y val="3.4265856907036318E-2"/>
                </c:manualLayout>
              </c:layout>
              <c:spPr>
                <a:noFill/>
                <a:ln w="25400">
                  <a:noFill/>
                </a:ln>
                <a:scene3d>
                  <a:camera prst="orthographicFront"/>
                  <a:lightRig rig="threePt" dir="t"/>
                </a:scene3d>
                <a:sp3d>
                  <a:bevelT w="6350"/>
                </a:sp3d>
              </c:spPr>
              <c:txPr>
                <a:bodyPr/>
                <a:lstStyle/>
                <a:p>
                  <a:pPr algn="ctr" rtl="1">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6.5839069999059641E-3"/>
                  <c:y val="-2.8747436502108481E-2"/>
                </c:manualLayout>
              </c:layout>
              <c:spPr>
                <a:noFill/>
                <a:ln w="25400">
                  <a:noFill/>
                </a:ln>
                <a:scene3d>
                  <a:camera prst="orthographicFront"/>
                  <a:lightRig rig="threePt" dir="t"/>
                </a:scene3d>
                <a:sp3d>
                  <a:bevelT w="6350"/>
                </a:sp3d>
              </c:spPr>
              <c:txPr>
                <a:bodyPr/>
                <a:lstStyle/>
                <a:p>
                  <a:pPr algn="ctr" rtl="1">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a:scene3d>
                <a:camera prst="orthographicFront"/>
                <a:lightRig rig="threePt" dir="t"/>
              </a:scene3d>
              <a:sp3d>
                <a:bevelT w="6350"/>
              </a:sp3d>
            </c:spPr>
            <c:txPr>
              <a:bodyPr wrap="square" lIns="38100" tIns="19050" rIns="38100" bIns="19050" anchor="ctr">
                <a:spAutoFit/>
              </a:bodyPr>
              <a:lstStyle/>
              <a:p>
                <a:pPr algn="ctr" rtl="1">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([1]Graph.!$D$2,[1]Graph.!$I$2,[1]Graph.!$N$2,[1]Graph.!$S$2,[1]Graph.!$X$2)</c:f>
              <c:strCache>
                <c:ptCount val="5"/>
                <c:pt idx="0">
                  <c:v>AC</c:v>
                </c:pt>
                <c:pt idx="1">
                  <c:v>EPA</c:v>
                </c:pt>
                <c:pt idx="2">
                  <c:v>SCN</c:v>
                </c:pt>
                <c:pt idx="3">
                  <c:v>DRAC</c:v>
                </c:pt>
                <c:pt idx="4">
                  <c:v>AD/BMC</c:v>
                </c:pt>
              </c:strCache>
            </c:strRef>
          </c:cat>
          <c:val>
            <c:numRef>
              <c:f>([1]Graph.!$F$7,[1]Graph.!$K$7,[1]Graph.!$P$7,[1]Graph.!$U$7,[1]Graph.!$Z$7)</c:f>
              <c:numCache>
                <c:formatCode>0</c:formatCode>
                <c:ptCount val="5"/>
                <c:pt idx="0">
                  <c:v>323.98</c:v>
                </c:pt>
                <c:pt idx="1">
                  <c:v>144.50900000000001</c:v>
                </c:pt>
                <c:pt idx="2">
                  <c:v>92.649000000000001</c:v>
                </c:pt>
                <c:pt idx="3">
                  <c:v>97.68</c:v>
                </c:pt>
                <c:pt idx="4">
                  <c:v>2</c:v>
                </c:pt>
              </c:numCache>
            </c:numRef>
          </c:val>
        </c:ser>
        <c:ser>
          <c:idx val="2"/>
          <c:order val="2"/>
          <c:tx>
            <c:v>CDD</c:v>
          </c:tx>
          <c:spPr>
            <a:solidFill>
              <a:srgbClr val="FF99CC"/>
            </a:solidFill>
            <a:ln w="25400">
              <a:noFill/>
            </a:ln>
            <a:scene3d>
              <a:camera prst="orthographicFront"/>
              <a:lightRig rig="threePt" dir="t"/>
            </a:scene3d>
            <a:sp3d>
              <a:bevelT/>
            </a:sp3d>
          </c:spPr>
          <c:invertIfNegative val="0"/>
          <c:dLbls>
            <c:dLbl>
              <c:idx val="0"/>
              <c:layout>
                <c:manualLayout>
                  <c:x val="1.9625870465613763E-3"/>
                  <c:y val="-6.8872336903833001E-2"/>
                </c:manualLayout>
              </c:layout>
              <c:spPr>
                <a:noFill/>
                <a:ln w="25400">
                  <a:noFill/>
                </a:ln>
                <a:scene3d>
                  <a:camera prst="orthographicFront"/>
                  <a:lightRig rig="threePt" dir="t"/>
                </a:scene3d>
                <a:sp3d>
                  <a:bevelT/>
                </a:sp3d>
              </c:spPr>
              <c:txPr>
                <a:bodyPr/>
                <a:lstStyle/>
                <a:p>
                  <a:pPr algn="ctr" rtl="1">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5561421874288836E-3"/>
                  <c:y val="-5.3462675273698898E-2"/>
                </c:manualLayout>
              </c:layout>
              <c:spPr>
                <a:noFill/>
                <a:ln w="25400">
                  <a:noFill/>
                </a:ln>
                <a:scene3d>
                  <a:camera prst="orthographicFront"/>
                  <a:lightRig rig="threePt" dir="t"/>
                </a:scene3d>
                <a:sp3d>
                  <a:bevelT/>
                </a:sp3d>
              </c:spPr>
              <c:txPr>
                <a:bodyPr/>
                <a:lstStyle/>
                <a:p>
                  <a:pPr algn="ctr" rtl="1">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manualLayout>
                      <c:w val="6.0736880433298439E-2"/>
                      <c:h val="8.0150386607079502E-2"/>
                    </c:manualLayout>
                  </c15:layout>
                </c:ext>
              </c:extLst>
            </c:dLbl>
            <c:dLbl>
              <c:idx val="2"/>
              <c:layout>
                <c:manualLayout>
                  <c:x val="6.0723272992937736E-3"/>
                  <c:y val="-1.3105188774480152E-2"/>
                </c:manualLayout>
              </c:layout>
              <c:spPr>
                <a:noFill/>
                <a:ln w="25400">
                  <a:noFill/>
                </a:ln>
                <a:scene3d>
                  <a:camera prst="orthographicFront"/>
                  <a:lightRig rig="threePt" dir="t"/>
                </a:scene3d>
                <a:sp3d>
                  <a:bevelT/>
                </a:sp3d>
              </c:spPr>
              <c:txPr>
                <a:bodyPr/>
                <a:lstStyle/>
                <a:p>
                  <a:pPr algn="ctr" rtl="1">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393281150898215E-2"/>
                  <c:y val="-3.3141671395408689E-2"/>
                </c:manualLayout>
              </c:layout>
              <c:spPr>
                <a:noFill/>
                <a:ln w="25400">
                  <a:noFill/>
                </a:ln>
                <a:scene3d>
                  <a:camera prst="orthographicFront"/>
                  <a:lightRig rig="threePt" dir="t"/>
                </a:scene3d>
                <a:sp3d>
                  <a:bevelT/>
                </a:sp3d>
              </c:spPr>
              <c:txPr>
                <a:bodyPr/>
                <a:lstStyle/>
                <a:p>
                  <a:pPr algn="ctr" rtl="1">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4"/>
              <c:delete val="1"/>
              <c:extLst>
                <c:ext xmlns:c15="http://schemas.microsoft.com/office/drawing/2012/chart" uri="{CE6537A1-D6FC-4f65-9D91-7224C49458BB}"/>
              </c:extLst>
            </c:dLbl>
            <c:spPr>
              <a:noFill/>
              <a:ln w="25400">
                <a:noFill/>
              </a:ln>
              <a:scene3d>
                <a:camera prst="orthographicFront"/>
                <a:lightRig rig="threePt" dir="t"/>
              </a:scene3d>
              <a:sp3d>
                <a:bevelT/>
              </a:sp3d>
            </c:spPr>
            <c:txPr>
              <a:bodyPr wrap="square" lIns="38100" tIns="19050" rIns="38100" bIns="19050" anchor="ctr">
                <a:spAutoFit/>
              </a:bodyPr>
              <a:lstStyle/>
              <a:p>
                <a:pPr algn="ctr" rtl="1">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([1]Graph.!$D$2,[1]Graph.!$I$2,[1]Graph.!$N$2,[1]Graph.!$S$2,[1]Graph.!$X$2)</c:f>
              <c:strCache>
                <c:ptCount val="5"/>
                <c:pt idx="0">
                  <c:v>AC</c:v>
                </c:pt>
                <c:pt idx="1">
                  <c:v>EPA</c:v>
                </c:pt>
                <c:pt idx="2">
                  <c:v>SCN</c:v>
                </c:pt>
                <c:pt idx="3">
                  <c:v>DRAC</c:v>
                </c:pt>
                <c:pt idx="4">
                  <c:v>AD/BMC</c:v>
                </c:pt>
              </c:strCache>
            </c:strRef>
          </c:cat>
          <c:val>
            <c:numRef>
              <c:f>([1]Graph.!$F$8,[1]Graph.!$K$8,[1]Graph.!$P$8,[1]Graph.!$U$8,[1]Graph.!$Z$8)</c:f>
              <c:numCache>
                <c:formatCode>0</c:formatCode>
                <c:ptCount val="5"/>
                <c:pt idx="0">
                  <c:v>206.30099999999999</c:v>
                </c:pt>
                <c:pt idx="1">
                  <c:v>369.56</c:v>
                </c:pt>
                <c:pt idx="2">
                  <c:v>99.787499999999994</c:v>
                </c:pt>
                <c:pt idx="3">
                  <c:v>55.5</c:v>
                </c:pt>
                <c:pt idx="4">
                  <c:v>0</c:v>
                </c:pt>
              </c:numCache>
            </c:numRef>
          </c:val>
        </c:ser>
        <c:dLbls>
          <c:showLegendKey val="0"/>
          <c:showVal val="0"/>
          <c:showCatName val="0"/>
          <c:showSerName val="0"/>
          <c:showPercent val="0"/>
          <c:showBubbleSize val="0"/>
        </c:dLbls>
        <c:gapWidth val="150"/>
        <c:overlap val="100"/>
        <c:axId val="167336160"/>
        <c:axId val="167336720"/>
      </c:barChart>
      <c:catAx>
        <c:axId val="167336160"/>
        <c:scaling>
          <c:orientation val="minMax"/>
        </c:scaling>
        <c:delete val="0"/>
        <c:axPos val="b"/>
        <c:numFmt formatCode="General" sourceLinked="1"/>
        <c:majorTickMark val="out"/>
        <c:minorTickMark val="none"/>
        <c:tickLblPos val="nextTo"/>
        <c:spPr>
          <a:ln w="3175">
            <a:solidFill>
              <a:srgbClr val="C0C0C0"/>
            </a:solidFill>
            <a:prstDash val="solid"/>
          </a:ln>
        </c:spPr>
        <c:txPr>
          <a:bodyPr rot="0" vert="horz"/>
          <a:lstStyle/>
          <a:p>
            <a:pPr>
              <a:defRPr sz="800" b="1" i="0" u="none" strike="noStrike" baseline="0">
                <a:solidFill>
                  <a:srgbClr val="000000"/>
                </a:solidFill>
                <a:latin typeface="Arial"/>
                <a:ea typeface="Arial"/>
                <a:cs typeface="Arial"/>
              </a:defRPr>
            </a:pPr>
            <a:endParaRPr lang="fr-FR"/>
          </a:p>
        </c:txPr>
        <c:crossAx val="167336720"/>
        <c:crosses val="autoZero"/>
        <c:auto val="1"/>
        <c:lblAlgn val="ctr"/>
        <c:lblOffset val="100"/>
        <c:tickLblSkip val="1"/>
        <c:tickMarkSkip val="1"/>
        <c:noMultiLvlLbl val="0"/>
      </c:catAx>
      <c:valAx>
        <c:axId val="167336720"/>
        <c:scaling>
          <c:orientation val="minMax"/>
        </c:scaling>
        <c:delete val="0"/>
        <c:axPos val="l"/>
        <c:majorGridlines>
          <c:spPr>
            <a:ln w="12700">
              <a:solidFill>
                <a:srgbClr val="C0C0C0"/>
              </a:solidFill>
              <a:prstDash val="solid"/>
            </a:ln>
          </c:spPr>
        </c:majorGridlines>
        <c:numFmt formatCode="0%" sourceLinked="1"/>
        <c:majorTickMark val="out"/>
        <c:minorTickMark val="none"/>
        <c:tickLblPos val="nextTo"/>
        <c:spPr>
          <a:ln w="3175">
            <a:solidFill>
              <a:srgbClr val="C0C0C0"/>
            </a:solidFill>
            <a:prstDash val="solid"/>
          </a:ln>
        </c:spPr>
        <c:txPr>
          <a:bodyPr rot="0" vert="horz"/>
          <a:lstStyle/>
          <a:p>
            <a:pPr>
              <a:defRPr sz="800" b="1" i="0" u="none" strike="noStrike" baseline="0">
                <a:solidFill>
                  <a:srgbClr val="000000"/>
                </a:solidFill>
                <a:latin typeface="Arial"/>
                <a:ea typeface="Arial"/>
                <a:cs typeface="Arial"/>
              </a:defRPr>
            </a:pPr>
            <a:endParaRPr lang="fr-FR"/>
          </a:p>
        </c:txPr>
        <c:crossAx val="167336160"/>
        <c:crosses val="autoZero"/>
        <c:crossBetween val="between"/>
        <c:majorUnit val="0.2"/>
      </c:valAx>
      <c:spPr>
        <a:solidFill>
          <a:srgbClr val="FFFFFF"/>
        </a:solidFill>
        <a:ln w="3175">
          <a:solidFill>
            <a:srgbClr val="C0C0C0"/>
          </a:solidFill>
          <a:prstDash val="solid"/>
        </a:ln>
      </c:spPr>
    </c:plotArea>
    <c:legend>
      <c:legendPos val="r"/>
      <c:layout>
        <c:manualLayout>
          <c:xMode val="edge"/>
          <c:yMode val="edge"/>
          <c:x val="0.83765670225451772"/>
          <c:y val="0.4807858783233766"/>
          <c:w val="0.13917988283613525"/>
          <c:h val="0.25428230897991921"/>
        </c:manualLayout>
      </c:layout>
      <c:overlay val="0"/>
      <c:spPr>
        <a:solidFill>
          <a:srgbClr val="FFFFFF"/>
        </a:solidFill>
        <a:ln w="25400">
          <a:noFill/>
        </a:ln>
      </c:spPr>
      <c:txPr>
        <a:bodyPr/>
        <a:lstStyle/>
        <a:p>
          <a:pPr>
            <a:defRPr sz="92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800" b="0" i="0" u="none" strike="noStrike" baseline="0">
          <a:solidFill>
            <a:srgbClr val="000000"/>
          </a:solidFill>
          <a:latin typeface="Arial"/>
          <a:ea typeface="Arial"/>
          <a:cs typeface="Arial"/>
        </a:defRPr>
      </a:pPr>
      <a:endParaRPr lang="fr-F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75" b="1" i="0" u="none" strike="noStrike" baseline="0">
                <a:solidFill>
                  <a:srgbClr val="000000"/>
                </a:solidFill>
                <a:latin typeface="Arial"/>
                <a:ea typeface="Arial"/>
                <a:cs typeface="Arial"/>
              </a:defRPr>
            </a:pPr>
            <a:r>
              <a:rPr lang="fr-FR"/>
              <a:t>Répartition hommes/femmes par filière et catégorie au 31/12/2013</a:t>
            </a:r>
          </a:p>
        </c:rich>
      </c:tx>
      <c:layout>
        <c:manualLayout>
          <c:xMode val="edge"/>
          <c:yMode val="edge"/>
          <c:x val="0.19496951518826089"/>
          <c:y val="3.2111098667263971E-2"/>
        </c:manualLayout>
      </c:layout>
      <c:overlay val="0"/>
      <c:spPr>
        <a:noFill/>
        <a:ln w="25400">
          <a:noFill/>
        </a:ln>
      </c:spPr>
    </c:title>
    <c:autoTitleDeleted val="0"/>
    <c:plotArea>
      <c:layout>
        <c:manualLayout>
          <c:layoutTarget val="inner"/>
          <c:xMode val="edge"/>
          <c:yMode val="edge"/>
          <c:x val="1.9496951518826088E-2"/>
          <c:y val="0.16055549333631985"/>
          <c:w val="0.9618496082620871"/>
          <c:h val="0.4786082801358868"/>
        </c:manualLayout>
      </c:layout>
      <c:barChart>
        <c:barDir val="col"/>
        <c:grouping val="percentStacked"/>
        <c:varyColors val="0"/>
        <c:ser>
          <c:idx val="0"/>
          <c:order val="0"/>
          <c:tx>
            <c:strRef>
              <c:f>Graph!$AC$24</c:f>
              <c:strCache>
                <c:ptCount val="1"/>
                <c:pt idx="0">
                  <c:v>Hommes</c:v>
                </c:pt>
              </c:strCache>
            </c:strRef>
          </c:tx>
          <c:spPr>
            <a:solidFill>
              <a:srgbClr val="C0C0C0"/>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(Graph!$B$2:$E$2,Graph!$G$2:$I$2,Graph!$K$2:$N$2,Graph!$P$2,Graph!$R$2:$U$2)</c:f>
              <c:strCache>
                <c:ptCount val="16"/>
                <c:pt idx="0">
                  <c:v>A+</c:v>
                </c:pt>
                <c:pt idx="1">
                  <c:v>A</c:v>
                </c:pt>
                <c:pt idx="2">
                  <c:v>B</c:v>
                </c:pt>
                <c:pt idx="3">
                  <c:v>C</c:v>
                </c:pt>
                <c:pt idx="4">
                  <c:v>A+</c:v>
                </c:pt>
                <c:pt idx="5">
                  <c:v>A</c:v>
                </c:pt>
                <c:pt idx="6">
                  <c:v>B</c:v>
                </c:pt>
                <c:pt idx="7">
                  <c:v>A+</c:v>
                </c:pt>
                <c:pt idx="8">
                  <c:v>A</c:v>
                </c:pt>
                <c:pt idx="9">
                  <c:v>B</c:v>
                </c:pt>
                <c:pt idx="10">
                  <c:v>C</c:v>
                </c:pt>
                <c:pt idx="11">
                  <c:v>C</c:v>
                </c:pt>
                <c:pt idx="12">
                  <c:v>A+</c:v>
                </c:pt>
                <c:pt idx="13">
                  <c:v>A</c:v>
                </c:pt>
                <c:pt idx="14">
                  <c:v>B</c:v>
                </c:pt>
                <c:pt idx="15">
                  <c:v>C</c:v>
                </c:pt>
              </c:strCache>
            </c:strRef>
          </c:cat>
          <c:val>
            <c:numRef>
              <c:f>(Graph!$B$6:$E$6,Graph!$G$6:$I$6,Graph!$K$6:$M$6,Graph!$N$6,Graph!$P$6,Graph!$R$6:$U$6)</c:f>
              <c:numCache>
                <c:formatCode>0%</c:formatCode>
                <c:ptCount val="16"/>
                <c:pt idx="0">
                  <c:v>0.6179775280898876</c:v>
                </c:pt>
                <c:pt idx="1">
                  <c:v>0.40716938017709225</c:v>
                </c:pt>
                <c:pt idx="2">
                  <c:v>0.21789702233250621</c:v>
                </c:pt>
                <c:pt idx="3">
                  <c:v>0.16632846763107942</c:v>
                </c:pt>
                <c:pt idx="4">
                  <c:v>0.58710667689946272</c:v>
                </c:pt>
                <c:pt idx="5">
                  <c:v>0.39476432954693824</c:v>
                </c:pt>
                <c:pt idx="6">
                  <c:v>0.36781954887218044</c:v>
                </c:pt>
                <c:pt idx="7">
                  <c:v>0.70588235294117652</c:v>
                </c:pt>
                <c:pt idx="8">
                  <c:v>0.70011616477526595</c:v>
                </c:pt>
                <c:pt idx="9">
                  <c:v>0.57605571523325227</c:v>
                </c:pt>
                <c:pt idx="10">
                  <c:v>0.83296432964329647</c:v>
                </c:pt>
                <c:pt idx="11">
                  <c:v>0.60895883777239712</c:v>
                </c:pt>
                <c:pt idx="12">
                  <c:v>0.65330166481195429</c:v>
                </c:pt>
                <c:pt idx="13">
                  <c:v>0.49338167631039131</c:v>
                </c:pt>
                <c:pt idx="14">
                  <c:v>0.30740338989530219</c:v>
                </c:pt>
                <c:pt idx="15">
                  <c:v>0.45295514480388538</c:v>
                </c:pt>
              </c:numCache>
            </c:numRef>
          </c:val>
        </c:ser>
        <c:ser>
          <c:idx val="1"/>
          <c:order val="1"/>
          <c:tx>
            <c:strRef>
              <c:f>Graph!$A$4</c:f>
              <c:strCache>
                <c:ptCount val="1"/>
                <c:pt idx="0">
                  <c:v>Femmes</c:v>
                </c:pt>
              </c:strCache>
            </c:strRef>
          </c:tx>
          <c:spPr>
            <a:solidFill>
              <a:srgbClr val="FF00FF"/>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(Graph!$B$2:$E$2,Graph!$G$2:$I$2,Graph!$K$2:$N$2,Graph!$P$2,Graph!$R$2:$U$2)</c:f>
              <c:strCache>
                <c:ptCount val="16"/>
                <c:pt idx="0">
                  <c:v>A+</c:v>
                </c:pt>
                <c:pt idx="1">
                  <c:v>A</c:v>
                </c:pt>
                <c:pt idx="2">
                  <c:v>B</c:v>
                </c:pt>
                <c:pt idx="3">
                  <c:v>C</c:v>
                </c:pt>
                <c:pt idx="4">
                  <c:v>A+</c:v>
                </c:pt>
                <c:pt idx="5">
                  <c:v>A</c:v>
                </c:pt>
                <c:pt idx="6">
                  <c:v>B</c:v>
                </c:pt>
                <c:pt idx="7">
                  <c:v>A+</c:v>
                </c:pt>
                <c:pt idx="8">
                  <c:v>A</c:v>
                </c:pt>
                <c:pt idx="9">
                  <c:v>B</c:v>
                </c:pt>
                <c:pt idx="10">
                  <c:v>C</c:v>
                </c:pt>
                <c:pt idx="11">
                  <c:v>C</c:v>
                </c:pt>
                <c:pt idx="12">
                  <c:v>A+</c:v>
                </c:pt>
                <c:pt idx="13">
                  <c:v>A</c:v>
                </c:pt>
                <c:pt idx="14">
                  <c:v>B</c:v>
                </c:pt>
                <c:pt idx="15">
                  <c:v>C</c:v>
                </c:pt>
              </c:strCache>
            </c:strRef>
          </c:cat>
          <c:val>
            <c:numRef>
              <c:f>(Graph!$B$7:$E$7,Graph!$G$7:$I$7,Graph!$K$7:$N$7,Graph!$P$7,Graph!$R$7:$U$7)</c:f>
              <c:numCache>
                <c:formatCode>0%</c:formatCode>
                <c:ptCount val="16"/>
                <c:pt idx="0">
                  <c:v>0.38202247191011235</c:v>
                </c:pt>
                <c:pt idx="1">
                  <c:v>0.59283061982290775</c:v>
                </c:pt>
                <c:pt idx="2">
                  <c:v>0.78210297766749381</c:v>
                </c:pt>
                <c:pt idx="3">
                  <c:v>0.83367153236892066</c:v>
                </c:pt>
                <c:pt idx="4">
                  <c:v>0.41289332310053717</c:v>
                </c:pt>
                <c:pt idx="5">
                  <c:v>0.6052356704530617</c:v>
                </c:pt>
                <c:pt idx="6">
                  <c:v>0.63218045112781951</c:v>
                </c:pt>
                <c:pt idx="7">
                  <c:v>0.29411764705882354</c:v>
                </c:pt>
                <c:pt idx="8">
                  <c:v>0.29988383522473422</c:v>
                </c:pt>
                <c:pt idx="9">
                  <c:v>0.42394428476674773</c:v>
                </c:pt>
                <c:pt idx="10">
                  <c:v>0.16703567035670358</c:v>
                </c:pt>
                <c:pt idx="11">
                  <c:v>0.39104116222760293</c:v>
                </c:pt>
                <c:pt idx="12">
                  <c:v>0.34669833518804566</c:v>
                </c:pt>
                <c:pt idx="13">
                  <c:v>0.50661832368960869</c:v>
                </c:pt>
                <c:pt idx="14">
                  <c:v>0.69259661010469775</c:v>
                </c:pt>
                <c:pt idx="15">
                  <c:v>0.54704485519611468</c:v>
                </c:pt>
              </c:numCache>
            </c:numRef>
          </c:val>
        </c:ser>
        <c:dLbls>
          <c:showLegendKey val="0"/>
          <c:showVal val="1"/>
          <c:showCatName val="0"/>
          <c:showSerName val="0"/>
          <c:showPercent val="0"/>
          <c:showBubbleSize val="0"/>
        </c:dLbls>
        <c:gapWidth val="40"/>
        <c:overlap val="100"/>
        <c:axId val="211106928"/>
        <c:axId val="208894496"/>
      </c:barChart>
      <c:catAx>
        <c:axId val="211106928"/>
        <c:scaling>
          <c:orientation val="minMax"/>
        </c:scaling>
        <c:delete val="0"/>
        <c:axPos val="b"/>
        <c:numFmt formatCode="General" sourceLinked="1"/>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208894496"/>
        <c:crosses val="autoZero"/>
        <c:auto val="1"/>
        <c:lblAlgn val="ctr"/>
        <c:lblOffset val="100"/>
        <c:tickLblSkip val="1"/>
        <c:tickMarkSkip val="1"/>
        <c:noMultiLvlLbl val="0"/>
      </c:catAx>
      <c:valAx>
        <c:axId val="208894496"/>
        <c:scaling>
          <c:orientation val="minMax"/>
        </c:scaling>
        <c:delete val="1"/>
        <c:axPos val="l"/>
        <c:numFmt formatCode="0%" sourceLinked="1"/>
        <c:majorTickMark val="out"/>
        <c:minorTickMark val="none"/>
        <c:tickLblPos val="nextTo"/>
        <c:crossAx val="211106928"/>
        <c:crosses val="autoZero"/>
        <c:crossBetween val="between"/>
      </c:valAx>
      <c:spPr>
        <a:noFill/>
        <a:ln w="25400">
          <a:noFill/>
        </a:ln>
      </c:spPr>
    </c:plotArea>
    <c:legend>
      <c:legendPos val="b"/>
      <c:layout>
        <c:manualLayout>
          <c:xMode val="edge"/>
          <c:yMode val="edge"/>
          <c:x val="0.30451743916297397"/>
          <c:y val="0.89752544950572777"/>
          <c:w val="0.38019055461710877"/>
          <c:h val="5.046029790570053E-2"/>
        </c:manualLayout>
      </c:layout>
      <c:overlay val="0"/>
      <c:spPr>
        <a:solidFill>
          <a:srgbClr val="FFFFFF"/>
        </a:solidFill>
        <a:ln w="25400">
          <a:noFill/>
        </a:ln>
      </c:spPr>
      <c:txPr>
        <a:bodyPr/>
        <a:lstStyle/>
        <a:p>
          <a:pPr>
            <a:defRPr sz="101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a:ea typeface="Arial"/>
          <a:cs typeface="Arial"/>
        </a:defRPr>
      </a:pPr>
      <a:endParaRPr lang="fr-FR"/>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fr-FR"/>
              <a:t>Pyramide des âges au 31/12/2013
</a:t>
            </a:r>
          </a:p>
        </c:rich>
      </c:tx>
      <c:layout>
        <c:manualLayout>
          <c:xMode val="edge"/>
          <c:yMode val="edge"/>
          <c:x val="0.30677033426377254"/>
          <c:y val="6.9692432413140243E-2"/>
        </c:manualLayout>
      </c:layout>
      <c:overlay val="0"/>
      <c:spPr>
        <a:noFill/>
        <a:ln w="25400">
          <a:noFill/>
        </a:ln>
      </c:spPr>
    </c:title>
    <c:autoTitleDeleted val="0"/>
    <c:plotArea>
      <c:layout>
        <c:manualLayout>
          <c:layoutTarget val="inner"/>
          <c:xMode val="edge"/>
          <c:yMode val="edge"/>
          <c:x val="0.11806625705929699"/>
          <c:y val="0.30860377484901502"/>
          <c:w val="0.777017247313322"/>
          <c:h val="0.49025030055128338"/>
        </c:manualLayout>
      </c:layout>
      <c:barChart>
        <c:barDir val="col"/>
        <c:grouping val="clustered"/>
        <c:varyColors val="0"/>
        <c:ser>
          <c:idx val="0"/>
          <c:order val="0"/>
          <c:spPr>
            <a:solidFill>
              <a:schemeClr val="bg1">
                <a:lumMod val="75000"/>
              </a:schemeClr>
            </a:solidFill>
            <a:ln w="12700">
              <a:noFill/>
              <a:prstDash val="solid"/>
            </a:ln>
            <a:scene3d>
              <a:camera prst="orthographicFront"/>
              <a:lightRig rig="threePt" dir="t"/>
            </a:scene3d>
            <a:sp3d>
              <a:bevelT/>
              <a:bevelB/>
            </a:sp3d>
          </c:spPr>
          <c:invertIfNegative val="0"/>
          <c:cat>
            <c:numRef>
              <c:f>Graph!$A$3:$A$52</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Graph!$F$3:$F$52</c:f>
              <c:numCache>
                <c:formatCode>0</c:formatCode>
                <c:ptCount val="50"/>
                <c:pt idx="0">
                  <c:v>4.0036854262672428</c:v>
                </c:pt>
                <c:pt idx="1">
                  <c:v>3.0031490836560195</c:v>
                </c:pt>
                <c:pt idx="2">
                  <c:v>3.5633364980913327</c:v>
                </c:pt>
                <c:pt idx="3">
                  <c:v>9.0089338990272765</c:v>
                </c:pt>
                <c:pt idx="4">
                  <c:v>21.880133397537318</c:v>
                </c:pt>
                <c:pt idx="5">
                  <c:v>56.514245172425426</c:v>
                </c:pt>
                <c:pt idx="6">
                  <c:v>63.183032869934536</c:v>
                </c:pt>
                <c:pt idx="7">
                  <c:v>75.973049576461193</c:v>
                </c:pt>
                <c:pt idx="8">
                  <c:v>91.249283523139951</c:v>
                </c:pt>
                <c:pt idx="9">
                  <c:v>90.046216890845983</c:v>
                </c:pt>
                <c:pt idx="10">
                  <c:v>86.983441174666495</c:v>
                </c:pt>
                <c:pt idx="11">
                  <c:v>110.41774502106506</c:v>
                </c:pt>
                <c:pt idx="12">
                  <c:v>135.42690545823044</c:v>
                </c:pt>
                <c:pt idx="13">
                  <c:v>153.94813180627409</c:v>
                </c:pt>
                <c:pt idx="14">
                  <c:v>123.13683864480609</c:v>
                </c:pt>
                <c:pt idx="15">
                  <c:v>149.46087781553541</c:v>
                </c:pt>
                <c:pt idx="16">
                  <c:v>165.45598354066891</c:v>
                </c:pt>
                <c:pt idx="17">
                  <c:v>182.69205720828541</c:v>
                </c:pt>
                <c:pt idx="18">
                  <c:v>178.3635440502797</c:v>
                </c:pt>
                <c:pt idx="19">
                  <c:v>219.12175471480029</c:v>
                </c:pt>
                <c:pt idx="20">
                  <c:v>277.45683742575409</c:v>
                </c:pt>
                <c:pt idx="21">
                  <c:v>302.18142782923894</c:v>
                </c:pt>
                <c:pt idx="22">
                  <c:v>335.35036483147121</c:v>
                </c:pt>
                <c:pt idx="23">
                  <c:v>307.23603039823115</c:v>
                </c:pt>
                <c:pt idx="24">
                  <c:v>293.87415508679521</c:v>
                </c:pt>
                <c:pt idx="25">
                  <c:v>312.28017351718563</c:v>
                </c:pt>
                <c:pt idx="26">
                  <c:v>370.50647034326533</c:v>
                </c:pt>
                <c:pt idx="27">
                  <c:v>388.9648667426751</c:v>
                </c:pt>
                <c:pt idx="28">
                  <c:v>345.72072631508922</c:v>
                </c:pt>
                <c:pt idx="29">
                  <c:v>375.11770569111582</c:v>
                </c:pt>
                <c:pt idx="30">
                  <c:v>395.80913082779733</c:v>
                </c:pt>
                <c:pt idx="31">
                  <c:v>379.75828966444124</c:v>
                </c:pt>
                <c:pt idx="32">
                  <c:v>403.27636091397437</c:v>
                </c:pt>
                <c:pt idx="33">
                  <c:v>412.3341513218075</c:v>
                </c:pt>
                <c:pt idx="34">
                  <c:v>468.73253905227432</c:v>
                </c:pt>
                <c:pt idx="35">
                  <c:v>413.40046425319281</c:v>
                </c:pt>
                <c:pt idx="36">
                  <c:v>423.96625636915246</c:v>
                </c:pt>
                <c:pt idx="37">
                  <c:v>451.6744802842079</c:v>
                </c:pt>
                <c:pt idx="38">
                  <c:v>438.82094060392728</c:v>
                </c:pt>
                <c:pt idx="39">
                  <c:v>394.48394897997639</c:v>
                </c:pt>
                <c:pt idx="40">
                  <c:v>340.95316299590775</c:v>
                </c:pt>
                <c:pt idx="41">
                  <c:v>278.74499334913514</c:v>
                </c:pt>
                <c:pt idx="42">
                  <c:v>257.06802190743366</c:v>
                </c:pt>
                <c:pt idx="43">
                  <c:v>173.94919724087276</c:v>
                </c:pt>
                <c:pt idx="44">
                  <c:v>172.45601613737682</c:v>
                </c:pt>
                <c:pt idx="45">
                  <c:v>69.362348455653191</c:v>
                </c:pt>
                <c:pt idx="46">
                  <c:v>31.026893659763587</c:v>
                </c:pt>
                <c:pt idx="47">
                  <c:v>16.013971677157798</c:v>
                </c:pt>
                <c:pt idx="48">
                  <c:v>4.0031720743264598</c:v>
                </c:pt>
                <c:pt idx="49">
                  <c:v>2.0015860371632299</c:v>
                </c:pt>
              </c:numCache>
            </c:numRef>
          </c:val>
        </c:ser>
        <c:dLbls>
          <c:showLegendKey val="0"/>
          <c:showVal val="0"/>
          <c:showCatName val="0"/>
          <c:showSerName val="0"/>
          <c:showPercent val="0"/>
          <c:showBubbleSize val="0"/>
        </c:dLbls>
        <c:gapWidth val="150"/>
        <c:axId val="214984576"/>
        <c:axId val="214985136"/>
      </c:barChart>
      <c:catAx>
        <c:axId val="214984576"/>
        <c:scaling>
          <c:orientation val="minMax"/>
        </c:scaling>
        <c:delete val="0"/>
        <c:axPos val="b"/>
        <c:title>
          <c:tx>
            <c:rich>
              <a:bodyPr/>
              <a:lstStyle/>
              <a:p>
                <a:pPr>
                  <a:defRPr sz="1075" b="1" i="0" u="none" strike="noStrike" baseline="0">
                    <a:solidFill>
                      <a:srgbClr val="000000"/>
                    </a:solidFill>
                    <a:latin typeface="Arial"/>
                    <a:ea typeface="Arial"/>
                    <a:cs typeface="Arial"/>
                  </a:defRPr>
                </a:pPr>
                <a:r>
                  <a:rPr lang="fr-FR"/>
                  <a:t>Age</a:t>
                </a:r>
              </a:p>
            </c:rich>
          </c:tx>
          <c:layout>
            <c:manualLayout>
              <c:xMode val="edge"/>
              <c:yMode val="edge"/>
              <c:x val="0.90921108877535617"/>
              <c:y val="0.76955616387795278"/>
            </c:manualLayout>
          </c:layout>
          <c:overlay val="0"/>
          <c:spPr>
            <a:noFill/>
            <a:ln w="25400">
              <a:noFill/>
            </a:ln>
          </c:spPr>
        </c:title>
        <c:numFmt formatCode="General" sourceLinked="1"/>
        <c:majorTickMark val="out"/>
        <c:minorTickMark val="none"/>
        <c:tickLblPos val="nextTo"/>
        <c:spPr>
          <a:ln w="3175">
            <a:solidFill>
              <a:srgbClr val="969696"/>
            </a:solidFill>
            <a:prstDash val="solid"/>
          </a:ln>
        </c:spPr>
        <c:txPr>
          <a:bodyPr rot="-5400000" vert="horz"/>
          <a:lstStyle/>
          <a:p>
            <a:pPr>
              <a:defRPr sz="900" b="0" i="0" u="none" strike="noStrike" baseline="0">
                <a:solidFill>
                  <a:srgbClr val="000000"/>
                </a:solidFill>
                <a:latin typeface="Arial"/>
                <a:ea typeface="Arial"/>
                <a:cs typeface="Arial"/>
              </a:defRPr>
            </a:pPr>
            <a:endParaRPr lang="fr-FR"/>
          </a:p>
        </c:txPr>
        <c:crossAx val="214985136"/>
        <c:crosses val="autoZero"/>
        <c:auto val="1"/>
        <c:lblAlgn val="ctr"/>
        <c:lblOffset val="100"/>
        <c:tickLblSkip val="3"/>
        <c:tickMarkSkip val="1"/>
        <c:noMultiLvlLbl val="0"/>
      </c:catAx>
      <c:valAx>
        <c:axId val="214985136"/>
        <c:scaling>
          <c:orientation val="minMax"/>
        </c:scaling>
        <c:delete val="0"/>
        <c:axPos val="l"/>
        <c:title>
          <c:tx>
            <c:rich>
              <a:bodyPr/>
              <a:lstStyle/>
              <a:p>
                <a:pPr>
                  <a:defRPr sz="1075" b="1" i="0" u="none" strike="noStrike" baseline="0">
                    <a:solidFill>
                      <a:srgbClr val="000000"/>
                    </a:solidFill>
                    <a:latin typeface="Arial"/>
                    <a:ea typeface="Arial"/>
                    <a:cs typeface="Arial"/>
                  </a:defRPr>
                </a:pPr>
                <a:r>
                  <a:rPr lang="fr-FR"/>
                  <a:t>Effectif</a:t>
                </a:r>
              </a:p>
            </c:rich>
          </c:tx>
          <c:layout>
            <c:manualLayout>
              <c:xMode val="edge"/>
              <c:yMode val="edge"/>
              <c:x val="2.3209674471821196E-2"/>
              <c:y val="0.47657787893700787"/>
            </c:manualLayout>
          </c:layout>
          <c:overlay val="0"/>
          <c:spPr>
            <a:noFill/>
            <a:ln w="25400">
              <a:noFill/>
            </a:ln>
          </c:spPr>
        </c:title>
        <c:numFmt formatCode="0" sourceLinked="1"/>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214984576"/>
        <c:crosses val="autoZero"/>
        <c:crossBetween val="between"/>
        <c:majorUnit val="100"/>
      </c:valAx>
      <c:spPr>
        <a:solidFill>
          <a:srgbClr val="FFFFFF"/>
        </a:solidFill>
        <a:ln w="25400">
          <a:noFill/>
        </a:ln>
      </c:spPr>
    </c:plotArea>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a:ea typeface="Arial"/>
          <a:cs typeface="Arial"/>
        </a:defRPr>
      </a:pPr>
      <a:endParaRPr lang="fr-F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baseline="0"/>
            </a:pPr>
            <a:r>
              <a:rPr lang="fr-FR" sz="1200" b="1" i="0" baseline="0"/>
              <a:t>Pyramide des âges Hommes/Femmes au 31/12/2013
</a:t>
            </a:r>
          </a:p>
        </c:rich>
      </c:tx>
      <c:layout>
        <c:manualLayout>
          <c:xMode val="edge"/>
          <c:yMode val="edge"/>
          <c:x val="0.25051524492501315"/>
          <c:y val="3.1848136817292746E-2"/>
        </c:manualLayout>
      </c:layout>
      <c:overlay val="0"/>
      <c:spPr>
        <a:noFill/>
        <a:ln w="25400">
          <a:noFill/>
        </a:ln>
      </c:spPr>
    </c:title>
    <c:autoTitleDeleted val="0"/>
    <c:plotArea>
      <c:layout>
        <c:manualLayout>
          <c:layoutTarget val="inner"/>
          <c:xMode val="edge"/>
          <c:yMode val="edge"/>
          <c:x val="0.13185011038373476"/>
          <c:y val="0.13535470569336994"/>
          <c:w val="0.80631413657745488"/>
          <c:h val="0.83919917529889365"/>
        </c:manualLayout>
      </c:layout>
      <c:barChart>
        <c:barDir val="bar"/>
        <c:grouping val="clustered"/>
        <c:varyColors val="0"/>
        <c:ser>
          <c:idx val="0"/>
          <c:order val="0"/>
          <c:tx>
            <c:v>Femmes</c:v>
          </c:tx>
          <c:spPr>
            <a:solidFill>
              <a:srgbClr val="FF00FF"/>
            </a:solidFill>
            <a:ln w="12700">
              <a:noFill/>
              <a:prstDash val="solid"/>
            </a:ln>
            <a:scene3d>
              <a:camera prst="orthographicFront"/>
              <a:lightRig rig="threePt" dir="t"/>
            </a:scene3d>
            <a:sp3d>
              <a:bevelT/>
            </a:sp3d>
          </c:spPr>
          <c:invertIfNegative val="0"/>
          <c:cat>
            <c:strRef>
              <c:f>Graph!$B$3:$B$52</c:f>
              <c:strCache>
                <c:ptCount val="50"/>
                <c:pt idx="0">
                  <c:v>20 ans</c:v>
                </c:pt>
                <c:pt idx="1">
                  <c:v>21 ans</c:v>
                </c:pt>
                <c:pt idx="2">
                  <c:v>22 ans</c:v>
                </c:pt>
                <c:pt idx="3">
                  <c:v>23 ans</c:v>
                </c:pt>
                <c:pt idx="4">
                  <c:v>24 ans</c:v>
                </c:pt>
                <c:pt idx="5">
                  <c:v>25 ans</c:v>
                </c:pt>
                <c:pt idx="6">
                  <c:v>26 ans</c:v>
                </c:pt>
                <c:pt idx="7">
                  <c:v>27 ans</c:v>
                </c:pt>
                <c:pt idx="8">
                  <c:v>28 ans</c:v>
                </c:pt>
                <c:pt idx="9">
                  <c:v>29 ans</c:v>
                </c:pt>
                <c:pt idx="10">
                  <c:v>30 ans</c:v>
                </c:pt>
                <c:pt idx="11">
                  <c:v>31 ans</c:v>
                </c:pt>
                <c:pt idx="12">
                  <c:v>32 ans</c:v>
                </c:pt>
                <c:pt idx="13">
                  <c:v>33 ans</c:v>
                </c:pt>
                <c:pt idx="14">
                  <c:v>34 ans</c:v>
                </c:pt>
                <c:pt idx="15">
                  <c:v>35 ans</c:v>
                </c:pt>
                <c:pt idx="16">
                  <c:v>36 ans</c:v>
                </c:pt>
                <c:pt idx="17">
                  <c:v>37 ans</c:v>
                </c:pt>
                <c:pt idx="18">
                  <c:v>38 ans</c:v>
                </c:pt>
                <c:pt idx="19">
                  <c:v>39 ans</c:v>
                </c:pt>
                <c:pt idx="20">
                  <c:v>40 ans</c:v>
                </c:pt>
                <c:pt idx="21">
                  <c:v>41 ans</c:v>
                </c:pt>
                <c:pt idx="22">
                  <c:v>42 ans</c:v>
                </c:pt>
                <c:pt idx="23">
                  <c:v>43 ans</c:v>
                </c:pt>
                <c:pt idx="24">
                  <c:v>44 ans</c:v>
                </c:pt>
                <c:pt idx="25">
                  <c:v>45 ans</c:v>
                </c:pt>
                <c:pt idx="26">
                  <c:v>46 ans</c:v>
                </c:pt>
                <c:pt idx="27">
                  <c:v>47 ans</c:v>
                </c:pt>
                <c:pt idx="28">
                  <c:v>48 ans</c:v>
                </c:pt>
                <c:pt idx="29">
                  <c:v>49 ans</c:v>
                </c:pt>
                <c:pt idx="30">
                  <c:v>50 ans</c:v>
                </c:pt>
                <c:pt idx="31">
                  <c:v>51 ans</c:v>
                </c:pt>
                <c:pt idx="32">
                  <c:v>52 ans</c:v>
                </c:pt>
                <c:pt idx="33">
                  <c:v>53 ans</c:v>
                </c:pt>
                <c:pt idx="34">
                  <c:v>54 ans</c:v>
                </c:pt>
                <c:pt idx="35">
                  <c:v>55 ans</c:v>
                </c:pt>
                <c:pt idx="36">
                  <c:v>56 ans</c:v>
                </c:pt>
                <c:pt idx="37">
                  <c:v>57 ans</c:v>
                </c:pt>
                <c:pt idx="38">
                  <c:v>58 ans</c:v>
                </c:pt>
                <c:pt idx="39">
                  <c:v>59 ans</c:v>
                </c:pt>
                <c:pt idx="40">
                  <c:v>60 ans</c:v>
                </c:pt>
                <c:pt idx="41">
                  <c:v>61 ans</c:v>
                </c:pt>
                <c:pt idx="42">
                  <c:v>62 ans</c:v>
                </c:pt>
                <c:pt idx="43">
                  <c:v>63 ans</c:v>
                </c:pt>
                <c:pt idx="44">
                  <c:v>64 ans</c:v>
                </c:pt>
                <c:pt idx="45">
                  <c:v>65 ans</c:v>
                </c:pt>
                <c:pt idx="46">
                  <c:v>66 ans</c:v>
                </c:pt>
                <c:pt idx="47">
                  <c:v>67 ans</c:v>
                </c:pt>
                <c:pt idx="48">
                  <c:v>68 ans</c:v>
                </c:pt>
                <c:pt idx="49">
                  <c:v>69 ans</c:v>
                </c:pt>
              </c:strCache>
            </c:strRef>
          </c:cat>
          <c:val>
            <c:numRef>
              <c:f>Graph!$D$3:$D$52</c:f>
              <c:numCache>
                <c:formatCode>0</c:formatCode>
                <c:ptCount val="50"/>
                <c:pt idx="0">
                  <c:v>-2.0020993891040133</c:v>
                </c:pt>
                <c:pt idx="1">
                  <c:v>-3.0031490836560195</c:v>
                </c:pt>
                <c:pt idx="2">
                  <c:v>-2.0020993891040133</c:v>
                </c:pt>
                <c:pt idx="3">
                  <c:v>-7.0073478618640461</c:v>
                </c:pt>
                <c:pt idx="4">
                  <c:v>-14.815535479369698</c:v>
                </c:pt>
                <c:pt idx="5">
                  <c:v>-36.938733728969041</c:v>
                </c:pt>
                <c:pt idx="6">
                  <c:v>-50.613072556549454</c:v>
                </c:pt>
                <c:pt idx="7">
                  <c:v>-50.152589697055532</c:v>
                </c:pt>
                <c:pt idx="8">
                  <c:v>-66.269489779342834</c:v>
                </c:pt>
                <c:pt idx="9">
                  <c:v>-58.020840296234297</c:v>
                </c:pt>
                <c:pt idx="10">
                  <c:v>-56.659412711643569</c:v>
                </c:pt>
                <c:pt idx="11">
                  <c:v>-77.091337502297293</c:v>
                </c:pt>
                <c:pt idx="12">
                  <c:v>-76.480196663773313</c:v>
                </c:pt>
                <c:pt idx="13">
                  <c:v>-102.04700586263155</c:v>
                </c:pt>
                <c:pt idx="14">
                  <c:v>-75.198853054746735</c:v>
                </c:pt>
                <c:pt idx="15">
                  <c:v>-87.611869267191608</c:v>
                </c:pt>
                <c:pt idx="16">
                  <c:v>-97.101820371544633</c:v>
                </c:pt>
                <c:pt idx="17">
                  <c:v>-106.53170849422453</c:v>
                </c:pt>
                <c:pt idx="18">
                  <c:v>-86.690903548203764</c:v>
                </c:pt>
                <c:pt idx="19">
                  <c:v>-109.77510950457304</c:v>
                </c:pt>
                <c:pt idx="20">
                  <c:v>-144.35136595439934</c:v>
                </c:pt>
                <c:pt idx="21">
                  <c:v>-171.66901106902912</c:v>
                </c:pt>
                <c:pt idx="22">
                  <c:v>-174.22268883983122</c:v>
                </c:pt>
                <c:pt idx="23">
                  <c:v>-166.19427028952413</c:v>
                </c:pt>
                <c:pt idx="24">
                  <c:v>-161.16900082287304</c:v>
                </c:pt>
                <c:pt idx="25">
                  <c:v>-166.76486861541878</c:v>
                </c:pt>
                <c:pt idx="26">
                  <c:v>-206.41644701662375</c:v>
                </c:pt>
                <c:pt idx="27">
                  <c:v>-221.13187752653826</c:v>
                </c:pt>
                <c:pt idx="28">
                  <c:v>-182.591464286286</c:v>
                </c:pt>
                <c:pt idx="29">
                  <c:v>-200.87964115605664</c:v>
                </c:pt>
                <c:pt idx="30">
                  <c:v>-212.70404014810507</c:v>
                </c:pt>
                <c:pt idx="31">
                  <c:v>-223.93481667128384</c:v>
                </c:pt>
                <c:pt idx="32">
                  <c:v>-221.73250734326945</c:v>
                </c:pt>
                <c:pt idx="33">
                  <c:v>-185.09408852266603</c:v>
                </c:pt>
                <c:pt idx="34">
                  <c:v>-238.56015270868869</c:v>
                </c:pt>
                <c:pt idx="35">
                  <c:v>-206.4364680105148</c:v>
                </c:pt>
                <c:pt idx="36">
                  <c:v>-196.36590808332161</c:v>
                </c:pt>
                <c:pt idx="37">
                  <c:v>-220.83156261817263</c:v>
                </c:pt>
                <c:pt idx="38">
                  <c:v>-207.7378326134324</c:v>
                </c:pt>
                <c:pt idx="39">
                  <c:v>-200.48022232793036</c:v>
                </c:pt>
                <c:pt idx="40">
                  <c:v>-171.71906355375665</c:v>
                </c:pt>
                <c:pt idx="41">
                  <c:v>-133.16964086625345</c:v>
                </c:pt>
                <c:pt idx="42">
                  <c:v>-133.97048062189504</c:v>
                </c:pt>
                <c:pt idx="43">
                  <c:v>-83.377429059236633</c:v>
                </c:pt>
                <c:pt idx="44">
                  <c:v>-75.579251938676492</c:v>
                </c:pt>
                <c:pt idx="45">
                  <c:v>-28.830231203097789</c:v>
                </c:pt>
                <c:pt idx="46">
                  <c:v>-9.0094472509680585</c:v>
                </c:pt>
                <c:pt idx="47">
                  <c:v>-5.0052484727600328</c:v>
                </c:pt>
                <c:pt idx="48">
                  <c:v>0</c:v>
                </c:pt>
                <c:pt idx="49">
                  <c:v>0</c:v>
                </c:pt>
              </c:numCache>
            </c:numRef>
          </c:val>
        </c:ser>
        <c:ser>
          <c:idx val="1"/>
          <c:order val="1"/>
          <c:tx>
            <c:v>Hommes</c:v>
          </c:tx>
          <c:spPr>
            <a:solidFill>
              <a:schemeClr val="bg1">
                <a:lumMod val="65000"/>
              </a:schemeClr>
            </a:solidFill>
            <a:ln w="12700">
              <a:noFill/>
              <a:prstDash val="solid"/>
            </a:ln>
            <a:scene3d>
              <a:camera prst="orthographicFront"/>
              <a:lightRig rig="threePt" dir="t"/>
            </a:scene3d>
            <a:sp3d>
              <a:bevelT/>
            </a:sp3d>
          </c:spPr>
          <c:invertIfNegative val="0"/>
          <c:cat>
            <c:strRef>
              <c:f>Graph!$B$3:$B$52</c:f>
              <c:strCache>
                <c:ptCount val="50"/>
                <c:pt idx="0">
                  <c:v>20 ans</c:v>
                </c:pt>
                <c:pt idx="1">
                  <c:v>21 ans</c:v>
                </c:pt>
                <c:pt idx="2">
                  <c:v>22 ans</c:v>
                </c:pt>
                <c:pt idx="3">
                  <c:v>23 ans</c:v>
                </c:pt>
                <c:pt idx="4">
                  <c:v>24 ans</c:v>
                </c:pt>
                <c:pt idx="5">
                  <c:v>25 ans</c:v>
                </c:pt>
                <c:pt idx="6">
                  <c:v>26 ans</c:v>
                </c:pt>
                <c:pt idx="7">
                  <c:v>27 ans</c:v>
                </c:pt>
                <c:pt idx="8">
                  <c:v>28 ans</c:v>
                </c:pt>
                <c:pt idx="9">
                  <c:v>29 ans</c:v>
                </c:pt>
                <c:pt idx="10">
                  <c:v>30 ans</c:v>
                </c:pt>
                <c:pt idx="11">
                  <c:v>31 ans</c:v>
                </c:pt>
                <c:pt idx="12">
                  <c:v>32 ans</c:v>
                </c:pt>
                <c:pt idx="13">
                  <c:v>33 ans</c:v>
                </c:pt>
                <c:pt idx="14">
                  <c:v>34 ans</c:v>
                </c:pt>
                <c:pt idx="15">
                  <c:v>35 ans</c:v>
                </c:pt>
                <c:pt idx="16">
                  <c:v>36 ans</c:v>
                </c:pt>
                <c:pt idx="17">
                  <c:v>37 ans</c:v>
                </c:pt>
                <c:pt idx="18">
                  <c:v>38 ans</c:v>
                </c:pt>
                <c:pt idx="19">
                  <c:v>39 ans</c:v>
                </c:pt>
                <c:pt idx="20">
                  <c:v>40 ans</c:v>
                </c:pt>
                <c:pt idx="21">
                  <c:v>41 ans</c:v>
                </c:pt>
                <c:pt idx="22">
                  <c:v>42 ans</c:v>
                </c:pt>
                <c:pt idx="23">
                  <c:v>43 ans</c:v>
                </c:pt>
                <c:pt idx="24">
                  <c:v>44 ans</c:v>
                </c:pt>
                <c:pt idx="25">
                  <c:v>45 ans</c:v>
                </c:pt>
                <c:pt idx="26">
                  <c:v>46 ans</c:v>
                </c:pt>
                <c:pt idx="27">
                  <c:v>47 ans</c:v>
                </c:pt>
                <c:pt idx="28">
                  <c:v>48 ans</c:v>
                </c:pt>
                <c:pt idx="29">
                  <c:v>49 ans</c:v>
                </c:pt>
                <c:pt idx="30">
                  <c:v>50 ans</c:v>
                </c:pt>
                <c:pt idx="31">
                  <c:v>51 ans</c:v>
                </c:pt>
                <c:pt idx="32">
                  <c:v>52 ans</c:v>
                </c:pt>
                <c:pt idx="33">
                  <c:v>53 ans</c:v>
                </c:pt>
                <c:pt idx="34">
                  <c:v>54 ans</c:v>
                </c:pt>
                <c:pt idx="35">
                  <c:v>55 ans</c:v>
                </c:pt>
                <c:pt idx="36">
                  <c:v>56 ans</c:v>
                </c:pt>
                <c:pt idx="37">
                  <c:v>57 ans</c:v>
                </c:pt>
                <c:pt idx="38">
                  <c:v>58 ans</c:v>
                </c:pt>
                <c:pt idx="39">
                  <c:v>59 ans</c:v>
                </c:pt>
                <c:pt idx="40">
                  <c:v>60 ans</c:v>
                </c:pt>
                <c:pt idx="41">
                  <c:v>61 ans</c:v>
                </c:pt>
                <c:pt idx="42">
                  <c:v>62 ans</c:v>
                </c:pt>
                <c:pt idx="43">
                  <c:v>63 ans</c:v>
                </c:pt>
                <c:pt idx="44">
                  <c:v>64 ans</c:v>
                </c:pt>
                <c:pt idx="45">
                  <c:v>65 ans</c:v>
                </c:pt>
                <c:pt idx="46">
                  <c:v>66 ans</c:v>
                </c:pt>
                <c:pt idx="47">
                  <c:v>67 ans</c:v>
                </c:pt>
                <c:pt idx="48">
                  <c:v>68 ans</c:v>
                </c:pt>
                <c:pt idx="49">
                  <c:v>69 ans</c:v>
                </c:pt>
              </c:strCache>
            </c:strRef>
          </c:cat>
          <c:val>
            <c:numRef>
              <c:f>Graph!$E$3:$E$52</c:f>
              <c:numCache>
                <c:formatCode>0</c:formatCode>
                <c:ptCount val="50"/>
                <c:pt idx="0">
                  <c:v>2.0015860371632299</c:v>
                </c:pt>
                <c:pt idx="1">
                  <c:v>0</c:v>
                </c:pt>
                <c:pt idx="2">
                  <c:v>1.5612371089873194</c:v>
                </c:pt>
                <c:pt idx="3">
                  <c:v>2.0015860371632299</c:v>
                </c:pt>
                <c:pt idx="4">
                  <c:v>7.0645979181676193</c:v>
                </c:pt>
                <c:pt idx="5">
                  <c:v>19.575511443456385</c:v>
                </c:pt>
                <c:pt idx="6">
                  <c:v>12.569960313385083</c:v>
                </c:pt>
                <c:pt idx="7">
                  <c:v>25.820459879405664</c:v>
                </c:pt>
                <c:pt idx="8">
                  <c:v>24.97979374379711</c:v>
                </c:pt>
                <c:pt idx="9">
                  <c:v>32.025376594611679</c:v>
                </c:pt>
                <c:pt idx="10">
                  <c:v>30.32402846302293</c:v>
                </c:pt>
                <c:pt idx="11">
                  <c:v>33.326407518767773</c:v>
                </c:pt>
                <c:pt idx="12">
                  <c:v>58.946708794457116</c:v>
                </c:pt>
                <c:pt idx="13">
                  <c:v>51.901125943642548</c:v>
                </c:pt>
                <c:pt idx="14">
                  <c:v>47.937985590059355</c:v>
                </c:pt>
                <c:pt idx="15">
                  <c:v>61.849008548343797</c:v>
                </c:pt>
                <c:pt idx="16">
                  <c:v>68.354163169124291</c:v>
                </c:pt>
                <c:pt idx="17">
                  <c:v>76.160348714060888</c:v>
                </c:pt>
                <c:pt idx="18">
                  <c:v>91.672640502075922</c:v>
                </c:pt>
                <c:pt idx="19">
                  <c:v>109.34664521022725</c:v>
                </c:pt>
                <c:pt idx="20">
                  <c:v>133.10547147135478</c:v>
                </c:pt>
                <c:pt idx="21">
                  <c:v>130.51241676020982</c:v>
                </c:pt>
                <c:pt idx="22">
                  <c:v>161.12767599163999</c:v>
                </c:pt>
                <c:pt idx="23">
                  <c:v>141.041760108707</c:v>
                </c:pt>
                <c:pt idx="24">
                  <c:v>132.70515426392214</c:v>
                </c:pt>
                <c:pt idx="25">
                  <c:v>145.51530490176683</c:v>
                </c:pt>
                <c:pt idx="26">
                  <c:v>164.09002332664159</c:v>
                </c:pt>
                <c:pt idx="27">
                  <c:v>167.83298921613681</c:v>
                </c:pt>
                <c:pt idx="28">
                  <c:v>163.12926202880323</c:v>
                </c:pt>
                <c:pt idx="29">
                  <c:v>174.23806453505915</c:v>
                </c:pt>
                <c:pt idx="30">
                  <c:v>183.10509067969227</c:v>
                </c:pt>
                <c:pt idx="31">
                  <c:v>155.82347299315742</c:v>
                </c:pt>
                <c:pt idx="32">
                  <c:v>181.54385357070495</c:v>
                </c:pt>
                <c:pt idx="33">
                  <c:v>227.24006279914147</c:v>
                </c:pt>
                <c:pt idx="34">
                  <c:v>230.17238634358563</c:v>
                </c:pt>
                <c:pt idx="35">
                  <c:v>206.96399624267798</c:v>
                </c:pt>
                <c:pt idx="36">
                  <c:v>227.60034828583085</c:v>
                </c:pt>
                <c:pt idx="37">
                  <c:v>230.84291766603528</c:v>
                </c:pt>
                <c:pt idx="38">
                  <c:v>231.08310799049488</c:v>
                </c:pt>
                <c:pt idx="39">
                  <c:v>194.00372665204605</c:v>
                </c:pt>
                <c:pt idx="40">
                  <c:v>169.23409944215106</c:v>
                </c:pt>
                <c:pt idx="41">
                  <c:v>145.5753524828817</c:v>
                </c:pt>
                <c:pt idx="42">
                  <c:v>123.09754128553863</c:v>
                </c:pt>
                <c:pt idx="43">
                  <c:v>90.571768181636145</c:v>
                </c:pt>
                <c:pt idx="44">
                  <c:v>96.876764198700315</c:v>
                </c:pt>
                <c:pt idx="45">
                  <c:v>40.532117252555402</c:v>
                </c:pt>
                <c:pt idx="46">
                  <c:v>22.017446408795529</c:v>
                </c:pt>
                <c:pt idx="47">
                  <c:v>11.008723204397764</c:v>
                </c:pt>
                <c:pt idx="48">
                  <c:v>4.0031720743264598</c:v>
                </c:pt>
                <c:pt idx="49">
                  <c:v>2.0015860371632299</c:v>
                </c:pt>
              </c:numCache>
            </c:numRef>
          </c:val>
        </c:ser>
        <c:dLbls>
          <c:showLegendKey val="0"/>
          <c:showVal val="0"/>
          <c:showCatName val="0"/>
          <c:showSerName val="0"/>
          <c:showPercent val="0"/>
          <c:showBubbleSize val="0"/>
        </c:dLbls>
        <c:gapWidth val="0"/>
        <c:axId val="214987936"/>
        <c:axId val="214988496"/>
      </c:barChart>
      <c:catAx>
        <c:axId val="214987936"/>
        <c:scaling>
          <c:orientation val="minMax"/>
        </c:scaling>
        <c:delete val="0"/>
        <c:axPos val="l"/>
        <c:numFmt formatCode="General" sourceLinked="1"/>
        <c:majorTickMark val="out"/>
        <c:minorTickMark val="none"/>
        <c:tickLblPos val="low"/>
        <c:spPr>
          <a:ln w="3175">
            <a:solidFill>
              <a:srgbClr val="C0C0C0"/>
            </a:solidFill>
            <a:prstDash val="solid"/>
          </a:ln>
        </c:spPr>
        <c:txPr>
          <a:bodyPr rot="0" vert="horz"/>
          <a:lstStyle/>
          <a:p>
            <a:pPr>
              <a:defRPr/>
            </a:pPr>
            <a:endParaRPr lang="fr-FR"/>
          </a:p>
        </c:txPr>
        <c:crossAx val="214988496"/>
        <c:crosses val="autoZero"/>
        <c:auto val="1"/>
        <c:lblAlgn val="ctr"/>
        <c:lblOffset val="100"/>
        <c:tickLblSkip val="3"/>
        <c:tickMarkSkip val="1"/>
        <c:noMultiLvlLbl val="0"/>
      </c:catAx>
      <c:valAx>
        <c:axId val="214988496"/>
        <c:scaling>
          <c:orientation val="minMax"/>
        </c:scaling>
        <c:delete val="1"/>
        <c:axPos val="b"/>
        <c:numFmt formatCode="0" sourceLinked="1"/>
        <c:majorTickMark val="out"/>
        <c:minorTickMark val="none"/>
        <c:tickLblPos val="nextTo"/>
        <c:crossAx val="214987936"/>
        <c:crosses val="autoZero"/>
        <c:crossBetween val="between"/>
      </c:valAx>
      <c:spPr>
        <a:solidFill>
          <a:srgbClr val="FFFFFF"/>
        </a:solidFill>
        <a:ln w="25400">
          <a:noFill/>
        </a:ln>
      </c:spPr>
    </c:plotArea>
    <c:legend>
      <c:legendPos val="r"/>
      <c:layout>
        <c:manualLayout>
          <c:xMode val="edge"/>
          <c:yMode val="edge"/>
          <c:x val="0.82733551703071062"/>
          <c:y val="0.80416622631833412"/>
          <c:w val="0.10953698231940079"/>
          <c:h val="0.16720296905561971"/>
        </c:manualLayout>
      </c:layout>
      <c:overlay val="0"/>
      <c:spPr>
        <a:solidFill>
          <a:srgbClr val="FFFFFF"/>
        </a:solidFill>
        <a:ln w="25400">
          <a:noFill/>
        </a:ln>
      </c:spPr>
      <c:txPr>
        <a:bodyPr/>
        <a:lstStyle/>
        <a:p>
          <a:pPr>
            <a:defRPr baseline="0"/>
          </a:pPr>
          <a:endParaRPr lang="fr-FR"/>
        </a:p>
      </c:txPr>
    </c:legend>
    <c:plotVisOnly val="1"/>
    <c:dispBlanksAs val="gap"/>
    <c:showDLblsOverMax val="0"/>
  </c:chart>
  <c:spPr>
    <a:solidFill>
      <a:srgbClr val="FFFFFF"/>
    </a:solidFill>
    <a:ln w="6350">
      <a:noFill/>
    </a:ln>
  </c:spPr>
  <c:txPr>
    <a:bodyPr/>
    <a:lstStyle/>
    <a:p>
      <a:pPr>
        <a:defRPr sz="900" b="0" i="0" u="none" strike="noStrike" baseline="0">
          <a:solidFill>
            <a:srgbClr val="000000"/>
          </a:solidFill>
          <a:latin typeface="Arial"/>
          <a:ea typeface="Arial"/>
          <a:cs typeface="Arial"/>
        </a:defRPr>
      </a:pPr>
      <a:endParaRPr lang="fr-F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fr-FR"/>
              <a:t>Répartition 2013 Hommes/Femmes par tranche d'âge</a:t>
            </a:r>
          </a:p>
        </c:rich>
      </c:tx>
      <c:layout>
        <c:manualLayout>
          <c:xMode val="edge"/>
          <c:yMode val="edge"/>
          <c:x val="0.24626396949965279"/>
          <c:y val="3.2479709267110843E-2"/>
        </c:manualLayout>
      </c:layout>
      <c:overlay val="0"/>
      <c:spPr>
        <a:noFill/>
        <a:ln w="25400">
          <a:noFill/>
        </a:ln>
      </c:spPr>
    </c:title>
    <c:autoTitleDeleted val="0"/>
    <c:plotArea>
      <c:layout>
        <c:manualLayout>
          <c:layoutTarget val="inner"/>
          <c:xMode val="edge"/>
          <c:yMode val="edge"/>
          <c:x val="0.11148433538795981"/>
          <c:y val="0.20684396237593897"/>
          <c:w val="0.77539851180282493"/>
          <c:h val="0.48035663989784172"/>
        </c:manualLayout>
      </c:layout>
      <c:barChart>
        <c:barDir val="col"/>
        <c:grouping val="stacked"/>
        <c:varyColors val="0"/>
        <c:ser>
          <c:idx val="0"/>
          <c:order val="0"/>
          <c:tx>
            <c:strRef>
              <c:f>'par tranche âge'!$H$1:$I$1</c:f>
              <c:strCache>
                <c:ptCount val="1"/>
                <c:pt idx="0">
                  <c:v>Hommes</c:v>
                </c:pt>
              </c:strCache>
            </c:strRef>
          </c:tx>
          <c:spPr>
            <a:solidFill>
              <a:srgbClr val="C0C0C0"/>
            </a:solidFill>
            <a:ln w="25400">
              <a:noFill/>
            </a:ln>
            <a:scene3d>
              <a:camera prst="orthographicFront"/>
              <a:lightRig rig="threePt" dir="t"/>
            </a:scene3d>
            <a:sp3d>
              <a:bevelT/>
            </a:sp3d>
          </c:spPr>
          <c:invertIfNegative val="0"/>
          <c:cat>
            <c:strRef>
              <c:f>'par tranche âge'!$F$3:$F$12</c:f>
              <c:strCache>
                <c:ptCount val="10"/>
                <c:pt idx="0">
                  <c:v>&lt; 25 ans</c:v>
                </c:pt>
                <c:pt idx="1">
                  <c:v>de 25 à 29 ans </c:v>
                </c:pt>
                <c:pt idx="2">
                  <c:v>de 30 à 34 ans</c:v>
                </c:pt>
                <c:pt idx="3">
                  <c:v>de 35 à 39 ans</c:v>
                </c:pt>
                <c:pt idx="4">
                  <c:v>de 40 à 44 ans</c:v>
                </c:pt>
                <c:pt idx="5">
                  <c:v>de 45 à 49 ans</c:v>
                </c:pt>
                <c:pt idx="6">
                  <c:v>de 50 à 54 ans</c:v>
                </c:pt>
                <c:pt idx="7">
                  <c:v>de 55 à 59 ans</c:v>
                </c:pt>
                <c:pt idx="8">
                  <c:v>de 60 à 64 ans</c:v>
                </c:pt>
                <c:pt idx="9">
                  <c:v>65 et +</c:v>
                </c:pt>
              </c:strCache>
            </c:strRef>
          </c:cat>
          <c:val>
            <c:numRef>
              <c:f>'par tranche âge'!$H$3:$H$12</c:f>
              <c:numCache>
                <c:formatCode>0</c:formatCode>
                <c:ptCount val="10"/>
                <c:pt idx="0">
                  <c:v>12.629007101481399</c:v>
                </c:pt>
                <c:pt idx="1">
                  <c:v>114.97110197465594</c:v>
                </c:pt>
                <c:pt idx="2">
                  <c:v>222.43625630994973</c:v>
                </c:pt>
                <c:pt idx="3">
                  <c:v>407.38280614383211</c:v>
                </c:pt>
                <c:pt idx="4">
                  <c:v>698.49247859583375</c:v>
                </c:pt>
                <c:pt idx="5">
                  <c:v>814.80564400840763</c:v>
                </c:pt>
                <c:pt idx="6">
                  <c:v>977.88486638628183</c:v>
                </c:pt>
                <c:pt idx="7">
                  <c:v>1090.4940968370852</c:v>
                </c:pt>
                <c:pt idx="8">
                  <c:v>625.35552559090786</c:v>
                </c:pt>
                <c:pt idx="9">
                  <c:v>79.563044977238391</c:v>
                </c:pt>
              </c:numCache>
            </c:numRef>
          </c:val>
        </c:ser>
        <c:ser>
          <c:idx val="1"/>
          <c:order val="1"/>
          <c:tx>
            <c:strRef>
              <c:f>'par tranche âge'!$K$1:$L$1</c:f>
              <c:strCache>
                <c:ptCount val="1"/>
                <c:pt idx="0">
                  <c:v>Femmes</c:v>
                </c:pt>
              </c:strCache>
            </c:strRef>
          </c:tx>
          <c:spPr>
            <a:solidFill>
              <a:srgbClr val="FF00FF"/>
            </a:solidFill>
            <a:ln w="25400">
              <a:noFill/>
            </a:ln>
            <a:scene3d>
              <a:camera prst="orthographicFront"/>
              <a:lightRig rig="threePt" dir="t"/>
            </a:scene3d>
            <a:sp3d>
              <a:bevelT/>
            </a:sp3d>
          </c:spPr>
          <c:invertIfNegative val="0"/>
          <c:cat>
            <c:strRef>
              <c:f>'par tranche âge'!$F$3:$F$12</c:f>
              <c:strCache>
                <c:ptCount val="10"/>
                <c:pt idx="0">
                  <c:v>&lt; 25 ans</c:v>
                </c:pt>
                <c:pt idx="1">
                  <c:v>de 25 à 29 ans </c:v>
                </c:pt>
                <c:pt idx="2">
                  <c:v>de 30 à 34 ans</c:v>
                </c:pt>
                <c:pt idx="3">
                  <c:v>de 35 à 39 ans</c:v>
                </c:pt>
                <c:pt idx="4">
                  <c:v>de 40 à 44 ans</c:v>
                </c:pt>
                <c:pt idx="5">
                  <c:v>de 45 à 49 ans</c:v>
                </c:pt>
                <c:pt idx="6">
                  <c:v>de 50 à 54 ans</c:v>
                </c:pt>
                <c:pt idx="7">
                  <c:v>de 55 à 59 ans</c:v>
                </c:pt>
                <c:pt idx="8">
                  <c:v>de 60 à 64 ans</c:v>
                </c:pt>
                <c:pt idx="9">
                  <c:v>65 et +</c:v>
                </c:pt>
              </c:strCache>
            </c:strRef>
          </c:cat>
          <c:val>
            <c:numRef>
              <c:f>'par tranche âge'!$K$3:$K$12</c:f>
              <c:numCache>
                <c:formatCode>0</c:formatCode>
                <c:ptCount val="10"/>
                <c:pt idx="0">
                  <c:v>28.830231203097789</c:v>
                </c:pt>
                <c:pt idx="1">
                  <c:v>261.99472605815117</c:v>
                </c:pt>
                <c:pt idx="2">
                  <c:v>387.4768057950925</c:v>
                </c:pt>
                <c:pt idx="3">
                  <c:v>487.71141118573757</c:v>
                </c:pt>
                <c:pt idx="4">
                  <c:v>817.60633697565686</c:v>
                </c:pt>
                <c:pt idx="5">
                  <c:v>977.78429860092353</c:v>
                </c:pt>
                <c:pt idx="6">
                  <c:v>1082.0256053940132</c:v>
                </c:pt>
                <c:pt idx="7">
                  <c:v>1031.8519936533717</c:v>
                </c:pt>
                <c:pt idx="8">
                  <c:v>597.81586603981827</c:v>
                </c:pt>
                <c:pt idx="9">
                  <c:v>42.844926926825877</c:v>
                </c:pt>
              </c:numCache>
            </c:numRef>
          </c:val>
        </c:ser>
        <c:dLbls>
          <c:showLegendKey val="0"/>
          <c:showVal val="0"/>
          <c:showCatName val="0"/>
          <c:showSerName val="0"/>
          <c:showPercent val="0"/>
          <c:showBubbleSize val="0"/>
        </c:dLbls>
        <c:gapWidth val="150"/>
        <c:overlap val="100"/>
        <c:axId val="215370544"/>
        <c:axId val="215371104"/>
      </c:barChart>
      <c:catAx>
        <c:axId val="215370544"/>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fr-FR" sz="1000" b="1" i="0" baseline="0"/>
                  <a:t>Age</a:t>
                </a:r>
              </a:p>
            </c:rich>
          </c:tx>
          <c:layout>
            <c:manualLayout>
              <c:xMode val="edge"/>
              <c:yMode val="edge"/>
              <c:x val="0.90269026687803788"/>
              <c:y val="0.67181559997308027"/>
            </c:manualLayout>
          </c:layout>
          <c:overlay val="0"/>
          <c:spPr>
            <a:noFill/>
            <a:ln w="25400">
              <a:noFill/>
            </a:ln>
          </c:spPr>
        </c:title>
        <c:numFmt formatCode="General" sourceLinked="1"/>
        <c:majorTickMark val="out"/>
        <c:minorTickMark val="none"/>
        <c:tickLblPos val="nextTo"/>
        <c:spPr>
          <a:ln w="3175">
            <a:solidFill>
              <a:srgbClr val="969696"/>
            </a:solidFill>
            <a:prstDash val="solid"/>
          </a:ln>
        </c:spPr>
        <c:txPr>
          <a:bodyPr rot="-1620000" vert="horz"/>
          <a:lstStyle/>
          <a:p>
            <a:pPr>
              <a:defRPr sz="900" b="0" i="0" u="none" strike="noStrike" baseline="0">
                <a:solidFill>
                  <a:srgbClr val="000000"/>
                </a:solidFill>
                <a:latin typeface="Arial"/>
                <a:ea typeface="Arial"/>
                <a:cs typeface="Arial"/>
              </a:defRPr>
            </a:pPr>
            <a:endParaRPr lang="fr-FR"/>
          </a:p>
        </c:txPr>
        <c:crossAx val="215371104"/>
        <c:crosses val="autoZero"/>
        <c:auto val="1"/>
        <c:lblAlgn val="ctr"/>
        <c:lblOffset val="100"/>
        <c:tickLblSkip val="1"/>
        <c:tickMarkSkip val="1"/>
        <c:noMultiLvlLbl val="0"/>
      </c:catAx>
      <c:valAx>
        <c:axId val="215371104"/>
        <c:scaling>
          <c:orientation val="minMax"/>
        </c:scaling>
        <c:delete val="0"/>
        <c:axPos val="l"/>
        <c:majorGridlines>
          <c:spPr>
            <a:ln w="3175">
              <a:solidFill>
                <a:srgbClr val="C0C0C0"/>
              </a:solidFill>
              <a:prstDash val="solid"/>
            </a:ln>
          </c:spPr>
        </c:majorGridlines>
        <c:title>
          <c:tx>
            <c:rich>
              <a:bodyPr/>
              <a:lstStyle/>
              <a:p>
                <a:pPr>
                  <a:defRPr sz="1000" b="1" i="0" u="none" strike="noStrike" baseline="0">
                    <a:solidFill>
                      <a:srgbClr val="000000"/>
                    </a:solidFill>
                    <a:latin typeface="Arial"/>
                    <a:ea typeface="Arial"/>
                    <a:cs typeface="Arial"/>
                  </a:defRPr>
                </a:pPr>
                <a:r>
                  <a:rPr lang="fr-FR" sz="1000" baseline="0"/>
                  <a:t>Effectif</a:t>
                </a:r>
              </a:p>
            </c:rich>
          </c:tx>
          <c:layout>
            <c:manualLayout>
              <c:xMode val="edge"/>
              <c:yMode val="edge"/>
              <c:x val="1.9718021358441307E-2"/>
              <c:y val="0.36636629155880962"/>
            </c:manualLayout>
          </c:layout>
          <c:overlay val="0"/>
          <c:spPr>
            <a:noFill/>
            <a:ln w="25400">
              <a:noFill/>
            </a:ln>
          </c:spPr>
        </c:title>
        <c:numFmt formatCode="0" sourceLinked="1"/>
        <c:majorTickMark val="out"/>
        <c:minorTickMark val="none"/>
        <c:tickLblPos val="nextTo"/>
        <c:spPr>
          <a:ln w="3175">
            <a:solidFill>
              <a:srgbClr val="969696"/>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215370544"/>
        <c:crosses val="autoZero"/>
        <c:crossBetween val="between"/>
      </c:valAx>
      <c:spPr>
        <a:noFill/>
        <a:ln w="25400">
          <a:noFill/>
        </a:ln>
      </c:spPr>
    </c:plotArea>
    <c:legend>
      <c:legendPos val="r"/>
      <c:layout>
        <c:manualLayout>
          <c:xMode val="edge"/>
          <c:yMode val="edge"/>
          <c:x val="0.38378093315638351"/>
          <c:y val="0.91883232011381899"/>
          <c:w val="0.22955942474013438"/>
          <c:h val="8.0105256449572074E-2"/>
        </c:manualLayout>
      </c:layout>
      <c:overlay val="0"/>
      <c:spPr>
        <a:solidFill>
          <a:srgbClr val="FFFFFF"/>
        </a:solidFill>
        <a:ln w="25400">
          <a:noFill/>
        </a:ln>
      </c:spPr>
      <c:txPr>
        <a:bodyPr/>
        <a:lstStyle/>
        <a:p>
          <a:pPr>
            <a:defRPr sz="100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1200" b="0" i="0" u="none" strike="noStrike" baseline="0">
          <a:solidFill>
            <a:srgbClr val="000000"/>
          </a:solidFill>
          <a:latin typeface="Arial"/>
          <a:ea typeface="Arial"/>
          <a:cs typeface="Arial"/>
        </a:defRPr>
      </a:pPr>
      <a:endParaRPr lang="fr-F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25" b="1" i="0" u="none" strike="noStrike" baseline="0">
                <a:solidFill>
                  <a:srgbClr val="000000"/>
                </a:solidFill>
                <a:latin typeface="Arial"/>
                <a:ea typeface="Arial"/>
                <a:cs typeface="Arial"/>
              </a:defRPr>
            </a:pPr>
            <a:r>
              <a:rPr lang="fr-FR"/>
              <a:t>Courbe des âges par filière au 31/12/2013</a:t>
            </a:r>
          </a:p>
        </c:rich>
      </c:tx>
      <c:layout>
        <c:manualLayout>
          <c:xMode val="edge"/>
          <c:yMode val="edge"/>
          <c:x val="0.31337031308573687"/>
          <c:y val="3.1701297451727485E-2"/>
        </c:manualLayout>
      </c:layout>
      <c:overlay val="0"/>
      <c:spPr>
        <a:noFill/>
        <a:ln w="25400">
          <a:noFill/>
        </a:ln>
      </c:spPr>
    </c:title>
    <c:autoTitleDeleted val="0"/>
    <c:plotArea>
      <c:layout>
        <c:manualLayout>
          <c:layoutTarget val="inner"/>
          <c:xMode val="edge"/>
          <c:yMode val="edge"/>
          <c:x val="8.0974241107425543E-2"/>
          <c:y val="0.17147519985252593"/>
          <c:w val="0.85265875886119102"/>
          <c:h val="0.60088368351683452"/>
        </c:manualLayout>
      </c:layout>
      <c:lineChart>
        <c:grouping val="standard"/>
        <c:varyColors val="0"/>
        <c:ser>
          <c:idx val="0"/>
          <c:order val="0"/>
          <c:tx>
            <c:v>Filière administrative</c:v>
          </c:tx>
          <c:spPr>
            <a:ln w="38100">
              <a:solidFill>
                <a:srgbClr val="FF00FF"/>
              </a:solidFill>
              <a:prstDash val="solid"/>
            </a:ln>
          </c:spPr>
          <c:marker>
            <c:symbol val="none"/>
          </c:marker>
          <c:cat>
            <c:numRef>
              <c:f>Graph!$A$4:$A$53</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Graph!$B$4:$B$53</c:f>
              <c:numCache>
                <c:formatCode>0</c:formatCode>
                <c:ptCount val="50"/>
                <c:pt idx="0">
                  <c:v>0</c:v>
                </c:pt>
                <c:pt idx="1">
                  <c:v>0</c:v>
                </c:pt>
                <c:pt idx="2">
                  <c:v>0</c:v>
                </c:pt>
                <c:pt idx="3">
                  <c:v>0</c:v>
                </c:pt>
                <c:pt idx="4">
                  <c:v>9.0099043999075743</c:v>
                </c:pt>
                <c:pt idx="5">
                  <c:v>8.0083507648681422</c:v>
                </c:pt>
                <c:pt idx="6">
                  <c:v>9.0153906560389636</c:v>
                </c:pt>
                <c:pt idx="7">
                  <c:v>6.8151284812995003</c:v>
                </c:pt>
                <c:pt idx="8">
                  <c:v>16.82454735852285</c:v>
                </c:pt>
                <c:pt idx="9">
                  <c:v>13.816682116338932</c:v>
                </c:pt>
                <c:pt idx="10">
                  <c:v>12.019323277130923</c:v>
                </c:pt>
                <c:pt idx="11">
                  <c:v>14.624964915541302</c:v>
                </c:pt>
                <c:pt idx="12">
                  <c:v>21.847706189758973</c:v>
                </c:pt>
                <c:pt idx="13">
                  <c:v>25.933704061006729</c:v>
                </c:pt>
                <c:pt idx="14">
                  <c:v>16.41908051578881</c:v>
                </c:pt>
                <c:pt idx="15">
                  <c:v>36.655348083998128</c:v>
                </c:pt>
                <c:pt idx="16">
                  <c:v>42.959018530350619</c:v>
                </c:pt>
                <c:pt idx="17">
                  <c:v>45.359188444515055</c:v>
                </c:pt>
                <c:pt idx="18">
                  <c:v>39.97053968700159</c:v>
                </c:pt>
                <c:pt idx="19">
                  <c:v>56.59076116232329</c:v>
                </c:pt>
                <c:pt idx="20">
                  <c:v>76.507074255137155</c:v>
                </c:pt>
                <c:pt idx="21">
                  <c:v>95.017925349178768</c:v>
                </c:pt>
                <c:pt idx="22">
                  <c:v>95.444686642326559</c:v>
                </c:pt>
                <c:pt idx="23">
                  <c:v>95.52817932166397</c:v>
                </c:pt>
                <c:pt idx="24">
                  <c:v>82.807719928961987</c:v>
                </c:pt>
                <c:pt idx="25">
                  <c:v>95.438860501541171</c:v>
                </c:pt>
                <c:pt idx="26">
                  <c:v>119.25517363190514</c:v>
                </c:pt>
                <c:pt idx="27">
                  <c:v>118.96008208600222</c:v>
                </c:pt>
                <c:pt idx="28">
                  <c:v>90.323309656811503</c:v>
                </c:pt>
                <c:pt idx="29">
                  <c:v>104.44544400889885</c:v>
                </c:pt>
                <c:pt idx="30">
                  <c:v>124.03276247931764</c:v>
                </c:pt>
                <c:pt idx="31">
                  <c:v>136.88099299978052</c:v>
                </c:pt>
                <c:pt idx="32">
                  <c:v>131.47042347510063</c:v>
                </c:pt>
                <c:pt idx="33">
                  <c:v>104.43779723314779</c:v>
                </c:pt>
                <c:pt idx="34">
                  <c:v>137.57974040382533</c:v>
                </c:pt>
                <c:pt idx="35">
                  <c:v>128.06625295540343</c:v>
                </c:pt>
                <c:pt idx="36">
                  <c:v>119.54470119298706</c:v>
                </c:pt>
                <c:pt idx="37">
                  <c:v>131.86461194130089</c:v>
                </c:pt>
                <c:pt idx="38">
                  <c:v>141.88300303740814</c:v>
                </c:pt>
                <c:pt idx="39">
                  <c:v>119.66214073222341</c:v>
                </c:pt>
                <c:pt idx="40">
                  <c:v>87.631689579325752</c:v>
                </c:pt>
                <c:pt idx="41">
                  <c:v>61.176613395540812</c:v>
                </c:pt>
                <c:pt idx="42">
                  <c:v>78.713521849938303</c:v>
                </c:pt>
                <c:pt idx="43">
                  <c:v>47.876691105455357</c:v>
                </c:pt>
                <c:pt idx="44">
                  <c:v>40.254357662782418</c:v>
                </c:pt>
                <c:pt idx="45">
                  <c:v>10.016944291078396</c:v>
                </c:pt>
                <c:pt idx="46">
                  <c:v>7.0070398911708223</c:v>
                </c:pt>
                <c:pt idx="47">
                  <c:v>4.0026217473946382</c:v>
                </c:pt>
                <c:pt idx="48">
                  <c:v>0</c:v>
                </c:pt>
                <c:pt idx="49">
                  <c:v>0</c:v>
                </c:pt>
              </c:numCache>
            </c:numRef>
          </c:val>
          <c:smooth val="0"/>
        </c:ser>
        <c:ser>
          <c:idx val="2"/>
          <c:order val="1"/>
          <c:tx>
            <c:v>Filière scientifique</c:v>
          </c:tx>
          <c:spPr>
            <a:ln w="38100">
              <a:solidFill>
                <a:srgbClr val="993366"/>
              </a:solidFill>
              <a:prstDash val="solid"/>
            </a:ln>
          </c:spPr>
          <c:marker>
            <c:symbol val="none"/>
          </c:marker>
          <c:cat>
            <c:numRef>
              <c:f>Graph!$A$4:$A$53</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Graph!$C$4:$C$54</c:f>
              <c:numCache>
                <c:formatCode>0</c:formatCode>
                <c:ptCount val="51"/>
                <c:pt idx="0">
                  <c:v>0</c:v>
                </c:pt>
                <c:pt idx="1">
                  <c:v>0</c:v>
                </c:pt>
                <c:pt idx="2">
                  <c:v>0</c:v>
                </c:pt>
                <c:pt idx="3">
                  <c:v>1.0019623233908947</c:v>
                </c:pt>
                <c:pt idx="4">
                  <c:v>5.81138147566719</c:v>
                </c:pt>
                <c:pt idx="5">
                  <c:v>15.029434850863423</c:v>
                </c:pt>
                <c:pt idx="6">
                  <c:v>13.021585557299844</c:v>
                </c:pt>
                <c:pt idx="7">
                  <c:v>25.844740973312401</c:v>
                </c:pt>
                <c:pt idx="8">
                  <c:v>25.041208791208792</c:v>
                </c:pt>
                <c:pt idx="9">
                  <c:v>20.834929356357929</c:v>
                </c:pt>
                <c:pt idx="10">
                  <c:v>23.037284144427002</c:v>
                </c:pt>
                <c:pt idx="11">
                  <c:v>37.267503924646775</c:v>
                </c:pt>
                <c:pt idx="12">
                  <c:v>35.858477237048668</c:v>
                </c:pt>
                <c:pt idx="13">
                  <c:v>41.369270015698582</c:v>
                </c:pt>
                <c:pt idx="14">
                  <c:v>30.75671114599686</c:v>
                </c:pt>
                <c:pt idx="15">
                  <c:v>36.153375196232339</c:v>
                </c:pt>
                <c:pt idx="16">
                  <c:v>36.155926216640502</c:v>
                </c:pt>
                <c:pt idx="17">
                  <c:v>45.475353218210358</c:v>
                </c:pt>
                <c:pt idx="18">
                  <c:v>27.84277864992151</c:v>
                </c:pt>
                <c:pt idx="19">
                  <c:v>39.357692307692304</c:v>
                </c:pt>
                <c:pt idx="20">
                  <c:v>48.469270015698584</c:v>
                </c:pt>
                <c:pt idx="21">
                  <c:v>46.671036106750392</c:v>
                </c:pt>
                <c:pt idx="22">
                  <c:v>61.503218210361069</c:v>
                </c:pt>
                <c:pt idx="23">
                  <c:v>46.477315541601257</c:v>
                </c:pt>
                <c:pt idx="24">
                  <c:v>64.19831240188384</c:v>
                </c:pt>
                <c:pt idx="25">
                  <c:v>58.581043956043956</c:v>
                </c:pt>
                <c:pt idx="26">
                  <c:v>56.588500784929359</c:v>
                </c:pt>
                <c:pt idx="27">
                  <c:v>66.901255886970176</c:v>
                </c:pt>
                <c:pt idx="28">
                  <c:v>53.678492935635795</c:v>
                </c:pt>
                <c:pt idx="29">
                  <c:v>61.694583987441135</c:v>
                </c:pt>
                <c:pt idx="30">
                  <c:v>61.696153846153848</c:v>
                </c:pt>
                <c:pt idx="31">
                  <c:v>60.988500784929357</c:v>
                </c:pt>
                <c:pt idx="32">
                  <c:v>62.582810047095762</c:v>
                </c:pt>
                <c:pt idx="33">
                  <c:v>74.902040816326533</c:v>
                </c:pt>
                <c:pt idx="34">
                  <c:v>90.415188383045532</c:v>
                </c:pt>
                <c:pt idx="35">
                  <c:v>79.496742543171109</c:v>
                </c:pt>
                <c:pt idx="36">
                  <c:v>80.917346938775509</c:v>
                </c:pt>
                <c:pt idx="37">
                  <c:v>86.798704866562019</c:v>
                </c:pt>
                <c:pt idx="38">
                  <c:v>88.593602825745691</c:v>
                </c:pt>
                <c:pt idx="39">
                  <c:v>78.20302197802198</c:v>
                </c:pt>
                <c:pt idx="40">
                  <c:v>75.689874411302966</c:v>
                </c:pt>
                <c:pt idx="41">
                  <c:v>74.685164835164841</c:v>
                </c:pt>
                <c:pt idx="42">
                  <c:v>60.051020408163268</c:v>
                </c:pt>
                <c:pt idx="43">
                  <c:v>48.062794348508632</c:v>
                </c:pt>
                <c:pt idx="44">
                  <c:v>45.351609105180536</c:v>
                </c:pt>
                <c:pt idx="45">
                  <c:v>25.834929356357929</c:v>
                </c:pt>
                <c:pt idx="46">
                  <c:v>5.007849293563579</c:v>
                </c:pt>
                <c:pt idx="47">
                  <c:v>1</c:v>
                </c:pt>
                <c:pt idx="48">
                  <c:v>0</c:v>
                </c:pt>
                <c:pt idx="49">
                  <c:v>0</c:v>
                </c:pt>
                <c:pt idx="50">
                  <c:v>0</c:v>
                </c:pt>
              </c:numCache>
            </c:numRef>
          </c:val>
          <c:smooth val="0"/>
        </c:ser>
        <c:ser>
          <c:idx val="3"/>
          <c:order val="2"/>
          <c:tx>
            <c:v>Filière technique et enseignement</c:v>
          </c:tx>
          <c:spPr>
            <a:ln w="38100">
              <a:solidFill>
                <a:srgbClr val="808080"/>
              </a:solidFill>
              <a:prstDash val="solid"/>
            </a:ln>
          </c:spPr>
          <c:marker>
            <c:symbol val="none"/>
          </c:marker>
          <c:cat>
            <c:numRef>
              <c:f>Graph!$A$4:$A$53</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Graph!$D$4:$D$53</c:f>
              <c:numCache>
                <c:formatCode>0</c:formatCode>
                <c:ptCount val="50"/>
                <c:pt idx="0">
                  <c:v>0</c:v>
                </c:pt>
                <c:pt idx="1">
                  <c:v>0</c:v>
                </c:pt>
                <c:pt idx="2">
                  <c:v>0</c:v>
                </c:pt>
                <c:pt idx="3">
                  <c:v>2</c:v>
                </c:pt>
                <c:pt idx="4">
                  <c:v>1.5</c:v>
                </c:pt>
                <c:pt idx="5">
                  <c:v>6.9035807000268559</c:v>
                </c:pt>
                <c:pt idx="6">
                  <c:v>12.003580700026856</c:v>
                </c:pt>
                <c:pt idx="7">
                  <c:v>12.8</c:v>
                </c:pt>
                <c:pt idx="8">
                  <c:v>12.612174380091307</c:v>
                </c:pt>
                <c:pt idx="9">
                  <c:v>12.80716140005371</c:v>
                </c:pt>
                <c:pt idx="10">
                  <c:v>8.6071614000537089</c:v>
                </c:pt>
                <c:pt idx="11">
                  <c:v>18.608951750067138</c:v>
                </c:pt>
                <c:pt idx="12">
                  <c:v>16.810742100080567</c:v>
                </c:pt>
                <c:pt idx="13">
                  <c:v>30.322558410169187</c:v>
                </c:pt>
                <c:pt idx="14">
                  <c:v>24.213964730104735</c:v>
                </c:pt>
                <c:pt idx="15">
                  <c:v>19.610742100080564</c:v>
                </c:pt>
                <c:pt idx="16">
                  <c:v>29.817903500134278</c:v>
                </c:pt>
                <c:pt idx="17">
                  <c:v>23.221126130158446</c:v>
                </c:pt>
                <c:pt idx="18">
                  <c:v>42.835090860263179</c:v>
                </c:pt>
                <c:pt idx="19">
                  <c:v>48.740461910303466</c:v>
                </c:pt>
                <c:pt idx="20">
                  <c:v>61.256396025422973</c:v>
                </c:pt>
                <c:pt idx="21">
                  <c:v>59.549771730373287</c:v>
                </c:pt>
                <c:pt idx="22">
                  <c:v>70.864094530480699</c:v>
                </c:pt>
                <c:pt idx="23">
                  <c:v>60.635627965267211</c:v>
                </c:pt>
                <c:pt idx="24">
                  <c:v>59.442968400322258</c:v>
                </c:pt>
                <c:pt idx="25">
                  <c:v>64.449771730373286</c:v>
                </c:pt>
                <c:pt idx="26">
                  <c:v>82.250845940381339</c:v>
                </c:pt>
                <c:pt idx="27">
                  <c:v>84.56266225046997</c:v>
                </c:pt>
                <c:pt idx="28">
                  <c:v>95.084146450631096</c:v>
                </c:pt>
                <c:pt idx="29">
                  <c:v>96.776089875570676</c:v>
                </c:pt>
                <c:pt idx="30">
                  <c:v>86.064989705487406</c:v>
                </c:pt>
                <c:pt idx="31">
                  <c:v>86.467138125503539</c:v>
                </c:pt>
                <c:pt idx="32">
                  <c:v>102.58826425566197</c:v>
                </c:pt>
                <c:pt idx="33">
                  <c:v>128.10025960075197</c:v>
                </c:pt>
                <c:pt idx="34">
                  <c:v>119.39059171067944</c:v>
                </c:pt>
                <c:pt idx="35">
                  <c:v>99.169823650523668</c:v>
                </c:pt>
                <c:pt idx="36">
                  <c:v>116.09220302569152</c:v>
                </c:pt>
                <c:pt idx="37">
                  <c:v>111.19936442574523</c:v>
                </c:pt>
                <c:pt idx="38">
                  <c:v>98.869823650523685</c:v>
                </c:pt>
                <c:pt idx="39">
                  <c:v>104.0716140005371</c:v>
                </c:pt>
                <c:pt idx="40">
                  <c:v>87.675194700563964</c:v>
                </c:pt>
                <c:pt idx="41">
                  <c:v>70.581460925610955</c:v>
                </c:pt>
                <c:pt idx="42">
                  <c:v>52.655500850416253</c:v>
                </c:pt>
                <c:pt idx="43">
                  <c:v>45.855500850416249</c:v>
                </c:pt>
                <c:pt idx="44">
                  <c:v>45.064452600483392</c:v>
                </c:pt>
                <c:pt idx="45">
                  <c:v>21.028645600214841</c:v>
                </c:pt>
                <c:pt idx="46">
                  <c:v>14.016113150120848</c:v>
                </c:pt>
                <c:pt idx="47">
                  <c:v>11.016113150120848</c:v>
                </c:pt>
                <c:pt idx="48">
                  <c:v>4.0035807000268555</c:v>
                </c:pt>
                <c:pt idx="49">
                  <c:v>2.0017903500134278</c:v>
                </c:pt>
              </c:numCache>
            </c:numRef>
          </c:val>
          <c:smooth val="0"/>
        </c:ser>
        <c:ser>
          <c:idx val="4"/>
          <c:order val="3"/>
          <c:tx>
            <c:v>Filière acc surv mag</c:v>
          </c:tx>
          <c:spPr>
            <a:ln w="38100">
              <a:solidFill>
                <a:srgbClr val="C0C0C0"/>
              </a:solidFill>
              <a:prstDash val="solid"/>
            </a:ln>
          </c:spPr>
          <c:marker>
            <c:symbol val="none"/>
          </c:marker>
          <c:cat>
            <c:numRef>
              <c:f>Graph!$A$4:$A$53</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Graph!$E$4:$E$53</c:f>
              <c:numCache>
                <c:formatCode>General</c:formatCode>
                <c:ptCount val="50"/>
                <c:pt idx="5" formatCode="0">
                  <c:v>10</c:v>
                </c:pt>
                <c:pt idx="6" formatCode="0">
                  <c:v>8</c:v>
                </c:pt>
                <c:pt idx="7" formatCode="0">
                  <c:v>13</c:v>
                </c:pt>
                <c:pt idx="8" formatCode="0">
                  <c:v>12</c:v>
                </c:pt>
                <c:pt idx="9" formatCode="0">
                  <c:v>15</c:v>
                </c:pt>
                <c:pt idx="10" formatCode="0">
                  <c:v>16.8</c:v>
                </c:pt>
                <c:pt idx="11" formatCode="0">
                  <c:v>14.6</c:v>
                </c:pt>
                <c:pt idx="12" formatCode="0">
                  <c:v>25.4</c:v>
                </c:pt>
                <c:pt idx="13" formatCode="0">
                  <c:v>13</c:v>
                </c:pt>
                <c:pt idx="14" formatCode="0">
                  <c:v>19.899999999999999</c:v>
                </c:pt>
                <c:pt idx="15" formatCode="0">
                  <c:v>21.6</c:v>
                </c:pt>
                <c:pt idx="16" formatCode="0">
                  <c:v>19.3</c:v>
                </c:pt>
                <c:pt idx="17" formatCode="0">
                  <c:v>34.6</c:v>
                </c:pt>
                <c:pt idx="18" formatCode="0">
                  <c:v>28.3</c:v>
                </c:pt>
                <c:pt idx="19" formatCode="0">
                  <c:v>36.1</c:v>
                </c:pt>
                <c:pt idx="20" formatCode="0">
                  <c:v>46.8</c:v>
                </c:pt>
                <c:pt idx="21" formatCode="0">
                  <c:v>49.1</c:v>
                </c:pt>
                <c:pt idx="22" formatCode="0">
                  <c:v>58.8</c:v>
                </c:pt>
                <c:pt idx="23" formatCode="0">
                  <c:v>64.599999999999994</c:v>
                </c:pt>
                <c:pt idx="24" formatCode="0">
                  <c:v>48</c:v>
                </c:pt>
                <c:pt idx="25" formatCode="0">
                  <c:v>60.4</c:v>
                </c:pt>
                <c:pt idx="26" formatCode="0">
                  <c:v>69.900000000000006</c:v>
                </c:pt>
                <c:pt idx="27" formatCode="0">
                  <c:v>76.900000000000006</c:v>
                </c:pt>
                <c:pt idx="28" formatCode="0">
                  <c:v>70.2</c:v>
                </c:pt>
                <c:pt idx="29" formatCode="0">
                  <c:v>68</c:v>
                </c:pt>
                <c:pt idx="30" formatCode="0">
                  <c:v>82.3</c:v>
                </c:pt>
                <c:pt idx="31" formatCode="0">
                  <c:v>76.3</c:v>
                </c:pt>
                <c:pt idx="32" formatCode="0">
                  <c:v>74.099999999999994</c:v>
                </c:pt>
                <c:pt idx="33" formatCode="0">
                  <c:v>74.8</c:v>
                </c:pt>
                <c:pt idx="34" formatCode="0">
                  <c:v>83.2</c:v>
                </c:pt>
                <c:pt idx="35" formatCode="0">
                  <c:v>77</c:v>
                </c:pt>
                <c:pt idx="36" formatCode="0">
                  <c:v>74.7</c:v>
                </c:pt>
                <c:pt idx="37" formatCode="0">
                  <c:v>82.4</c:v>
                </c:pt>
                <c:pt idx="38" formatCode="0">
                  <c:v>73.099999999999994</c:v>
                </c:pt>
                <c:pt idx="39" formatCode="0">
                  <c:v>55.2</c:v>
                </c:pt>
                <c:pt idx="40" formatCode="0">
                  <c:v>57.2</c:v>
                </c:pt>
                <c:pt idx="41" formatCode="0">
                  <c:v>32.9</c:v>
                </c:pt>
                <c:pt idx="42" formatCode="0">
                  <c:v>32.9</c:v>
                </c:pt>
                <c:pt idx="43" formatCode="0">
                  <c:v>13</c:v>
                </c:pt>
                <c:pt idx="44" formatCode="0">
                  <c:v>18.8</c:v>
                </c:pt>
                <c:pt idx="45" formatCode="0">
                  <c:v>6</c:v>
                </c:pt>
                <c:pt idx="46" formatCode="0">
                  <c:v>3</c:v>
                </c:pt>
              </c:numCache>
            </c:numRef>
          </c:val>
          <c:smooth val="0"/>
        </c:ser>
        <c:ser>
          <c:idx val="1"/>
          <c:order val="4"/>
          <c:tx>
            <c:v>Agents non titulaires</c:v>
          </c:tx>
          <c:spPr>
            <a:ln w="38100">
              <a:solidFill>
                <a:srgbClr val="FF99CC"/>
              </a:solidFill>
              <a:prstDash val="solid"/>
            </a:ln>
          </c:spPr>
          <c:marker>
            <c:symbol val="none"/>
          </c:marker>
          <c:cat>
            <c:numRef>
              <c:f>Graph!$A$4:$A$53</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Graph!$F$4:$F$53</c:f>
              <c:numCache>
                <c:formatCode>0</c:formatCode>
                <c:ptCount val="50"/>
                <c:pt idx="0">
                  <c:v>4.0060021847952658</c:v>
                </c:pt>
                <c:pt idx="1">
                  <c:v>3</c:v>
                </c:pt>
                <c:pt idx="2">
                  <c:v>3.5633612234853489</c:v>
                </c:pt>
                <c:pt idx="3">
                  <c:v>6.0060021847952658</c:v>
                </c:pt>
                <c:pt idx="4">
                  <c:v>5.5623552213005532</c:v>
                </c:pt>
                <c:pt idx="5">
                  <c:v>16.563361223485348</c:v>
                </c:pt>
                <c:pt idx="6">
                  <c:v>21.144729001356495</c:v>
                </c:pt>
                <c:pt idx="7">
                  <c:v>17.506002184795264</c:v>
                </c:pt>
                <c:pt idx="8">
                  <c:v>24.771764282198721</c:v>
                </c:pt>
                <c:pt idx="9">
                  <c:v>27.581367777871144</c:v>
                </c:pt>
                <c:pt idx="10">
                  <c:v>26.506002184795264</c:v>
                </c:pt>
                <c:pt idx="11">
                  <c:v>25.339310487017276</c:v>
                </c:pt>
                <c:pt idx="12">
                  <c:v>35.506002184795264</c:v>
                </c:pt>
                <c:pt idx="13">
                  <c:v>43.328810487017272</c:v>
                </c:pt>
                <c:pt idx="14">
                  <c:v>31.836926161122648</c:v>
                </c:pt>
                <c:pt idx="15">
                  <c:v>35.444729001356492</c:v>
                </c:pt>
                <c:pt idx="16">
                  <c:v>37.212004369590524</c:v>
                </c:pt>
                <c:pt idx="17">
                  <c:v>34.029003277192899</c:v>
                </c:pt>
                <c:pt idx="18">
                  <c:v>39.418006554385798</c:v>
                </c:pt>
                <c:pt idx="19">
                  <c:v>38.366336866619449</c:v>
                </c:pt>
                <c:pt idx="20">
                  <c:v>44.428810487017273</c:v>
                </c:pt>
                <c:pt idx="21">
                  <c:v>51.83039979352484</c:v>
                </c:pt>
                <c:pt idx="22">
                  <c:v>48.776013108771593</c:v>
                </c:pt>
                <c:pt idx="23">
                  <c:v>39.989734463344654</c:v>
                </c:pt>
                <c:pt idx="24">
                  <c:v>39.439014201169222</c:v>
                </c:pt>
                <c:pt idx="25">
                  <c:v>33.4080065543858</c:v>
                </c:pt>
                <c:pt idx="26">
                  <c:v>42.505376517052206</c:v>
                </c:pt>
                <c:pt idx="27">
                  <c:v>41.635712999531826</c:v>
                </c:pt>
                <c:pt idx="28">
                  <c:v>36.424008739181062</c:v>
                </c:pt>
                <c:pt idx="29">
                  <c:v>44.198890880280423</c:v>
                </c:pt>
                <c:pt idx="30">
                  <c:v>41.677373239859314</c:v>
                </c:pt>
                <c:pt idx="31">
                  <c:v>19.112004369590533</c:v>
                </c:pt>
                <c:pt idx="32">
                  <c:v>32.533012016373959</c:v>
                </c:pt>
                <c:pt idx="33">
                  <c:v>30.091571492023096</c:v>
                </c:pt>
                <c:pt idx="34">
                  <c:v>38.154619881636918</c:v>
                </c:pt>
                <c:pt idx="35">
                  <c:v>29.644729001356495</c:v>
                </c:pt>
                <c:pt idx="36">
                  <c:v>32.703288477005628</c:v>
                </c:pt>
                <c:pt idx="37">
                  <c:v>39.398173895297887</c:v>
                </c:pt>
                <c:pt idx="38">
                  <c:v>36.356733370947026</c:v>
                </c:pt>
                <c:pt idx="39">
                  <c:v>37.350731186151762</c:v>
                </c:pt>
                <c:pt idx="40">
                  <c:v>32.750638236318018</c:v>
                </c:pt>
                <c:pt idx="41">
                  <c:v>39.400983998175342</c:v>
                </c:pt>
                <c:pt idx="42">
                  <c:v>32.756589678643024</c:v>
                </c:pt>
                <c:pt idx="43">
                  <c:v>19.190000000000001</c:v>
                </c:pt>
                <c:pt idx="44">
                  <c:v>23.012004369590532</c:v>
                </c:pt>
                <c:pt idx="45">
                  <c:v>6.5060021847952658</c:v>
                </c:pt>
                <c:pt idx="46">
                  <c:v>2</c:v>
                </c:pt>
                <c:pt idx="47">
                  <c:v>0</c:v>
                </c:pt>
                <c:pt idx="48">
                  <c:v>0</c:v>
                </c:pt>
                <c:pt idx="49">
                  <c:v>0</c:v>
                </c:pt>
              </c:numCache>
            </c:numRef>
          </c:val>
          <c:smooth val="0"/>
        </c:ser>
        <c:dLbls>
          <c:showLegendKey val="0"/>
          <c:showVal val="0"/>
          <c:showCatName val="0"/>
          <c:showSerName val="0"/>
          <c:showPercent val="0"/>
          <c:showBubbleSize val="0"/>
        </c:dLbls>
        <c:smooth val="0"/>
        <c:axId val="215375584"/>
        <c:axId val="215376144"/>
      </c:lineChart>
      <c:catAx>
        <c:axId val="215375584"/>
        <c:scaling>
          <c:orientation val="minMax"/>
        </c:scaling>
        <c:delete val="0"/>
        <c:axPos val="b"/>
        <c:numFmt formatCode="General" sourceLinked="1"/>
        <c:majorTickMark val="out"/>
        <c:minorTickMark val="none"/>
        <c:tickLblPos val="nextTo"/>
        <c:spPr>
          <a:ln w="3175">
            <a:solidFill>
              <a:srgbClr val="C0C0C0"/>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215376144"/>
        <c:crosses val="autoZero"/>
        <c:auto val="1"/>
        <c:lblAlgn val="ctr"/>
        <c:lblOffset val="100"/>
        <c:tickLblSkip val="5"/>
        <c:tickMarkSkip val="1"/>
        <c:noMultiLvlLbl val="0"/>
      </c:catAx>
      <c:valAx>
        <c:axId val="215376144"/>
        <c:scaling>
          <c:orientation val="minMax"/>
          <c:max val="150"/>
        </c:scaling>
        <c:delete val="0"/>
        <c:axPos val="l"/>
        <c:majorGridlines>
          <c:spPr>
            <a:ln w="3175">
              <a:solidFill>
                <a:srgbClr val="C0C0C0"/>
              </a:solidFill>
              <a:prstDash val="solid"/>
            </a:ln>
          </c:spPr>
        </c:majorGridlines>
        <c:numFmt formatCode="0" sourceLinked="1"/>
        <c:majorTickMark val="out"/>
        <c:minorTickMark val="none"/>
        <c:tickLblPos val="nextTo"/>
        <c:spPr>
          <a:ln w="3175">
            <a:solidFill>
              <a:srgbClr val="C0C0C0"/>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215375584"/>
        <c:crosses val="autoZero"/>
        <c:crossBetween val="between"/>
        <c:majorUnit val="50"/>
        <c:minorUnit val="10"/>
      </c:valAx>
      <c:spPr>
        <a:solidFill>
          <a:srgbClr val="FFFFFF"/>
        </a:solidFill>
        <a:ln w="25400">
          <a:noFill/>
        </a:ln>
      </c:spPr>
    </c:plotArea>
    <c:legend>
      <c:legendPos val="b"/>
      <c:layout>
        <c:manualLayout>
          <c:xMode val="edge"/>
          <c:yMode val="edge"/>
          <c:x val="8.9071665218168103E-2"/>
          <c:y val="0.86746277572454289"/>
          <c:w val="0.83403468340648312"/>
          <c:h val="0.11960034947697186"/>
        </c:manualLayout>
      </c:layout>
      <c:overlay val="0"/>
      <c:spPr>
        <a:solidFill>
          <a:srgbClr val="FFFFFF"/>
        </a:solidFill>
        <a:ln w="25400">
          <a:noFill/>
        </a:ln>
      </c:spPr>
      <c:txPr>
        <a:bodyPr/>
        <a:lstStyle/>
        <a:p>
          <a:pPr>
            <a:defRPr sz="92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1025" b="0" i="0" u="none" strike="noStrike" baseline="0">
          <a:solidFill>
            <a:srgbClr val="000000"/>
          </a:solidFill>
          <a:latin typeface="Arial"/>
          <a:ea typeface="Arial"/>
          <a:cs typeface="Arial"/>
        </a:defRPr>
      </a:pPr>
      <a:endParaRPr lang="fr-F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75" b="1" i="0" u="none" strike="noStrike" baseline="0">
                <a:solidFill>
                  <a:srgbClr val="000000"/>
                </a:solidFill>
                <a:latin typeface="Arial"/>
                <a:ea typeface="Arial"/>
                <a:cs typeface="Arial"/>
              </a:defRPr>
            </a:pPr>
            <a:r>
              <a:rPr lang="fr-FR"/>
              <a:t>Courbe des âges par catégorie au 31/12/2013</a:t>
            </a:r>
          </a:p>
        </c:rich>
      </c:tx>
      <c:layout>
        <c:manualLayout>
          <c:xMode val="edge"/>
          <c:yMode val="edge"/>
          <c:x val="0.26477411122993932"/>
          <c:y val="3.4156642078900137E-2"/>
        </c:manualLayout>
      </c:layout>
      <c:overlay val="0"/>
      <c:spPr>
        <a:noFill/>
        <a:ln w="25400">
          <a:noFill/>
        </a:ln>
      </c:spPr>
    </c:title>
    <c:autoTitleDeleted val="0"/>
    <c:plotArea>
      <c:layout>
        <c:manualLayout>
          <c:layoutTarget val="inner"/>
          <c:xMode val="edge"/>
          <c:yMode val="edge"/>
          <c:x val="7.6377147470174808E-2"/>
          <c:y val="0.21063262615321751"/>
          <c:w val="0.90023197818179379"/>
          <c:h val="0.58825328024772461"/>
        </c:manualLayout>
      </c:layout>
      <c:lineChart>
        <c:grouping val="standard"/>
        <c:varyColors val="0"/>
        <c:ser>
          <c:idx val="1"/>
          <c:order val="0"/>
          <c:tx>
            <c:v>Catégorie A+</c:v>
          </c:tx>
          <c:spPr>
            <a:ln w="38100">
              <a:solidFill>
                <a:srgbClr val="C0C0C0"/>
              </a:solidFill>
              <a:prstDash val="solid"/>
            </a:ln>
          </c:spPr>
          <c:marker>
            <c:symbol val="none"/>
          </c:marker>
          <c:cat>
            <c:numRef>
              <c:f>Graph!$A$3:$A$52</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Graph!$B$3:$B$52</c:f>
              <c:numCache>
                <c:formatCode>General</c:formatCode>
                <c:ptCount val="50"/>
                <c:pt idx="8" formatCode="0">
                  <c:v>1</c:v>
                </c:pt>
                <c:pt idx="10" formatCode="0">
                  <c:v>1</c:v>
                </c:pt>
                <c:pt idx="11" formatCode="0">
                  <c:v>0.21049999999999999</c:v>
                </c:pt>
                <c:pt idx="12" formatCode="0">
                  <c:v>2</c:v>
                </c:pt>
                <c:pt idx="13" formatCode="0">
                  <c:v>1</c:v>
                </c:pt>
                <c:pt idx="15" formatCode="0">
                  <c:v>1</c:v>
                </c:pt>
                <c:pt idx="16" formatCode="0">
                  <c:v>2.8</c:v>
                </c:pt>
                <c:pt idx="17" formatCode="0">
                  <c:v>3</c:v>
                </c:pt>
                <c:pt idx="18" formatCode="0">
                  <c:v>2</c:v>
                </c:pt>
                <c:pt idx="19" formatCode="0">
                  <c:v>4</c:v>
                </c:pt>
                <c:pt idx="20" formatCode="0">
                  <c:v>5</c:v>
                </c:pt>
                <c:pt idx="21" formatCode="0">
                  <c:v>6</c:v>
                </c:pt>
                <c:pt idx="22" formatCode="0">
                  <c:v>7.8</c:v>
                </c:pt>
                <c:pt idx="23" formatCode="0">
                  <c:v>8</c:v>
                </c:pt>
                <c:pt idx="24" formatCode="0">
                  <c:v>10</c:v>
                </c:pt>
                <c:pt idx="25" formatCode="0">
                  <c:v>5</c:v>
                </c:pt>
                <c:pt idx="26" formatCode="0">
                  <c:v>8</c:v>
                </c:pt>
                <c:pt idx="27" formatCode="0">
                  <c:v>9.8000000000000007</c:v>
                </c:pt>
                <c:pt idx="28" formatCode="0">
                  <c:v>5</c:v>
                </c:pt>
                <c:pt idx="29" formatCode="0">
                  <c:v>6</c:v>
                </c:pt>
                <c:pt idx="30" formatCode="0">
                  <c:v>11.9</c:v>
                </c:pt>
                <c:pt idx="31" formatCode="0">
                  <c:v>8</c:v>
                </c:pt>
                <c:pt idx="32" formatCode="0">
                  <c:v>16</c:v>
                </c:pt>
                <c:pt idx="33" formatCode="0">
                  <c:v>9</c:v>
                </c:pt>
                <c:pt idx="34" formatCode="0">
                  <c:v>18.8</c:v>
                </c:pt>
                <c:pt idx="35" formatCode="0">
                  <c:v>24</c:v>
                </c:pt>
                <c:pt idx="36" formatCode="0">
                  <c:v>24</c:v>
                </c:pt>
                <c:pt idx="37" formatCode="0">
                  <c:v>28.8</c:v>
                </c:pt>
                <c:pt idx="38" formatCode="0">
                  <c:v>29</c:v>
                </c:pt>
                <c:pt idx="39" formatCode="0">
                  <c:v>32.799999999999997</c:v>
                </c:pt>
                <c:pt idx="40" formatCode="0">
                  <c:v>30.8</c:v>
                </c:pt>
                <c:pt idx="41" formatCode="0">
                  <c:v>32.799999999999997</c:v>
                </c:pt>
                <c:pt idx="42" formatCode="0">
                  <c:v>37.4</c:v>
                </c:pt>
                <c:pt idx="43" formatCode="0">
                  <c:v>23</c:v>
                </c:pt>
                <c:pt idx="44" formatCode="0">
                  <c:v>26</c:v>
                </c:pt>
                <c:pt idx="45" formatCode="0">
                  <c:v>16</c:v>
                </c:pt>
                <c:pt idx="46" formatCode="0">
                  <c:v>9</c:v>
                </c:pt>
                <c:pt idx="47" formatCode="0">
                  <c:v>5</c:v>
                </c:pt>
                <c:pt idx="48" formatCode="0">
                  <c:v>2</c:v>
                </c:pt>
                <c:pt idx="49" formatCode="0">
                  <c:v>1</c:v>
                </c:pt>
              </c:numCache>
            </c:numRef>
          </c:val>
          <c:smooth val="0"/>
        </c:ser>
        <c:ser>
          <c:idx val="2"/>
          <c:order val="1"/>
          <c:tx>
            <c:v>Catégorie A</c:v>
          </c:tx>
          <c:spPr>
            <a:ln w="38100">
              <a:solidFill>
                <a:srgbClr val="FF00FF"/>
              </a:solidFill>
              <a:prstDash val="solid"/>
            </a:ln>
          </c:spPr>
          <c:marker>
            <c:symbol val="none"/>
          </c:marker>
          <c:cat>
            <c:numRef>
              <c:f>Graph!$A$3:$A$52</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Graph!$C$3:$C$52</c:f>
              <c:numCache>
                <c:formatCode>0</c:formatCode>
                <c:ptCount val="50"/>
                <c:pt idx="0">
                  <c:v>1.0016397739829244</c:v>
                </c:pt>
                <c:pt idx="1">
                  <c:v>0</c:v>
                </c:pt>
                <c:pt idx="2">
                  <c:v>0</c:v>
                </c:pt>
                <c:pt idx="3">
                  <c:v>1.0016397739829244</c:v>
                </c:pt>
                <c:pt idx="4">
                  <c:v>12.820989106981433</c:v>
                </c:pt>
                <c:pt idx="5">
                  <c:v>27.044273897538957</c:v>
                </c:pt>
                <c:pt idx="6">
                  <c:v>27.044273897538957</c:v>
                </c:pt>
                <c:pt idx="7">
                  <c:v>36.359523795580152</c:v>
                </c:pt>
                <c:pt idx="8">
                  <c:v>49.681332789553046</c:v>
                </c:pt>
                <c:pt idx="9">
                  <c:v>46.876741422400855</c:v>
                </c:pt>
                <c:pt idx="10">
                  <c:v>47.778217218985496</c:v>
                </c:pt>
                <c:pt idx="11">
                  <c:v>61.600846099949848</c:v>
                </c:pt>
                <c:pt idx="12">
                  <c:v>80.431673850828815</c:v>
                </c:pt>
                <c:pt idx="13">
                  <c:v>87.543316246107594</c:v>
                </c:pt>
                <c:pt idx="14">
                  <c:v>62.802813828729356</c:v>
                </c:pt>
                <c:pt idx="15">
                  <c:v>72.618883613762009</c:v>
                </c:pt>
                <c:pt idx="16">
                  <c:v>81.032657715218591</c:v>
                </c:pt>
                <c:pt idx="17">
                  <c:v>84.438232946760522</c:v>
                </c:pt>
                <c:pt idx="18">
                  <c:v>87.242824313912706</c:v>
                </c:pt>
                <c:pt idx="19">
                  <c:v>99.562993533902684</c:v>
                </c:pt>
                <c:pt idx="20">
                  <c:v>121.49890458412872</c:v>
                </c:pt>
                <c:pt idx="21">
                  <c:v>118.79447719437482</c:v>
                </c:pt>
                <c:pt idx="22">
                  <c:v>147.5515551054246</c:v>
                </c:pt>
                <c:pt idx="23">
                  <c:v>108.77807945454558</c:v>
                </c:pt>
                <c:pt idx="24">
                  <c:v>113.08513048267216</c:v>
                </c:pt>
                <c:pt idx="25">
                  <c:v>110.68119502511314</c:v>
                </c:pt>
                <c:pt idx="26">
                  <c:v>121.6992325389253</c:v>
                </c:pt>
                <c:pt idx="27">
                  <c:v>134.4701396572076</c:v>
                </c:pt>
                <c:pt idx="28">
                  <c:v>133.81907380411869</c:v>
                </c:pt>
                <c:pt idx="29">
                  <c:v>141.72201162084397</c:v>
                </c:pt>
                <c:pt idx="30">
                  <c:v>127.36951529944263</c:v>
                </c:pt>
                <c:pt idx="31">
                  <c:v>122.20005242591677</c:v>
                </c:pt>
                <c:pt idx="32">
                  <c:v>140.22956835760939</c:v>
                </c:pt>
                <c:pt idx="33">
                  <c:v>145.23776722752402</c:v>
                </c:pt>
                <c:pt idx="34">
                  <c:v>158.25908428930205</c:v>
                </c:pt>
                <c:pt idx="35">
                  <c:v>133.11792596233065</c:v>
                </c:pt>
                <c:pt idx="36">
                  <c:v>151.94875371320961</c:v>
                </c:pt>
                <c:pt idx="37">
                  <c:v>159.46105201808155</c:v>
                </c:pt>
                <c:pt idx="38">
                  <c:v>141.93235597338037</c:v>
                </c:pt>
                <c:pt idx="39">
                  <c:v>144.94729169306899</c:v>
                </c:pt>
                <c:pt idx="40">
                  <c:v>135.72218937468625</c:v>
                </c:pt>
                <c:pt idx="41">
                  <c:v>127.56884161446524</c:v>
                </c:pt>
                <c:pt idx="42">
                  <c:v>105.07201229080877</c:v>
                </c:pt>
                <c:pt idx="43">
                  <c:v>99.562993533902684</c:v>
                </c:pt>
                <c:pt idx="44">
                  <c:v>93.85364682220002</c:v>
                </c:pt>
                <c:pt idx="45">
                  <c:v>41.367722665494775</c:v>
                </c:pt>
                <c:pt idx="46">
                  <c:v>17.027876157709713</c:v>
                </c:pt>
                <c:pt idx="47">
                  <c:v>9.0147579658463197</c:v>
                </c:pt>
                <c:pt idx="48">
                  <c:v>2.0032795479658487</c:v>
                </c:pt>
                <c:pt idx="49">
                  <c:v>1.0016397739829244</c:v>
                </c:pt>
              </c:numCache>
            </c:numRef>
          </c:val>
          <c:smooth val="0"/>
        </c:ser>
        <c:ser>
          <c:idx val="3"/>
          <c:order val="2"/>
          <c:tx>
            <c:v>Catégorie B</c:v>
          </c:tx>
          <c:spPr>
            <a:ln w="38100">
              <a:solidFill>
                <a:srgbClr val="FF99CC"/>
              </a:solidFill>
              <a:prstDash val="solid"/>
            </a:ln>
          </c:spPr>
          <c:marker>
            <c:symbol val="none"/>
          </c:marker>
          <c:cat>
            <c:numRef>
              <c:f>Graph!$A$3:$A$52</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Graph!$D$3:$D$52</c:f>
              <c:numCache>
                <c:formatCode>0</c:formatCode>
                <c:ptCount val="50"/>
                <c:pt idx="0">
                  <c:v>2</c:v>
                </c:pt>
                <c:pt idx="1">
                  <c:v>3</c:v>
                </c:pt>
                <c:pt idx="2">
                  <c:v>3</c:v>
                </c:pt>
                <c:pt idx="3">
                  <c:v>7</c:v>
                </c:pt>
                <c:pt idx="4">
                  <c:v>7.5</c:v>
                </c:pt>
                <c:pt idx="5">
                  <c:v>16.899999999999999</c:v>
                </c:pt>
                <c:pt idx="6">
                  <c:v>19</c:v>
                </c:pt>
                <c:pt idx="7">
                  <c:v>20.8</c:v>
                </c:pt>
                <c:pt idx="8">
                  <c:v>17.8</c:v>
                </c:pt>
                <c:pt idx="9">
                  <c:v>21.8</c:v>
                </c:pt>
                <c:pt idx="10">
                  <c:v>14.4</c:v>
                </c:pt>
                <c:pt idx="11">
                  <c:v>23.2</c:v>
                </c:pt>
                <c:pt idx="12">
                  <c:v>13.8</c:v>
                </c:pt>
                <c:pt idx="13">
                  <c:v>31</c:v>
                </c:pt>
                <c:pt idx="14">
                  <c:v>21.6</c:v>
                </c:pt>
                <c:pt idx="15">
                  <c:v>29.1</c:v>
                </c:pt>
                <c:pt idx="16">
                  <c:v>35.5</c:v>
                </c:pt>
                <c:pt idx="17">
                  <c:v>32.82</c:v>
                </c:pt>
                <c:pt idx="18">
                  <c:v>31.9</c:v>
                </c:pt>
                <c:pt idx="19">
                  <c:v>46.1</c:v>
                </c:pt>
                <c:pt idx="20">
                  <c:v>54.6</c:v>
                </c:pt>
                <c:pt idx="21">
                  <c:v>65.3</c:v>
                </c:pt>
                <c:pt idx="22">
                  <c:v>49.93</c:v>
                </c:pt>
                <c:pt idx="23">
                  <c:v>59.43</c:v>
                </c:pt>
                <c:pt idx="24">
                  <c:v>54.7</c:v>
                </c:pt>
                <c:pt idx="25">
                  <c:v>57.19</c:v>
                </c:pt>
                <c:pt idx="26">
                  <c:v>81</c:v>
                </c:pt>
                <c:pt idx="27">
                  <c:v>63.3</c:v>
                </c:pt>
                <c:pt idx="28">
                  <c:v>65</c:v>
                </c:pt>
                <c:pt idx="29">
                  <c:v>71.798999999999992</c:v>
                </c:pt>
                <c:pt idx="30">
                  <c:v>86.72</c:v>
                </c:pt>
                <c:pt idx="31">
                  <c:v>69.5</c:v>
                </c:pt>
                <c:pt idx="32">
                  <c:v>78.900000000000006</c:v>
                </c:pt>
                <c:pt idx="33">
                  <c:v>89.5</c:v>
                </c:pt>
                <c:pt idx="34">
                  <c:v>104.8</c:v>
                </c:pt>
                <c:pt idx="35">
                  <c:v>85.5</c:v>
                </c:pt>
                <c:pt idx="36">
                  <c:v>78.5</c:v>
                </c:pt>
                <c:pt idx="37">
                  <c:v>91</c:v>
                </c:pt>
                <c:pt idx="38">
                  <c:v>102.4</c:v>
                </c:pt>
                <c:pt idx="39">
                  <c:v>84.09</c:v>
                </c:pt>
                <c:pt idx="40">
                  <c:v>58.9</c:v>
                </c:pt>
                <c:pt idx="41">
                  <c:v>50.9</c:v>
                </c:pt>
                <c:pt idx="42">
                  <c:v>44.6</c:v>
                </c:pt>
                <c:pt idx="43">
                  <c:v>22.59</c:v>
                </c:pt>
                <c:pt idx="44">
                  <c:v>18.8</c:v>
                </c:pt>
                <c:pt idx="45">
                  <c:v>3</c:v>
                </c:pt>
                <c:pt idx="46">
                  <c:v>1</c:v>
                </c:pt>
                <c:pt idx="47">
                  <c:v>0</c:v>
                </c:pt>
              </c:numCache>
            </c:numRef>
          </c:val>
          <c:smooth val="0"/>
        </c:ser>
        <c:ser>
          <c:idx val="0"/>
          <c:order val="3"/>
          <c:tx>
            <c:v>Catégorie C</c:v>
          </c:tx>
          <c:spPr>
            <a:ln w="38100">
              <a:solidFill>
                <a:srgbClr val="808080"/>
              </a:solidFill>
              <a:prstDash val="solid"/>
            </a:ln>
          </c:spPr>
          <c:marker>
            <c:symbol val="none"/>
          </c:marker>
          <c:val>
            <c:numRef>
              <c:f>Graph!$E$3:$E$52</c:f>
              <c:numCache>
                <c:formatCode>0</c:formatCode>
                <c:ptCount val="50"/>
                <c:pt idx="0">
                  <c:v>1.0007660866709602</c:v>
                </c:pt>
                <c:pt idx="1">
                  <c:v>0</c:v>
                </c:pt>
                <c:pt idx="2">
                  <c:v>0.56042900853573774</c:v>
                </c:pt>
                <c:pt idx="3">
                  <c:v>1.0007660866709602</c:v>
                </c:pt>
                <c:pt idx="4">
                  <c:v>1.5601943291200271</c:v>
                </c:pt>
                <c:pt idx="5">
                  <c:v>12.569622048587259</c:v>
                </c:pt>
                <c:pt idx="6">
                  <c:v>17.133115403806841</c:v>
                </c:pt>
                <c:pt idx="7">
                  <c:v>18.814402429414052</c:v>
                </c:pt>
                <c:pt idx="8">
                  <c:v>22.777436132631056</c:v>
                </c:pt>
                <c:pt idx="9">
                  <c:v>21.376363611291708</c:v>
                </c:pt>
                <c:pt idx="10">
                  <c:v>23.818232862768852</c:v>
                </c:pt>
                <c:pt idx="11">
                  <c:v>25.419458601442386</c:v>
                </c:pt>
                <c:pt idx="12">
                  <c:v>39.230030597501639</c:v>
                </c:pt>
                <c:pt idx="13">
                  <c:v>34.426353381481029</c:v>
                </c:pt>
                <c:pt idx="14">
                  <c:v>38.749662875899574</c:v>
                </c:pt>
                <c:pt idx="15">
                  <c:v>46.755791569267259</c:v>
                </c:pt>
                <c:pt idx="16">
                  <c:v>46.135316595531265</c:v>
                </c:pt>
                <c:pt idx="17">
                  <c:v>62.447803808267913</c:v>
                </c:pt>
                <c:pt idx="18">
                  <c:v>57.243820157578924</c:v>
                </c:pt>
                <c:pt idx="19">
                  <c:v>69.473181736698052</c:v>
                </c:pt>
                <c:pt idx="20">
                  <c:v>96.373774146413467</c:v>
                </c:pt>
                <c:pt idx="21">
                  <c:v>112.08380017497417</c:v>
                </c:pt>
                <c:pt idx="22">
                  <c:v>130.09959126722481</c:v>
                </c:pt>
                <c:pt idx="23">
                  <c:v>131.02029606696209</c:v>
                </c:pt>
                <c:pt idx="24">
                  <c:v>116.08886605383138</c:v>
                </c:pt>
                <c:pt idx="25">
                  <c:v>139.40671587326477</c:v>
                </c:pt>
                <c:pt idx="26">
                  <c:v>159.7823133978855</c:v>
                </c:pt>
                <c:pt idx="27">
                  <c:v>181.38885320911152</c:v>
                </c:pt>
                <c:pt idx="28">
                  <c:v>141.90863108994216</c:v>
                </c:pt>
                <c:pt idx="29">
                  <c:v>155.59911115560087</c:v>
                </c:pt>
                <c:pt idx="30">
                  <c:v>169.78997426459509</c:v>
                </c:pt>
                <c:pt idx="31">
                  <c:v>180.03781899210574</c:v>
                </c:pt>
                <c:pt idx="32">
                  <c:v>168.12870256072131</c:v>
                </c:pt>
                <c:pt idx="33">
                  <c:v>168.58905496058995</c:v>
                </c:pt>
                <c:pt idx="34">
                  <c:v>186.84302838146826</c:v>
                </c:pt>
                <c:pt idx="35">
                  <c:v>170.75070970779922</c:v>
                </c:pt>
                <c:pt idx="36">
                  <c:v>169.50975976032723</c:v>
                </c:pt>
                <c:pt idx="37">
                  <c:v>172.39196608993959</c:v>
                </c:pt>
                <c:pt idx="38">
                  <c:v>165.44664944844314</c:v>
                </c:pt>
                <c:pt idx="39">
                  <c:v>132.62152180563564</c:v>
                </c:pt>
                <c:pt idx="40">
                  <c:v>115.52743627920896</c:v>
                </c:pt>
                <c:pt idx="41">
                  <c:v>67.481657224222843</c:v>
                </c:pt>
                <c:pt idx="42">
                  <c:v>69.983572440900247</c:v>
                </c:pt>
                <c:pt idx="43">
                  <c:v>28.822063296123652</c:v>
                </c:pt>
                <c:pt idx="44">
                  <c:v>33.825893729478452</c:v>
                </c:pt>
                <c:pt idx="45">
                  <c:v>9.0068947800386407</c:v>
                </c:pt>
                <c:pt idx="46">
                  <c:v>4.0030643466838409</c:v>
                </c:pt>
                <c:pt idx="47">
                  <c:v>2.0015321733419205</c:v>
                </c:pt>
                <c:pt idx="48">
                  <c:v>0</c:v>
                </c:pt>
                <c:pt idx="49">
                  <c:v>0</c:v>
                </c:pt>
              </c:numCache>
            </c:numRef>
          </c:val>
          <c:smooth val="0"/>
        </c:ser>
        <c:dLbls>
          <c:showLegendKey val="0"/>
          <c:showVal val="0"/>
          <c:showCatName val="0"/>
          <c:showSerName val="0"/>
          <c:showPercent val="0"/>
          <c:showBubbleSize val="0"/>
        </c:dLbls>
        <c:smooth val="0"/>
        <c:axId val="215568848"/>
        <c:axId val="215569408"/>
      </c:lineChart>
      <c:catAx>
        <c:axId val="215568848"/>
        <c:scaling>
          <c:orientation val="minMax"/>
        </c:scaling>
        <c:delete val="0"/>
        <c:axPos val="b"/>
        <c:numFmt formatCode="General" sourceLinked="1"/>
        <c:majorTickMark val="out"/>
        <c:minorTickMark val="none"/>
        <c:tickLblPos val="nextTo"/>
        <c:spPr>
          <a:ln w="3175">
            <a:solidFill>
              <a:srgbClr val="C0C0C0"/>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215569408"/>
        <c:crosses val="autoZero"/>
        <c:auto val="1"/>
        <c:lblAlgn val="ctr"/>
        <c:lblOffset val="100"/>
        <c:tickLblSkip val="5"/>
        <c:tickMarkSkip val="1"/>
        <c:noMultiLvlLbl val="0"/>
      </c:catAx>
      <c:valAx>
        <c:axId val="215569408"/>
        <c:scaling>
          <c:orientation val="minMax"/>
          <c:max val="200"/>
        </c:scaling>
        <c:delete val="0"/>
        <c:axPos val="l"/>
        <c:majorGridlines>
          <c:spPr>
            <a:ln w="12700">
              <a:solidFill>
                <a:srgbClr val="C0C0C0"/>
              </a:solidFill>
              <a:prstDash val="solid"/>
            </a:ln>
          </c:spPr>
        </c:majorGridlines>
        <c:numFmt formatCode="General" sourceLinked="1"/>
        <c:majorTickMark val="out"/>
        <c:minorTickMark val="none"/>
        <c:tickLblPos val="nextTo"/>
        <c:spPr>
          <a:ln w="3175">
            <a:solidFill>
              <a:srgbClr val="C0C0C0"/>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215568848"/>
        <c:crosses val="autoZero"/>
        <c:crossBetween val="between"/>
        <c:majorUnit val="50"/>
      </c:valAx>
      <c:spPr>
        <a:solidFill>
          <a:srgbClr val="FFFFFF"/>
        </a:solidFill>
        <a:ln w="25400">
          <a:noFill/>
        </a:ln>
      </c:spPr>
    </c:plotArea>
    <c:legend>
      <c:legendPos val="b"/>
      <c:layout>
        <c:manualLayout>
          <c:xMode val="edge"/>
          <c:yMode val="edge"/>
          <c:x val="0.14257067527765965"/>
          <c:y val="0.91463897122388149"/>
          <c:w val="0.7739550943644381"/>
          <c:h val="6.2620510477983587E-2"/>
        </c:manualLayout>
      </c:layout>
      <c:overlay val="0"/>
      <c:spPr>
        <a:solidFill>
          <a:srgbClr val="FFFFFF"/>
        </a:solidFill>
        <a:ln w="25400">
          <a:noFill/>
        </a:ln>
      </c:spPr>
      <c:txPr>
        <a:bodyPr/>
        <a:lstStyle/>
        <a:p>
          <a:pPr>
            <a:defRPr sz="92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825" b="0" i="0" u="none" strike="noStrike" baseline="0">
          <a:solidFill>
            <a:srgbClr val="000000"/>
          </a:solidFill>
          <a:latin typeface="Arial"/>
          <a:ea typeface="Arial"/>
          <a:cs typeface="Arial"/>
        </a:defRPr>
      </a:pPr>
      <a:endParaRPr lang="fr-FR"/>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100" b="1"/>
              <a:t>Répartition du temps de travail au 31/12/2013</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4866426071741032"/>
          <c:y val="0.17171296296296296"/>
          <c:w val="0.39419444444444446"/>
          <c:h val="0.65699074074074071"/>
        </c:manualLayout>
      </c:layout>
      <c:pieChart>
        <c:varyColors val="1"/>
        <c:ser>
          <c:idx val="0"/>
          <c:order val="0"/>
          <c:spPr>
            <a:scene3d>
              <a:camera prst="orthographicFront"/>
              <a:lightRig rig="threePt" dir="t"/>
            </a:scene3d>
            <a:sp3d>
              <a:bevelT/>
            </a:sp3d>
          </c:spPr>
          <c:explosion val="16"/>
          <c:dPt>
            <c:idx val="0"/>
            <c:bubble3D val="0"/>
            <c:spPr>
              <a:solidFill>
                <a:srgbClr val="FF00FF"/>
              </a:solidFill>
              <a:ln w="19050">
                <a:solidFill>
                  <a:schemeClr val="lt1"/>
                </a:solidFill>
              </a:ln>
              <a:effectLst/>
              <a:scene3d>
                <a:camera prst="orthographicFront"/>
                <a:lightRig rig="threePt" dir="t"/>
              </a:scene3d>
              <a:sp3d>
                <a:bevelT/>
              </a:sp3d>
            </c:spPr>
          </c:dPt>
          <c:dPt>
            <c:idx val="1"/>
            <c:bubble3D val="0"/>
            <c:spPr>
              <a:solidFill>
                <a:srgbClr val="FF99FF"/>
              </a:solidFill>
              <a:ln w="19050">
                <a:solidFill>
                  <a:schemeClr val="lt1"/>
                </a:solidFill>
              </a:ln>
              <a:effectLst/>
              <a:scene3d>
                <a:camera prst="orthographicFront"/>
                <a:lightRig rig="threePt" dir="t"/>
              </a:scene3d>
              <a:sp3d>
                <a:bevelT/>
              </a:sp3d>
            </c:spPr>
          </c:dPt>
          <c:dPt>
            <c:idx val="2"/>
            <c:bubble3D val="0"/>
            <c:spPr>
              <a:solidFill>
                <a:schemeClr val="bg1">
                  <a:lumMod val="65000"/>
                </a:schemeClr>
              </a:solidFill>
              <a:ln w="19050">
                <a:solidFill>
                  <a:schemeClr val="lt1"/>
                </a:solidFill>
              </a:ln>
              <a:effectLst/>
              <a:scene3d>
                <a:camera prst="orthographicFront"/>
                <a:lightRig rig="threePt" dir="t"/>
              </a:scene3d>
              <a:sp3d>
                <a:bevelT/>
              </a:sp3d>
            </c:spPr>
          </c:dPt>
          <c:dLbls>
            <c:dLbl>
              <c:idx val="2"/>
              <c:layout>
                <c:manualLayout>
                  <c:x val="7.3403980752405895E-2"/>
                  <c:y val="9.7767206182560518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('1.E Bis'!$S$3,'1.E Bis'!$S$4,'1.E Bis'!$S$5)</c:f>
              <c:strCache>
                <c:ptCount val="3"/>
                <c:pt idx="0">
                  <c:v>Temps plein</c:v>
                </c:pt>
                <c:pt idx="1">
                  <c:v>Temps partiel</c:v>
                </c:pt>
                <c:pt idx="2">
                  <c:v>Temps incomplet</c:v>
                </c:pt>
              </c:strCache>
            </c:strRef>
          </c:cat>
          <c:val>
            <c:numRef>
              <c:f>('1.E Bis'!$AI$3,'1.E Bis'!$AI$4,'1.E Bis'!$AI$5)</c:f>
              <c:numCache>
                <c:formatCode>0%</c:formatCode>
                <c:ptCount val="3"/>
                <c:pt idx="0">
                  <c:v>0.87897343538946415</c:v>
                </c:pt>
                <c:pt idx="1">
                  <c:v>0.11508329581269698</c:v>
                </c:pt>
                <c:pt idx="2">
                  <c:v>5.9432687978388113E-3</c:v>
                </c:pt>
              </c:numCache>
            </c:numRef>
          </c:val>
        </c:ser>
        <c:dLbls>
          <c:dLblPos val="inEnd"/>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50" b="1">
                <a:latin typeface="Arial" panose="020B0604020202020204" pitchFamily="34" charset="0"/>
                <a:cs typeface="Arial" panose="020B0604020202020204" pitchFamily="34" charset="0"/>
              </a:rPr>
              <a:t>Répartition du temps partiel Femmes/Hommes</a:t>
            </a:r>
          </a:p>
          <a:p>
            <a:pPr>
              <a:defRPr/>
            </a:pPr>
            <a:r>
              <a:rPr lang="fr-FR" sz="1050" b="1">
                <a:latin typeface="Arial" panose="020B0604020202020204" pitchFamily="34" charset="0"/>
                <a:cs typeface="Arial" panose="020B0604020202020204" pitchFamily="34" charset="0"/>
              </a:rPr>
              <a:t>en 2013</a:t>
            </a:r>
          </a:p>
        </c:rich>
      </c:tx>
      <c:layout>
        <c:manualLayout>
          <c:xMode val="edge"/>
          <c:yMode val="edge"/>
          <c:x val="0.12292132357627482"/>
          <c:y val="4.06091370558375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22190726159230093"/>
          <c:y val="0.21668284431198018"/>
          <c:w val="0.38430555555555557"/>
          <c:h val="0.64050925925925928"/>
        </c:manualLayout>
      </c:layout>
      <c:pieChart>
        <c:varyColors val="1"/>
        <c:ser>
          <c:idx val="0"/>
          <c:order val="0"/>
          <c:spPr>
            <a:scene3d>
              <a:camera prst="orthographicFront"/>
              <a:lightRig rig="threePt" dir="t"/>
            </a:scene3d>
            <a:sp3d>
              <a:bevelT/>
            </a:sp3d>
          </c:spPr>
          <c:explosion val="8"/>
          <c:dPt>
            <c:idx val="0"/>
            <c:bubble3D val="0"/>
            <c:spPr>
              <a:solidFill>
                <a:srgbClr val="FF00FF"/>
              </a:solidFill>
              <a:ln w="19050">
                <a:solidFill>
                  <a:schemeClr val="lt1"/>
                </a:solidFill>
              </a:ln>
              <a:effectLst/>
              <a:scene3d>
                <a:camera prst="orthographicFront"/>
                <a:lightRig rig="threePt" dir="t"/>
              </a:scene3d>
              <a:sp3d>
                <a:bevelT/>
              </a:sp3d>
            </c:spPr>
          </c:dPt>
          <c:dPt>
            <c:idx val="1"/>
            <c:bubble3D val="0"/>
            <c:spPr>
              <a:solidFill>
                <a:schemeClr val="bg1">
                  <a:lumMod val="75000"/>
                </a:schemeClr>
              </a:solidFill>
              <a:ln w="19050">
                <a:solidFill>
                  <a:schemeClr val="lt1"/>
                </a:solidFill>
              </a:ln>
              <a:effectLst/>
              <a:scene3d>
                <a:camera prst="orthographicFront"/>
                <a:lightRig rig="threePt" dir="t"/>
              </a:scene3d>
              <a:sp3d>
                <a:bevelT/>
              </a:sp3d>
            </c:spPr>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'1.E Bis'!$S$28:$S$29</c:f>
              <c:strCache>
                <c:ptCount val="2"/>
                <c:pt idx="0">
                  <c:v>Femmes</c:v>
                </c:pt>
                <c:pt idx="1">
                  <c:v>Hommes</c:v>
                </c:pt>
              </c:strCache>
            </c:strRef>
          </c:cat>
          <c:val>
            <c:numRef>
              <c:f>'1.E Bis'!$AO$28:$AO$29</c:f>
              <c:numCache>
                <c:formatCode>General</c:formatCode>
                <c:ptCount val="2"/>
                <c:pt idx="0">
                  <c:v>968</c:v>
                </c:pt>
                <c:pt idx="1">
                  <c:v>310</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80939829396325469"/>
          <c:y val="0.38865667833187517"/>
          <c:w val="0.17393503937007873"/>
          <c:h val="0.2442140565762612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1"/>
        <c:ser>
          <c:idx val="0"/>
          <c:order val="0"/>
          <c:tx>
            <c:v>Nbre d'agents</c:v>
          </c:tx>
          <c:spPr>
            <a:solidFill>
              <a:srgbClr val="F937F0"/>
            </a:solidFill>
            <a:scene3d>
              <a:camera prst="orthographicFront"/>
              <a:lightRig rig="threePt" dir="t"/>
            </a:scene3d>
            <a:sp3d>
              <a:bevelT/>
            </a:sp3d>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'Bilan social 2013'!$A$2:$A$7</c:f>
              <c:strCache>
                <c:ptCount val="6"/>
                <c:pt idx="0">
                  <c:v>Suivi de carrière</c:v>
                </c:pt>
                <c:pt idx="1">
                  <c:v>Suivi de mobilité</c:v>
                </c:pt>
                <c:pt idx="2">
                  <c:v>Suivi recrutement</c:v>
                </c:pt>
                <c:pt idx="3">
                  <c:v>Réorientation individuelle ou collective</c:v>
                </c:pt>
                <c:pt idx="4">
                  <c:v>Aide au recrutement (RQTH – emplois dérogatoires)</c:v>
                </c:pt>
                <c:pt idx="5">
                  <c:v>Aide au reclassement médical</c:v>
                </c:pt>
              </c:strCache>
            </c:strRef>
          </c:cat>
          <c:val>
            <c:numRef>
              <c:f>'Bilan social 2013'!$B$2:$B$7</c:f>
              <c:numCache>
                <c:formatCode>General</c:formatCode>
                <c:ptCount val="6"/>
                <c:pt idx="0">
                  <c:v>174</c:v>
                </c:pt>
                <c:pt idx="1">
                  <c:v>303</c:v>
                </c:pt>
                <c:pt idx="2">
                  <c:v>172</c:v>
                </c:pt>
                <c:pt idx="3">
                  <c:v>48</c:v>
                </c:pt>
                <c:pt idx="4">
                  <c:v>50</c:v>
                </c:pt>
                <c:pt idx="5">
                  <c:v>18</c:v>
                </c:pt>
              </c:numCache>
            </c:numRef>
          </c:val>
        </c:ser>
        <c:ser>
          <c:idx val="1"/>
          <c:order val="1"/>
          <c:tx>
            <c:v>Nbre d'entretiens</c:v>
          </c:tx>
          <c:spPr>
            <a:solidFill>
              <a:schemeClr val="bg1">
                <a:lumMod val="65000"/>
              </a:schemeClr>
            </a:solidFill>
            <a:scene3d>
              <a:camera prst="orthographicFront"/>
              <a:lightRig rig="threePt" dir="t"/>
            </a:scene3d>
            <a:sp3d>
              <a:bevelT/>
            </a:sp3d>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'Bilan social 2013'!$A$2:$A$7</c:f>
              <c:strCache>
                <c:ptCount val="6"/>
                <c:pt idx="0">
                  <c:v>Suivi de carrière</c:v>
                </c:pt>
                <c:pt idx="1">
                  <c:v>Suivi de mobilité</c:v>
                </c:pt>
                <c:pt idx="2">
                  <c:v>Suivi recrutement</c:v>
                </c:pt>
                <c:pt idx="3">
                  <c:v>Réorientation individuelle ou collective</c:v>
                </c:pt>
                <c:pt idx="4">
                  <c:v>Aide au recrutement (RQTH – emplois dérogatoires)</c:v>
                </c:pt>
                <c:pt idx="5">
                  <c:v>Aide au reclassement médical</c:v>
                </c:pt>
              </c:strCache>
            </c:strRef>
          </c:cat>
          <c:val>
            <c:numRef>
              <c:f>'Bilan social 2013'!$C$2:$C$7</c:f>
              <c:numCache>
                <c:formatCode>0</c:formatCode>
                <c:ptCount val="6"/>
                <c:pt idx="0">
                  <c:v>80</c:v>
                </c:pt>
                <c:pt idx="1">
                  <c:v>194</c:v>
                </c:pt>
                <c:pt idx="2">
                  <c:v>182</c:v>
                </c:pt>
                <c:pt idx="3">
                  <c:v>96</c:v>
                </c:pt>
                <c:pt idx="4">
                  <c:v>102</c:v>
                </c:pt>
                <c:pt idx="5" formatCode="General">
                  <c:v>54</c:v>
                </c:pt>
              </c:numCache>
            </c:numRef>
          </c:val>
        </c:ser>
        <c:dLbls>
          <c:dLblPos val="ctr"/>
          <c:showLegendKey val="0"/>
          <c:showVal val="1"/>
          <c:showCatName val="0"/>
          <c:showSerName val="0"/>
          <c:showPercent val="0"/>
          <c:showBubbleSize val="0"/>
        </c:dLbls>
        <c:gapWidth val="100"/>
        <c:axId val="219544976"/>
        <c:axId val="219545536"/>
      </c:barChart>
      <c:catAx>
        <c:axId val="219544976"/>
        <c:scaling>
          <c:orientation val="minMax"/>
        </c:scaling>
        <c:delete val="0"/>
        <c:axPos val="b"/>
        <c:numFmt formatCode="General" sourceLinked="0"/>
        <c:majorTickMark val="out"/>
        <c:minorTickMark val="none"/>
        <c:tickLblPos val="nextTo"/>
        <c:spPr>
          <a:ln>
            <a:solidFill>
              <a:srgbClr val="B3B3B3"/>
            </a:solidFill>
          </a:ln>
        </c:spPr>
        <c:crossAx val="219545536"/>
        <c:crossesAt val="0"/>
        <c:auto val="1"/>
        <c:lblAlgn val="ctr"/>
        <c:lblOffset val="100"/>
        <c:noMultiLvlLbl val="1"/>
      </c:catAx>
      <c:valAx>
        <c:axId val="219545536"/>
        <c:scaling>
          <c:orientation val="minMax"/>
        </c:scaling>
        <c:delete val="0"/>
        <c:axPos val="l"/>
        <c:majorGridlines>
          <c:spPr>
            <a:ln>
              <a:solidFill>
                <a:schemeClr val="bg1">
                  <a:lumMod val="75000"/>
                </a:schemeClr>
              </a:solidFill>
            </a:ln>
          </c:spPr>
        </c:majorGridlines>
        <c:numFmt formatCode="General" sourceLinked="1"/>
        <c:majorTickMark val="out"/>
        <c:minorTickMark val="none"/>
        <c:tickLblPos val="nextTo"/>
        <c:spPr>
          <a:ln>
            <a:solidFill>
              <a:srgbClr val="B3B3B3"/>
            </a:solidFill>
          </a:ln>
        </c:spPr>
        <c:crossAx val="219544976"/>
        <c:crossesAt val="1"/>
        <c:crossBetween val="between"/>
      </c:valAx>
      <c:spPr>
        <a:noFill/>
        <a:ln>
          <a:noFill/>
        </a:ln>
      </c:spPr>
    </c:plotArea>
    <c:legend>
      <c:legendPos val="r"/>
      <c:layout/>
      <c:overlay val="0"/>
      <c:txPr>
        <a:bodyPr/>
        <a:lstStyle/>
        <a:p>
          <a:pPr rtl="0">
            <a:defRPr/>
          </a:pPr>
          <a:endParaRPr lang="fr-FR"/>
        </a:p>
      </c:txPr>
    </c:legend>
    <c:plotVisOnly val="1"/>
    <c:dispBlanksAs val="zero"/>
    <c:showDLblsOverMax val="1"/>
  </c:chart>
  <c:spPr>
    <a:solidFill>
      <a:srgbClr val="FFFFFF"/>
    </a:solidFill>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Arial"/>
                <a:ea typeface="Arial"/>
                <a:cs typeface="Arial"/>
              </a:defRPr>
            </a:pPr>
            <a:r>
              <a:rPr lang="fr-FR" sz="1100" b="1" i="0" baseline="0"/>
              <a:t>Répartition des entrées externes par motif</a:t>
            </a:r>
          </a:p>
        </c:rich>
      </c:tx>
      <c:layout>
        <c:manualLayout>
          <c:xMode val="edge"/>
          <c:yMode val="edge"/>
          <c:x val="0.18524205307669872"/>
          <c:y val="2.9817322834645669E-2"/>
        </c:manualLayout>
      </c:layout>
      <c:overlay val="0"/>
      <c:spPr>
        <a:noFill/>
        <a:ln w="25400">
          <a:noFill/>
        </a:ln>
      </c:spPr>
    </c:title>
    <c:autoTitleDeleted val="0"/>
    <c:plotArea>
      <c:layout>
        <c:manualLayout>
          <c:layoutTarget val="inner"/>
          <c:xMode val="edge"/>
          <c:yMode val="edge"/>
          <c:x val="0.37802153203071837"/>
          <c:y val="0.20390066626287101"/>
          <c:w val="0.28529406046466421"/>
          <c:h val="0.61623517060367461"/>
        </c:manualLayout>
      </c:layout>
      <c:doughnutChart>
        <c:varyColors val="1"/>
        <c:ser>
          <c:idx val="0"/>
          <c:order val="0"/>
          <c:spPr>
            <a:ln w="12700">
              <a:noFill/>
              <a:prstDash val="solid"/>
            </a:ln>
            <a:scene3d>
              <a:camera prst="orthographicFront"/>
              <a:lightRig rig="threePt" dir="t"/>
            </a:scene3d>
            <a:sp3d>
              <a:bevelT/>
            </a:sp3d>
          </c:spPr>
          <c:explosion val="12"/>
          <c:dPt>
            <c:idx val="0"/>
            <c:bubble3D val="0"/>
            <c:spPr>
              <a:solidFill>
                <a:srgbClr val="FF99FF"/>
              </a:solidFill>
              <a:ln w="12700">
                <a:noFill/>
                <a:prstDash val="solid"/>
              </a:ln>
              <a:scene3d>
                <a:camera prst="orthographicFront"/>
                <a:lightRig rig="threePt" dir="t"/>
              </a:scene3d>
              <a:sp3d>
                <a:bevelT/>
              </a:sp3d>
            </c:spPr>
          </c:dPt>
          <c:dPt>
            <c:idx val="1"/>
            <c:bubble3D val="0"/>
            <c:spPr>
              <a:solidFill>
                <a:schemeClr val="bg1">
                  <a:lumMod val="65000"/>
                </a:schemeClr>
              </a:solidFill>
              <a:ln w="12700">
                <a:noFill/>
                <a:prstDash val="solid"/>
              </a:ln>
              <a:scene3d>
                <a:camera prst="orthographicFront"/>
                <a:lightRig rig="threePt" dir="t"/>
              </a:scene3d>
              <a:sp3d>
                <a:bevelT/>
              </a:sp3d>
            </c:spPr>
          </c:dPt>
          <c:dPt>
            <c:idx val="2"/>
            <c:bubble3D val="0"/>
            <c:spPr>
              <a:solidFill>
                <a:srgbClr val="FF00FF"/>
              </a:solidFill>
              <a:ln w="12700">
                <a:noFill/>
                <a:prstDash val="solid"/>
              </a:ln>
              <a:scene3d>
                <a:camera prst="orthographicFront"/>
                <a:lightRig rig="threePt" dir="t"/>
              </a:scene3d>
              <a:sp3d>
                <a:bevelT/>
              </a:sp3d>
            </c:spPr>
          </c:dPt>
          <c:dPt>
            <c:idx val="3"/>
            <c:bubble3D val="0"/>
            <c:spPr>
              <a:solidFill>
                <a:srgbClr val="3366FF"/>
              </a:solidFill>
              <a:ln w="12700">
                <a:noFill/>
                <a:prstDash val="solid"/>
              </a:ln>
              <a:scene3d>
                <a:camera prst="orthographicFront"/>
                <a:lightRig rig="threePt" dir="t"/>
              </a:scene3d>
              <a:sp3d>
                <a:bevelT/>
              </a:sp3d>
            </c:spPr>
          </c:dPt>
          <c:dLbls>
            <c:numFmt formatCode="0%" sourceLinked="0"/>
            <c:spPr>
              <a:noFill/>
              <a:ln w="25400">
                <a:noFill/>
              </a:ln>
            </c:spPr>
            <c:txPr>
              <a:bodyPr wrap="square" lIns="38100" tIns="19050" rIns="38100" bIns="19050" anchor="ctr">
                <a:spAutoFit/>
              </a:bodyPr>
              <a:lstStyle/>
              <a:p>
                <a:pPr>
                  <a:defRPr sz="950" b="1"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('entrées externes'!$H$5,'entrées externes'!$K$5,'entrées externes'!$N$5)</c:f>
              <c:strCache>
                <c:ptCount val="3"/>
                <c:pt idx="0">
                  <c:v>Par voie de concours</c:v>
                </c:pt>
                <c:pt idx="1">
                  <c:v>Par détachement</c:v>
                </c:pt>
                <c:pt idx="2">
                  <c:v>Par contrat</c:v>
                </c:pt>
              </c:strCache>
            </c:strRef>
          </c:cat>
          <c:val>
            <c:numRef>
              <c:f>('entrées externes'!$J$42,'entrées externes'!$M$42,'entrées externes'!$P$42)</c:f>
              <c:numCache>
                <c:formatCode>0</c:formatCode>
                <c:ptCount val="3"/>
                <c:pt idx="0">
                  <c:v>177</c:v>
                </c:pt>
                <c:pt idx="1">
                  <c:v>146</c:v>
                </c:pt>
                <c:pt idx="2">
                  <c:v>202.5</c:v>
                </c:pt>
              </c:numCache>
            </c:numRef>
          </c:val>
        </c:ser>
        <c:dLbls>
          <c:showLegendKey val="0"/>
          <c:showVal val="0"/>
          <c:showCatName val="0"/>
          <c:showSerName val="0"/>
          <c:showPercent val="1"/>
          <c:showBubbleSize val="0"/>
          <c:showLeaderLines val="1"/>
        </c:dLbls>
        <c:firstSliceAng val="0"/>
        <c:holeSize val="50"/>
      </c:doughnutChart>
    </c:plotArea>
    <c:legend>
      <c:legendPos val="b"/>
      <c:layout/>
      <c:overlay val="0"/>
      <c:spPr>
        <a:solidFill>
          <a:srgbClr val="FFFFFF"/>
        </a:solidFill>
        <a:ln w="3175">
          <a:noFill/>
          <a:prstDash val="solid"/>
        </a:ln>
      </c:spPr>
      <c:txPr>
        <a:bodyPr/>
        <a:lstStyle/>
        <a:p>
          <a:pPr>
            <a:defRPr sz="1000"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3175">
      <a:noFill/>
      <a:prstDash val="solid"/>
    </a:ln>
  </c:spPr>
  <c:txPr>
    <a:bodyPr/>
    <a:lstStyle/>
    <a:p>
      <a:pPr>
        <a:defRPr sz="1075" b="0" i="0" u="none" strike="noStrike" baseline="0">
          <a:solidFill>
            <a:srgbClr val="000000"/>
          </a:solidFill>
          <a:latin typeface="Arial"/>
          <a:ea typeface="Arial"/>
          <a:cs typeface="Arial"/>
        </a:defRPr>
      </a:pPr>
      <a:endParaRPr lang="fr-F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fr-FR"/>
              <a:t>Répartition des effectifs par filière au 31/12/2013</a:t>
            </a:r>
          </a:p>
        </c:rich>
      </c:tx>
      <c:layout>
        <c:manualLayout>
          <c:xMode val="edge"/>
          <c:yMode val="edge"/>
          <c:x val="0.23890828258793695"/>
          <c:y val="1.3832621334044134E-2"/>
        </c:manualLayout>
      </c:layout>
      <c:overlay val="0"/>
      <c:spPr>
        <a:noFill/>
        <a:ln w="25400">
          <a:noFill/>
        </a:ln>
      </c:spPr>
    </c:title>
    <c:autoTitleDeleted val="0"/>
    <c:plotArea>
      <c:layout>
        <c:manualLayout>
          <c:layoutTarget val="inner"/>
          <c:xMode val="edge"/>
          <c:yMode val="edge"/>
          <c:x val="0.34024091286857833"/>
          <c:y val="0.18737465692281854"/>
          <c:w val="0.32414843725992937"/>
          <c:h val="0.59370396912623402"/>
        </c:manualLayout>
      </c:layout>
      <c:doughnutChart>
        <c:varyColors val="1"/>
        <c:ser>
          <c:idx val="0"/>
          <c:order val="0"/>
          <c:spPr>
            <a:solidFill>
              <a:srgbClr val="9999FF"/>
            </a:solidFill>
            <a:ln w="12700">
              <a:solidFill>
                <a:srgbClr val="000000"/>
              </a:solidFill>
              <a:prstDash val="solid"/>
            </a:ln>
            <a:scene3d>
              <a:camera prst="orthographicFront"/>
              <a:lightRig rig="threePt" dir="t"/>
            </a:scene3d>
            <a:sp3d>
              <a:bevelT/>
            </a:sp3d>
          </c:spPr>
          <c:explosion val="19"/>
          <c:dPt>
            <c:idx val="0"/>
            <c:bubble3D val="0"/>
            <c:spPr>
              <a:solidFill>
                <a:srgbClr val="969696"/>
              </a:solidFill>
              <a:ln w="25400">
                <a:noFill/>
              </a:ln>
              <a:scene3d>
                <a:camera prst="orthographicFront"/>
                <a:lightRig rig="threePt" dir="t"/>
              </a:scene3d>
              <a:sp3d>
                <a:bevelT/>
              </a:sp3d>
            </c:spPr>
          </c:dPt>
          <c:dPt>
            <c:idx val="1"/>
            <c:bubble3D val="0"/>
            <c:spPr>
              <a:solidFill>
                <a:srgbClr val="C0C0C0"/>
              </a:solidFill>
              <a:ln w="25400">
                <a:noFill/>
              </a:ln>
              <a:scene3d>
                <a:camera prst="orthographicFront"/>
                <a:lightRig rig="threePt" dir="t"/>
              </a:scene3d>
              <a:sp3d>
                <a:bevelT/>
              </a:sp3d>
            </c:spPr>
          </c:dPt>
          <c:dPt>
            <c:idx val="2"/>
            <c:bubble3D val="0"/>
            <c:spPr>
              <a:solidFill>
                <a:srgbClr val="FF00FF"/>
              </a:solidFill>
              <a:ln w="25400">
                <a:noFill/>
              </a:ln>
              <a:scene3d>
                <a:camera prst="orthographicFront"/>
                <a:lightRig rig="threePt" dir="t"/>
              </a:scene3d>
              <a:sp3d>
                <a:bevelT/>
              </a:sp3d>
            </c:spPr>
          </c:dPt>
          <c:dPt>
            <c:idx val="3"/>
            <c:bubble3D val="0"/>
            <c:spPr>
              <a:solidFill>
                <a:srgbClr val="CC99FF"/>
              </a:solidFill>
              <a:ln w="25400">
                <a:noFill/>
              </a:ln>
              <a:scene3d>
                <a:camera prst="orthographicFront"/>
                <a:lightRig rig="threePt" dir="t"/>
              </a:scene3d>
              <a:sp3d>
                <a:bevelT/>
              </a:sp3d>
            </c:spPr>
          </c:dPt>
          <c:dPt>
            <c:idx val="4"/>
            <c:bubble3D val="0"/>
            <c:spPr>
              <a:solidFill>
                <a:srgbClr val="FF99CC"/>
              </a:solidFill>
              <a:ln w="25400">
                <a:noFill/>
              </a:ln>
              <a:scene3d>
                <a:camera prst="orthographicFront"/>
                <a:lightRig rig="threePt" dir="t"/>
              </a:scene3d>
              <a:sp3d>
                <a:bevelT/>
              </a:sp3d>
            </c:spPr>
          </c:dPt>
          <c:dLbls>
            <c:dLbl>
              <c:idx val="0"/>
              <c:layout>
                <c:manualLayout>
                  <c:x val="7.8160919540229801E-2"/>
                  <c:y val="0"/>
                </c:manualLayout>
              </c:layout>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9.6551724137931033E-2"/>
                  <c:y val="4.2105263157894736E-3"/>
                </c:manualLayout>
              </c:layou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6.4367816091954022E-2"/>
                  <c:y val="-7.1578947368421089E-2"/>
                </c:manualLayout>
              </c:layou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2.2988505747126436E-3"/>
                  <c:y val="-0.10105263157894737"/>
                </c:manualLayout>
              </c:layout>
              <c:showLegendKey val="0"/>
              <c:showVal val="0"/>
              <c:showCatName val="1"/>
              <c:showSerName val="0"/>
              <c:showPercent val="1"/>
              <c:showBubbleSize val="0"/>
              <c:extLst>
                <c:ext xmlns:c15="http://schemas.microsoft.com/office/drawing/2012/chart" uri="{CE6537A1-D6FC-4f65-9D91-7224C49458BB}">
                  <c15:layout/>
                </c:ext>
              </c:extLst>
            </c:dLbl>
            <c:dLbl>
              <c:idx val="4"/>
              <c:layout>
                <c:manualLayout>
                  <c:x val="7.586206896551724E-2"/>
                  <c:y val="-4.2105263157894736E-2"/>
                </c:manualLayout>
              </c:layout>
              <c:showLegendKey val="0"/>
              <c:showVal val="0"/>
              <c:showCatName val="1"/>
              <c:showSerName val="0"/>
              <c:showPercent val="1"/>
              <c:showBubbleSize val="0"/>
              <c:extLst>
                <c:ext xmlns:c15="http://schemas.microsoft.com/office/drawing/2012/chart" uri="{CE6537A1-D6FC-4f65-9D91-7224C49458BB}">
                  <c15:layout/>
                </c:ext>
              </c:extLst>
            </c:dLbl>
            <c:numFmt formatCode="0%" sourceLinked="0"/>
            <c:spPr>
              <a:noFill/>
              <a:ln w="25400">
                <a:noFill/>
              </a:ln>
            </c:spPr>
            <c:txPr>
              <a:bodyPr wrap="square" lIns="38100" tIns="19050" rIns="38100" bIns="19050" anchor="ctr">
                <a:spAutoFit/>
              </a:bodyPr>
              <a:lstStyle/>
              <a:p>
                <a:pPr algn="ctr" rtl="1">
                  <a:defRPr sz="875" b="1" i="0" u="none" strike="noStrike" baseline="0">
                    <a:solidFill>
                      <a:srgbClr val="000000"/>
                    </a:solidFill>
                    <a:latin typeface="Arial"/>
                    <a:ea typeface="Arial"/>
                    <a:cs typeface="Arial"/>
                  </a:defRPr>
                </a:pPr>
                <a:endParaRPr lang="fr-FR"/>
              </a:p>
            </c:txPr>
            <c:showLegendKey val="0"/>
            <c:showVal val="0"/>
            <c:showCatName val="1"/>
            <c:showSerName val="0"/>
            <c:showPercent val="1"/>
            <c:showBubbleSize val="0"/>
            <c:showLeaderLines val="0"/>
            <c:extLst>
              <c:ext xmlns:c15="http://schemas.microsoft.com/office/drawing/2012/chart" uri="{CE6537A1-D6FC-4f65-9D91-7224C49458BB}"/>
            </c:extLst>
          </c:dLbls>
          <c:cat>
            <c:strRef>
              <c:f>([1]Graph!$A$5,[1]Graph!$A$12,[1]Graph!$A$18,[1]Graph!$A$25,[1]Graph!$A$29)</c:f>
              <c:strCache>
                <c:ptCount val="5"/>
                <c:pt idx="0">
                  <c:v>Filière administrative</c:v>
                </c:pt>
                <c:pt idx="1">
                  <c:v>Filière scientifique</c:v>
                </c:pt>
                <c:pt idx="2">
                  <c:v>Filière technique et enseignement</c:v>
                </c:pt>
                <c:pt idx="3">
                  <c:v>Filière accueil, surveillance et magasinage</c:v>
                </c:pt>
                <c:pt idx="4">
                  <c:v>Agents non titulaires</c:v>
                </c:pt>
              </c:strCache>
            </c:strRef>
          </c:cat>
          <c:val>
            <c:numRef>
              <c:f>([1]Graph!$D$10,[1]Graph!$D$16,[1]Graph!$D$23,[1]Graph!$D$27,[1]Graph!$D$34)</c:f>
              <c:numCache>
                <c:formatCode>0</c:formatCode>
                <c:ptCount val="5"/>
                <c:pt idx="0">
                  <c:v>2961.7</c:v>
                </c:pt>
                <c:pt idx="1">
                  <c:v>2124.9</c:v>
                </c:pt>
                <c:pt idx="2">
                  <c:v>2464.1999999999998</c:v>
                </c:pt>
                <c:pt idx="3">
                  <c:v>1817.1999999999998</c:v>
                </c:pt>
                <c:pt idx="4">
                  <c:v>1391.9665</c:v>
                </c:pt>
              </c:numCache>
            </c:numRef>
          </c:val>
        </c:ser>
        <c:dLbls>
          <c:showLegendKey val="0"/>
          <c:showVal val="0"/>
          <c:showCatName val="0"/>
          <c:showSerName val="0"/>
          <c:showPercent val="0"/>
          <c:showBubbleSize val="0"/>
          <c:showLeaderLines val="0"/>
        </c:dLbls>
        <c:firstSliceAng val="80"/>
        <c:holeSize val="50"/>
      </c:doughnutChart>
      <c:spPr>
        <a:noFill/>
        <a:ln w="25400">
          <a:noFill/>
        </a:ln>
      </c:spPr>
    </c:plotArea>
    <c:plotVisOnly val="1"/>
    <c:dispBlanksAs val="zero"/>
    <c:showDLblsOverMax val="0"/>
  </c:chart>
  <c:spPr>
    <a:solidFill>
      <a:srgbClr val="FFFFFF"/>
    </a:solidFill>
    <a:ln w="6350">
      <a:noFill/>
    </a:ln>
  </c:spPr>
  <c:txPr>
    <a:bodyPr/>
    <a:lstStyle/>
    <a:p>
      <a:pPr>
        <a:defRPr sz="875" b="0" i="0" u="none" strike="noStrike" baseline="0">
          <a:solidFill>
            <a:srgbClr val="000000"/>
          </a:solidFill>
          <a:latin typeface="Arial"/>
          <a:ea typeface="Arial"/>
          <a:cs typeface="Arial"/>
        </a:defRPr>
      </a:pPr>
      <a:endParaRPr lang="fr-FR"/>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Arial"/>
                <a:ea typeface="Arial"/>
                <a:cs typeface="Arial"/>
              </a:defRPr>
            </a:pPr>
            <a:r>
              <a:rPr lang="fr-FR" sz="1100" baseline="0"/>
              <a:t>Répartition des retours de situation interruptive par motif</a:t>
            </a:r>
          </a:p>
        </c:rich>
      </c:tx>
      <c:layout>
        <c:manualLayout>
          <c:xMode val="edge"/>
          <c:yMode val="edge"/>
          <c:x val="0.16018153980752406"/>
          <c:y val="4.3491037979226946E-2"/>
        </c:manualLayout>
      </c:layout>
      <c:overlay val="0"/>
      <c:spPr>
        <a:noFill/>
        <a:ln w="25400">
          <a:noFill/>
        </a:ln>
      </c:spPr>
    </c:title>
    <c:autoTitleDeleted val="0"/>
    <c:plotArea>
      <c:layout>
        <c:manualLayout>
          <c:layoutTarget val="inner"/>
          <c:xMode val="edge"/>
          <c:yMode val="edge"/>
          <c:x val="0.21351931330472104"/>
          <c:y val="0.17563739376770537"/>
          <c:w val="0.5933476394849786"/>
          <c:h val="0.62322946175637395"/>
        </c:manualLayout>
      </c:layout>
      <c:doughnutChart>
        <c:varyColors val="1"/>
        <c:ser>
          <c:idx val="0"/>
          <c:order val="0"/>
          <c:spPr>
            <a:solidFill>
              <a:srgbClr val="9999FF"/>
            </a:solidFill>
            <a:ln w="12700">
              <a:noFill/>
              <a:prstDash val="solid"/>
            </a:ln>
            <a:scene3d>
              <a:camera prst="orthographicFront"/>
              <a:lightRig rig="threePt" dir="t"/>
            </a:scene3d>
            <a:sp3d>
              <a:bevelT/>
            </a:sp3d>
          </c:spPr>
          <c:explosion val="12"/>
          <c:dPt>
            <c:idx val="0"/>
            <c:bubble3D val="0"/>
            <c:spPr>
              <a:solidFill>
                <a:srgbClr val="FF99FF"/>
              </a:solidFill>
              <a:ln w="12700">
                <a:noFill/>
                <a:prstDash val="solid"/>
              </a:ln>
              <a:scene3d>
                <a:camera prst="orthographicFront"/>
                <a:lightRig rig="threePt" dir="t"/>
              </a:scene3d>
              <a:sp3d>
                <a:bevelT/>
              </a:sp3d>
            </c:spPr>
          </c:dPt>
          <c:dPt>
            <c:idx val="1"/>
            <c:bubble3D val="0"/>
            <c:spPr>
              <a:solidFill>
                <a:srgbClr val="FF00FF"/>
              </a:solidFill>
              <a:ln w="12700">
                <a:noFill/>
                <a:prstDash val="solid"/>
              </a:ln>
              <a:scene3d>
                <a:camera prst="orthographicFront"/>
                <a:lightRig rig="threePt" dir="t"/>
              </a:scene3d>
              <a:sp3d>
                <a:bevelT/>
              </a:sp3d>
            </c:spPr>
          </c:dPt>
          <c:dPt>
            <c:idx val="2"/>
            <c:bubble3D val="0"/>
            <c:spPr>
              <a:solidFill>
                <a:srgbClr val="FFCCFF"/>
              </a:solidFill>
              <a:ln w="12700">
                <a:noFill/>
                <a:prstDash val="solid"/>
              </a:ln>
              <a:scene3d>
                <a:camera prst="orthographicFront"/>
                <a:lightRig rig="threePt" dir="t"/>
              </a:scene3d>
              <a:sp3d>
                <a:bevelT/>
              </a:sp3d>
            </c:spPr>
          </c:dPt>
          <c:dPt>
            <c:idx val="3"/>
            <c:bubble3D val="0"/>
            <c:spPr>
              <a:solidFill>
                <a:schemeClr val="bg1">
                  <a:lumMod val="65000"/>
                </a:schemeClr>
              </a:solidFill>
              <a:ln w="12700">
                <a:noFill/>
                <a:prstDash val="solid"/>
              </a:ln>
              <a:scene3d>
                <a:camera prst="orthographicFront"/>
                <a:lightRig rig="threePt" dir="t"/>
              </a:scene3d>
              <a:sp3d>
                <a:bevelT/>
              </a:sp3d>
            </c:spPr>
          </c:dPt>
          <c:dLbls>
            <c:numFmt formatCode="0%" sourceLinked="0"/>
            <c:spPr>
              <a:noFill/>
              <a:ln w="2540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(RSI!$B$4,RSI!$E$4,RSI!$H$4,RSI!$K$4)</c:f>
              <c:strCache>
                <c:ptCount val="4"/>
                <c:pt idx="0">
                  <c:v>Congés de longue durée</c:v>
                </c:pt>
                <c:pt idx="1">
                  <c:v>Disponibilité, détachement sortant</c:v>
                </c:pt>
                <c:pt idx="2">
                  <c:v>Congés parental</c:v>
                </c:pt>
                <c:pt idx="3">
                  <c:v>Mutation 
depuis les opérateurs</c:v>
                </c:pt>
              </c:strCache>
            </c:strRef>
          </c:cat>
          <c:val>
            <c:numRef>
              <c:f>(RSI!$D$30,RSI!$G$30,RSI!$J$30,RSI!$M$30)</c:f>
              <c:numCache>
                <c:formatCode>0</c:formatCode>
                <c:ptCount val="4"/>
                <c:pt idx="0">
                  <c:v>30</c:v>
                </c:pt>
                <c:pt idx="1">
                  <c:v>112.9</c:v>
                </c:pt>
                <c:pt idx="2">
                  <c:v>22.4</c:v>
                </c:pt>
                <c:pt idx="3">
                  <c:v>27.8</c:v>
                </c:pt>
              </c:numCache>
            </c:numRef>
          </c:val>
          <c:extLst/>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68730379380768181"/>
          <c:y val="0.21513698800268263"/>
          <c:w val="0.30131370763529636"/>
          <c:h val="0.64879902630467723"/>
        </c:manualLayout>
      </c:layout>
      <c:overlay val="0"/>
      <c:txPr>
        <a:bodyPr/>
        <a:lstStyle/>
        <a:p>
          <a:pPr>
            <a:defRPr sz="900" baseline="0"/>
          </a:pPr>
          <a:endParaRPr lang="fr-FR"/>
        </a:p>
      </c:txPr>
    </c:legend>
    <c:plotVisOnly val="1"/>
    <c:dispBlanksAs val="zero"/>
    <c:showDLblsOverMax val="0"/>
  </c:chart>
  <c:spPr>
    <a:solidFill>
      <a:srgbClr val="FFFFFF"/>
    </a:solidFill>
    <a:ln w="3175">
      <a:noFill/>
      <a:prstDash val="solid"/>
    </a:ln>
  </c:spPr>
  <c:txPr>
    <a:bodyPr/>
    <a:lstStyle/>
    <a:p>
      <a:pPr>
        <a:defRPr sz="1200" b="0" i="0" u="none" strike="noStrike" baseline="0">
          <a:solidFill>
            <a:srgbClr val="000000"/>
          </a:solidFill>
          <a:latin typeface="Arial"/>
          <a:ea typeface="Arial"/>
          <a:cs typeface="Arial"/>
        </a:defRPr>
      </a:pPr>
      <a:endParaRPr lang="fr-FR"/>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100" b="1">
                <a:latin typeface="Arial" panose="020B0604020202020204" pitchFamily="34" charset="0"/>
                <a:cs typeface="Arial" panose="020B0604020202020204" pitchFamily="34" charset="0"/>
              </a:rPr>
              <a:t>Les sorties définitives pour autres motifs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doughnutChart>
        <c:varyColors val="1"/>
        <c:ser>
          <c:idx val="0"/>
          <c:order val="0"/>
          <c:spPr>
            <a:scene3d>
              <a:camera prst="orthographicFront"/>
              <a:lightRig rig="threePt" dir="t"/>
            </a:scene3d>
            <a:sp3d>
              <a:bevelT/>
            </a:sp3d>
          </c:spPr>
          <c:explosion val="18"/>
          <c:dPt>
            <c:idx val="0"/>
            <c:bubble3D val="0"/>
            <c:spPr>
              <a:solidFill>
                <a:schemeClr val="bg1">
                  <a:lumMod val="65000"/>
                </a:schemeClr>
              </a:solidFill>
              <a:ln w="19050">
                <a:solidFill>
                  <a:schemeClr val="lt1"/>
                </a:solidFill>
              </a:ln>
              <a:effectLst/>
              <a:scene3d>
                <a:camera prst="orthographicFront"/>
                <a:lightRig rig="threePt" dir="t"/>
              </a:scene3d>
              <a:sp3d>
                <a:bevelT/>
              </a:sp3d>
            </c:spPr>
          </c:dPt>
          <c:dPt>
            <c:idx val="1"/>
            <c:bubble3D val="0"/>
            <c:spPr>
              <a:solidFill>
                <a:schemeClr val="tx1">
                  <a:lumMod val="65000"/>
                  <a:lumOff val="35000"/>
                </a:schemeClr>
              </a:solidFill>
              <a:ln w="19050">
                <a:solidFill>
                  <a:schemeClr val="lt1"/>
                </a:solidFill>
              </a:ln>
              <a:effectLst/>
              <a:scene3d>
                <a:camera prst="orthographicFront"/>
                <a:lightRig rig="threePt" dir="t"/>
              </a:scene3d>
              <a:sp3d>
                <a:bevelT/>
              </a:sp3d>
            </c:spPr>
          </c:dPt>
          <c:dPt>
            <c:idx val="2"/>
            <c:bubble3D val="0"/>
            <c:spPr>
              <a:solidFill>
                <a:srgbClr val="FFCCFF"/>
              </a:solidFill>
              <a:ln w="19050">
                <a:solidFill>
                  <a:schemeClr val="lt1"/>
                </a:solidFill>
              </a:ln>
              <a:effectLst/>
              <a:scene3d>
                <a:camera prst="orthographicFront"/>
                <a:lightRig rig="threePt" dir="t"/>
              </a:scene3d>
              <a:sp3d>
                <a:bevelT/>
              </a:sp3d>
            </c:spPr>
          </c:dPt>
          <c:dPt>
            <c:idx val="3"/>
            <c:bubble3D val="0"/>
            <c:spPr>
              <a:solidFill>
                <a:srgbClr val="FF99FF"/>
              </a:solidFill>
              <a:ln w="19050">
                <a:solidFill>
                  <a:schemeClr val="lt1"/>
                </a:solidFill>
              </a:ln>
              <a:effectLst/>
              <a:scene3d>
                <a:camera prst="orthographicFront"/>
                <a:lightRig rig="threePt" dir="t"/>
              </a:scene3d>
              <a:sp3d>
                <a:bevelT/>
              </a:sp3d>
            </c:spPr>
          </c:dPt>
          <c:dPt>
            <c:idx val="4"/>
            <c:bubble3D val="0"/>
            <c:spPr>
              <a:solidFill>
                <a:srgbClr val="FF00FF"/>
              </a:solidFill>
              <a:ln w="19050">
                <a:solidFill>
                  <a:schemeClr val="lt1"/>
                </a:solidFill>
              </a:ln>
              <a:effectLst/>
              <a:scene3d>
                <a:camera prst="orthographicFront"/>
                <a:lightRig rig="threePt" dir="t"/>
              </a:scene3d>
              <a:sp3d>
                <a:bevelT/>
              </a:sp3d>
            </c:spPr>
          </c:dPt>
          <c:dLbls>
            <c:dLbl>
              <c:idx val="1"/>
              <c:layout>
                <c:manualLayout>
                  <c:x val="4.8611111111111119E-2"/>
                  <c:y val="8.1018518518518517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fr-FR"/>
                </a:p>
              </c:txPr>
              <c:showLegendKey val="0"/>
              <c:showVal val="0"/>
              <c:showCatName val="0"/>
              <c:showSerName val="0"/>
              <c:showPercent val="1"/>
              <c:showBubbleSize val="0"/>
              <c:extLst>
                <c:ext xmlns:c15="http://schemas.microsoft.com/office/drawing/2012/chart" uri="{CE6537A1-D6FC-4f65-9D91-7224C49458BB}">
                  <c15:layout>
                    <c:manualLayout>
                      <c:w val="5.655555555555556E-2"/>
                      <c:h val="8.8912219305920109E-2"/>
                    </c:manualLayout>
                  </c15:layout>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fr-FR"/>
              </a:p>
            </c:tx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('sorties déf autres'!$B$4,'sorties déf autres'!$E$4,'sorties déf autres'!$H$4,'sorties déf autres'!$K$4,'sorties déf autres'!$N$4)</c:f>
              <c:strCache>
                <c:ptCount val="5"/>
                <c:pt idx="0">
                  <c:v>Démission</c:v>
                </c:pt>
                <c:pt idx="1">
                  <c:v>Licenciement</c:v>
                </c:pt>
                <c:pt idx="2">
                  <c:v>Absence de renouvellement / réintégration</c:v>
                </c:pt>
                <c:pt idx="3">
                  <c:v>Révocation</c:v>
                </c:pt>
                <c:pt idx="4">
                  <c:v>Radiation des corps</c:v>
                </c:pt>
              </c:strCache>
            </c:strRef>
          </c:cat>
          <c:val>
            <c:numRef>
              <c:f>('sorties déf autres'!$D$33,'sorties déf autres'!$G$33,'sorties déf autres'!$J$33,'sorties déf autres'!$M$33,'sorties déf autres'!$P$33)</c:f>
              <c:numCache>
                <c:formatCode>_-* #,##0\ _F_-;\-* #,##0\ _F_-;_-* "-"\ _F_-;_-@_-</c:formatCode>
                <c:ptCount val="5"/>
                <c:pt idx="0">
                  <c:v>29</c:v>
                </c:pt>
                <c:pt idx="1">
                  <c:v>1</c:v>
                </c:pt>
                <c:pt idx="2">
                  <c:v>8</c:v>
                </c:pt>
                <c:pt idx="3">
                  <c:v>4</c:v>
                </c:pt>
                <c:pt idx="4">
                  <c:v>33</c:v>
                </c:pt>
              </c:numCache>
            </c:numRef>
          </c:val>
        </c:ser>
        <c:dLbls>
          <c:showLegendKey val="0"/>
          <c:showVal val="0"/>
          <c:showCatName val="0"/>
          <c:showSerName val="0"/>
          <c:showPercent val="0"/>
          <c:showBubbleSize val="0"/>
          <c:showLeaderLines val="0"/>
        </c:dLbls>
        <c:firstSliceAng val="0"/>
        <c:holeSize val="50"/>
      </c:doughnutChart>
      <c:spPr>
        <a:noFill/>
        <a:ln>
          <a:noFill/>
        </a:ln>
        <a:effectLst/>
      </c:spPr>
    </c:plotArea>
    <c:legend>
      <c:legendPos val="r"/>
      <c:layout>
        <c:manualLayout>
          <c:xMode val="edge"/>
          <c:yMode val="edge"/>
          <c:x val="0.62906977252843399"/>
          <c:y val="0.15892351997666959"/>
          <c:w val="0.3542635608048994"/>
          <c:h val="0.7823840769903761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Arial"/>
                <a:ea typeface="Arial"/>
                <a:cs typeface="Arial"/>
              </a:defRPr>
            </a:pPr>
            <a:r>
              <a:rPr lang="fr-FR" sz="1100" baseline="0"/>
              <a:t>Répartition des situations interruptives par motif</a:t>
            </a:r>
          </a:p>
        </c:rich>
      </c:tx>
      <c:layout>
        <c:manualLayout>
          <c:xMode val="edge"/>
          <c:yMode val="edge"/>
          <c:x val="0.18896885899872595"/>
          <c:y val="4.3035530452686349E-2"/>
        </c:manualLayout>
      </c:layout>
      <c:overlay val="0"/>
      <c:spPr>
        <a:noFill/>
        <a:ln w="25400">
          <a:noFill/>
        </a:ln>
      </c:spPr>
    </c:title>
    <c:autoTitleDeleted val="0"/>
    <c:plotArea>
      <c:layout>
        <c:manualLayout>
          <c:layoutTarget val="inner"/>
          <c:xMode val="edge"/>
          <c:yMode val="edge"/>
          <c:x val="0.20745653852092019"/>
          <c:y val="0.18480499302135728"/>
          <c:w val="0.30911841902115184"/>
          <c:h val="0.78843915413583332"/>
        </c:manualLayout>
      </c:layout>
      <c:doughnutChart>
        <c:varyColors val="1"/>
        <c:ser>
          <c:idx val="0"/>
          <c:order val="0"/>
          <c:spPr>
            <a:ln w="12700">
              <a:noFill/>
              <a:prstDash val="solid"/>
            </a:ln>
            <a:scene3d>
              <a:camera prst="orthographicFront"/>
              <a:lightRig rig="threePt" dir="t"/>
            </a:scene3d>
            <a:sp3d>
              <a:bevelT/>
            </a:sp3d>
          </c:spPr>
          <c:explosion val="12"/>
          <c:dPt>
            <c:idx val="0"/>
            <c:bubble3D val="0"/>
            <c:spPr>
              <a:solidFill>
                <a:schemeClr val="bg1">
                  <a:lumMod val="65000"/>
                </a:schemeClr>
              </a:solidFill>
              <a:ln w="12700">
                <a:noFill/>
                <a:prstDash val="solid"/>
              </a:ln>
              <a:scene3d>
                <a:camera prst="orthographicFront"/>
                <a:lightRig rig="threePt" dir="t"/>
              </a:scene3d>
              <a:sp3d>
                <a:bevelT/>
              </a:sp3d>
            </c:spPr>
          </c:dPt>
          <c:dPt>
            <c:idx val="1"/>
            <c:bubble3D val="0"/>
            <c:spPr>
              <a:solidFill>
                <a:srgbClr val="FF00FF"/>
              </a:solidFill>
              <a:ln w="12700">
                <a:noFill/>
                <a:prstDash val="solid"/>
              </a:ln>
              <a:scene3d>
                <a:camera prst="orthographicFront"/>
                <a:lightRig rig="threePt" dir="t"/>
              </a:scene3d>
              <a:sp3d>
                <a:bevelT/>
              </a:sp3d>
            </c:spPr>
          </c:dPt>
          <c:dPt>
            <c:idx val="2"/>
            <c:bubble3D val="0"/>
            <c:spPr>
              <a:solidFill>
                <a:srgbClr val="FF99FF"/>
              </a:solidFill>
              <a:ln w="12700">
                <a:noFill/>
                <a:prstDash val="solid"/>
              </a:ln>
              <a:scene3d>
                <a:camera prst="orthographicFront"/>
                <a:lightRig rig="threePt" dir="t"/>
              </a:scene3d>
              <a:sp3d>
                <a:bevelT/>
              </a:sp3d>
            </c:spPr>
          </c:dPt>
          <c:dPt>
            <c:idx val="3"/>
            <c:bubble3D val="0"/>
            <c:spPr>
              <a:solidFill>
                <a:srgbClr val="FFCCFF"/>
              </a:solidFill>
              <a:ln w="12700">
                <a:noFill/>
                <a:prstDash val="solid"/>
              </a:ln>
              <a:scene3d>
                <a:camera prst="orthographicFront"/>
                <a:lightRig rig="threePt" dir="t"/>
              </a:scene3d>
              <a:sp3d>
                <a:bevelT/>
              </a:sp3d>
            </c:spPr>
          </c:dPt>
          <c:dPt>
            <c:idx val="4"/>
            <c:bubble3D val="0"/>
            <c:spPr>
              <a:solidFill>
                <a:srgbClr val="00FFFF"/>
              </a:solidFill>
              <a:ln w="12700">
                <a:noFill/>
                <a:prstDash val="solid"/>
              </a:ln>
              <a:scene3d>
                <a:camera prst="orthographicFront"/>
                <a:lightRig rig="threePt" dir="t"/>
              </a:scene3d>
              <a:sp3d>
                <a:bevelT/>
              </a:sp3d>
            </c:spPr>
          </c:dPt>
          <c:dLbls>
            <c:numFmt formatCode="0%" sourceLinked="0"/>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('situations interruptives'!$B$6,'situations interruptives'!$E$6,'situations interruptives'!$H$6,'situations interruptives'!$K$6)</c:f>
              <c:strCache>
                <c:ptCount val="4"/>
                <c:pt idx="0">
                  <c:v>Congés de longue durée</c:v>
                </c:pt>
                <c:pt idx="1">
                  <c:v>Disponibilité, détachement 
sortant</c:v>
                </c:pt>
                <c:pt idx="2">
                  <c:v>Congés parental</c:v>
                </c:pt>
                <c:pt idx="3">
                  <c:v>Mutation 
vers les opérateurs</c:v>
                </c:pt>
              </c:strCache>
            </c:strRef>
          </c:cat>
          <c:val>
            <c:numRef>
              <c:f>('situations interruptives'!$D$32,'situations interruptives'!$G$32,'situations interruptives'!$J$32,'situations interruptives'!$M$32)</c:f>
              <c:numCache>
                <c:formatCode>0</c:formatCode>
                <c:ptCount val="4"/>
                <c:pt idx="0" formatCode="_-* #,##0\ _F_-;\-* #,##0\ _F_-;_-* &quot;-&quot;\ _F_-;_-@_-">
                  <c:v>25</c:v>
                </c:pt>
                <c:pt idx="1">
                  <c:v>154.30000000000001</c:v>
                </c:pt>
                <c:pt idx="2" formatCode="_-* #,##0\ _F_-;\-* #,##0\ _F_-;_-* &quot;-&quot;\ _F_-;_-@_-">
                  <c:v>17</c:v>
                </c:pt>
                <c:pt idx="3" formatCode="_-* #,##0\ _F_-;\-* #,##0\ _F_-;_-* &quot;-&quot;\ _F_-;_-@_-">
                  <c:v>13.9</c:v>
                </c:pt>
              </c:numCache>
            </c:numRef>
          </c:val>
        </c:ser>
        <c:dLbls>
          <c:showLegendKey val="0"/>
          <c:showVal val="0"/>
          <c:showCatName val="0"/>
          <c:showSerName val="0"/>
          <c:showPercent val="1"/>
          <c:showBubbleSize val="0"/>
          <c:showLeaderLines val="1"/>
        </c:dLbls>
        <c:firstSliceAng val="0"/>
        <c:holeSize val="50"/>
      </c:doughnutChart>
    </c:plotArea>
    <c:legend>
      <c:legendPos val="r"/>
      <c:legendEntry>
        <c:idx val="0"/>
        <c:txPr>
          <a:bodyPr/>
          <a:lstStyle/>
          <a:p>
            <a:pPr>
              <a:defRPr sz="900" b="0" i="0" u="none" strike="noStrike" baseline="0">
                <a:solidFill>
                  <a:srgbClr val="000000"/>
                </a:solidFill>
                <a:latin typeface="Arial"/>
                <a:ea typeface="Arial"/>
                <a:cs typeface="Arial"/>
              </a:defRPr>
            </a:pPr>
            <a:endParaRPr lang="fr-FR"/>
          </a:p>
        </c:txPr>
      </c:legendEntry>
      <c:layout>
        <c:manualLayout>
          <c:xMode val="edge"/>
          <c:yMode val="edge"/>
          <c:x val="0.65188027459707387"/>
          <c:y val="0.28494534961061269"/>
          <c:w val="0.33684111170901782"/>
          <c:h val="0.621537934848445"/>
        </c:manualLayout>
      </c:layout>
      <c:overlay val="0"/>
      <c:spPr>
        <a:solidFill>
          <a:srgbClr val="FFFFFF"/>
        </a:solidFill>
        <a:ln w="3175">
          <a:noFill/>
          <a:prstDash val="solid"/>
        </a:ln>
      </c:spPr>
      <c:txPr>
        <a:bodyPr/>
        <a:lstStyle/>
        <a:p>
          <a:pPr>
            <a:defRPr sz="900"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3175">
      <a:noFill/>
      <a:prstDash val="solid"/>
    </a:ln>
  </c:spPr>
  <c:txPr>
    <a:bodyPr/>
    <a:lstStyle/>
    <a:p>
      <a:pPr>
        <a:defRPr sz="1200" b="0" i="0" u="none" strike="noStrike" baseline="0">
          <a:solidFill>
            <a:srgbClr val="000000"/>
          </a:solidFill>
          <a:latin typeface="Arial"/>
          <a:ea typeface="Arial"/>
          <a:cs typeface="Arial"/>
        </a:defRPr>
      </a:pPr>
      <a:endParaRPr lang="fr-FR"/>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latin typeface="Arial" panose="020B0604020202020204" pitchFamily="34" charset="0"/>
                <a:cs typeface="Arial" panose="020B0604020202020204" pitchFamily="34" charset="0"/>
              </a:rPr>
              <a:t>Répartition des sorties par autorités d'emplois en 2013</a:t>
            </a:r>
          </a:p>
        </c:rich>
      </c:tx>
      <c:layout>
        <c:manualLayout>
          <c:xMode val="edge"/>
          <c:yMode val="edge"/>
          <c:x val="0.12394574798912293"/>
          <c:y val="1.515151515151515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27875533285612025"/>
          <c:y val="0.2205420054200542"/>
          <c:w val="0.39885325697924123"/>
          <c:h val="0.59449672449480395"/>
        </c:manualLayout>
      </c:layout>
      <c:pieChart>
        <c:varyColors val="1"/>
        <c:ser>
          <c:idx val="5"/>
          <c:order val="5"/>
          <c:tx>
            <c:strRef>
              <c:f>'flux par AE 2013'!$A$19</c:f>
              <c:strCache>
                <c:ptCount val="1"/>
                <c:pt idx="0">
                  <c:v>En % du nombre total de sorties</c:v>
                </c:pt>
              </c:strCache>
            </c:strRef>
          </c:tx>
          <c:spPr>
            <a:scene3d>
              <a:camera prst="orthographicFront"/>
              <a:lightRig rig="threePt" dir="t"/>
            </a:scene3d>
            <a:sp3d>
              <a:bevelT/>
            </a:sp3d>
          </c:spPr>
          <c:explosion val="17"/>
          <c:dPt>
            <c:idx val="0"/>
            <c:bubble3D val="0"/>
            <c:spPr>
              <a:solidFill>
                <a:srgbClr val="7030A0"/>
              </a:solidFill>
              <a:ln w="19050">
                <a:solidFill>
                  <a:schemeClr val="lt1"/>
                </a:solidFill>
              </a:ln>
              <a:effectLst/>
              <a:scene3d>
                <a:camera prst="orthographicFront"/>
                <a:lightRig rig="threePt" dir="t"/>
              </a:scene3d>
              <a:sp3d>
                <a:bevelT/>
              </a:sp3d>
            </c:spPr>
          </c:dPt>
          <c:dPt>
            <c:idx val="1"/>
            <c:bubble3D val="0"/>
            <c:spPr>
              <a:solidFill>
                <a:schemeClr val="tx1">
                  <a:lumMod val="65000"/>
                  <a:lumOff val="35000"/>
                </a:schemeClr>
              </a:solidFill>
              <a:ln w="19050">
                <a:solidFill>
                  <a:schemeClr val="lt1"/>
                </a:solidFill>
              </a:ln>
              <a:effectLst/>
              <a:scene3d>
                <a:camera prst="orthographicFront"/>
                <a:lightRig rig="threePt" dir="t"/>
              </a:scene3d>
              <a:sp3d>
                <a:bevelT/>
              </a:sp3d>
            </c:spPr>
          </c:dPt>
          <c:dPt>
            <c:idx val="2"/>
            <c:bubble3D val="0"/>
            <c:spPr>
              <a:solidFill>
                <a:schemeClr val="accent3"/>
              </a:solidFill>
              <a:ln w="19050">
                <a:solidFill>
                  <a:schemeClr val="lt1"/>
                </a:solidFill>
              </a:ln>
              <a:effectLst/>
              <a:scene3d>
                <a:camera prst="orthographicFront"/>
                <a:lightRig rig="threePt" dir="t"/>
              </a:scene3d>
              <a:sp3d>
                <a:bevelT/>
              </a:sp3d>
            </c:spPr>
          </c:dPt>
          <c:dPt>
            <c:idx val="3"/>
            <c:bubble3D val="0"/>
            <c:spPr>
              <a:solidFill>
                <a:schemeClr val="bg1">
                  <a:lumMod val="50000"/>
                </a:schemeClr>
              </a:solidFill>
              <a:ln w="19050">
                <a:solidFill>
                  <a:schemeClr val="lt1"/>
                </a:solidFill>
              </a:ln>
              <a:effectLst/>
              <a:scene3d>
                <a:camera prst="orthographicFront"/>
                <a:lightRig rig="threePt" dir="t"/>
              </a:scene3d>
              <a:sp3d>
                <a:bevelT/>
              </a:sp3d>
            </c:spPr>
          </c:dPt>
          <c:dPt>
            <c:idx val="4"/>
            <c:bubble3D val="0"/>
            <c:spPr>
              <a:solidFill>
                <a:schemeClr val="bg1">
                  <a:lumMod val="75000"/>
                </a:schemeClr>
              </a:solidFill>
              <a:ln w="19050">
                <a:solidFill>
                  <a:schemeClr val="lt1"/>
                </a:solidFill>
              </a:ln>
              <a:effectLst/>
              <a:scene3d>
                <a:camera prst="orthographicFront"/>
                <a:lightRig rig="threePt" dir="t"/>
              </a:scene3d>
              <a:sp3d>
                <a:bevelT/>
              </a:sp3d>
            </c:spPr>
          </c:dPt>
          <c:dPt>
            <c:idx val="5"/>
            <c:bubble3D val="0"/>
            <c:spPr>
              <a:solidFill>
                <a:srgbClr val="FFCCFF"/>
              </a:solidFill>
              <a:ln w="19050">
                <a:solidFill>
                  <a:schemeClr val="lt1"/>
                </a:solidFill>
              </a:ln>
              <a:effectLst/>
              <a:scene3d>
                <a:camera prst="orthographicFront"/>
                <a:lightRig rig="threePt" dir="t"/>
              </a:scene3d>
              <a:sp3d>
                <a:bevelT/>
              </a:sp3d>
            </c:spPr>
          </c:dPt>
          <c:dPt>
            <c:idx val="6"/>
            <c:bubble3D val="0"/>
            <c:spPr>
              <a:solidFill>
                <a:srgbClr val="FF66FF"/>
              </a:solidFill>
              <a:ln w="19050">
                <a:solidFill>
                  <a:schemeClr val="lt1"/>
                </a:solidFill>
              </a:ln>
              <a:effectLst/>
              <a:scene3d>
                <a:camera prst="orthographicFront"/>
                <a:lightRig rig="threePt" dir="t"/>
              </a:scene3d>
              <a:sp3d>
                <a:bevelT/>
              </a:sp3d>
            </c:spPr>
          </c:dPt>
          <c:dPt>
            <c:idx val="7"/>
            <c:bubble3D val="0"/>
            <c:spPr>
              <a:solidFill>
                <a:srgbClr val="FF00FF"/>
              </a:solidFill>
              <a:ln w="19050">
                <a:solidFill>
                  <a:schemeClr val="lt1"/>
                </a:solidFill>
              </a:ln>
              <a:effectLst/>
              <a:scene3d>
                <a:camera prst="orthographicFront"/>
                <a:lightRig rig="threePt" dir="t"/>
              </a:scene3d>
              <a:sp3d>
                <a:bevelT/>
              </a:sp3d>
            </c:spPr>
          </c:dPt>
          <c:dLbls>
            <c:dLbl>
              <c:idx val="0"/>
              <c:layout>
                <c:manualLayout>
                  <c:x val="-1.3243001767636249E-2"/>
                  <c:y val="2.2963181973794777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6.4195404145911527E-3"/>
                  <c:y val="2.2417602937972656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'flux par AE 2013'!$B$13:$S$13</c:f>
              <c:strCache>
                <c:ptCount val="8"/>
                <c:pt idx="0">
                  <c:v>Services 
ministre</c:v>
                </c:pt>
                <c:pt idx="1">
                  <c:v>IGAC</c:v>
                </c:pt>
                <c:pt idx="2">
                  <c:v>DGLFLF</c:v>
                </c:pt>
                <c:pt idx="3">
                  <c:v>SG</c:v>
                </c:pt>
                <c:pt idx="4">
                  <c:v>DGP  </c:v>
                </c:pt>
                <c:pt idx="5">
                  <c:v>DGCA</c:v>
                </c:pt>
                <c:pt idx="6">
                  <c:v>DGMIC</c:v>
                </c:pt>
                <c:pt idx="7">
                  <c:v>DAT
(DRAC)</c:v>
                </c:pt>
              </c:strCache>
              <c:extLst/>
            </c:strRef>
          </c:cat>
          <c:val>
            <c:numRef>
              <c:f>'flux par AE 2013'!$B$19:$S$19</c:f>
              <c:numCache>
                <c:formatCode>0%</c:formatCode>
                <c:ptCount val="8"/>
                <c:pt idx="0">
                  <c:v>1.5503875968992248E-2</c:v>
                </c:pt>
                <c:pt idx="1">
                  <c:v>1.0335917312661499E-2</c:v>
                </c:pt>
                <c:pt idx="2">
                  <c:v>0</c:v>
                </c:pt>
                <c:pt idx="3">
                  <c:v>8.1395348837209308E-2</c:v>
                </c:pt>
                <c:pt idx="4">
                  <c:v>0.16020671834625322</c:v>
                </c:pt>
                <c:pt idx="5">
                  <c:v>6.0723514211886306E-2</c:v>
                </c:pt>
                <c:pt idx="6">
                  <c:v>2.454780361757106E-2</c:v>
                </c:pt>
                <c:pt idx="7">
                  <c:v>0.17829457364341086</c:v>
                </c:pt>
              </c:numCache>
              <c:extLst/>
            </c:numRef>
          </c:val>
          <c:extLst/>
        </c:ser>
        <c:dLbls>
          <c:dLblPos val="ctr"/>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'flux par AE 2013'!$A$14</c15:sqref>
                        </c15:formulaRef>
                      </c:ext>
                    </c:extLst>
                    <c:strCache>
                      <c:ptCount val="1"/>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'flux par AE 2013'!$B$13:$S$13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c:ext uri="{02D57815-91ED-43cb-92C2-25804820EDAC}">
                        <c15:formulaRef>
                          <c15:sqref>'flux par AE 2013'!$B$14:$S$14</c15:sqref>
                        </c15:formulaRef>
                      </c:ext>
                    </c:extLst>
                    <c:numCache>
                      <c:formatCode>General</c:formatCode>
                      <c:ptCount val="8"/>
                      <c:pt idx="4">
                        <c:v>0</c:v>
                      </c:pt>
                      <c:pt idx="5">
                        <c:v>0</c:v>
                      </c:pt>
                      <c:pt idx="6">
                        <c:v>0</c:v>
                      </c:pt>
                    </c:numCache>
                  </c:numRef>
                </c:val>
                <c:extLst/>
              </c15:ser>
            </c15:filteredPieSeries>
            <c15:filteredPieSeries>
              <c15:ser>
                <c:idx val="1"/>
                <c:order val="1"/>
                <c:tx>
                  <c:strRef>
                    <c:extLst xmlns:c15="http://schemas.microsoft.com/office/drawing/2012/chart">
                      <c:ext xmlns:c15="http://schemas.microsoft.com/office/drawing/2012/chart" uri="{02D57815-91ED-43cb-92C2-25804820EDAC}">
                        <c15:formulaRef>
                          <c15:sqref>'flux par AE 2013'!$A$15</c15:sqref>
                        </c15:formulaRef>
                      </c:ext>
                    </c:extLst>
                    <c:strCache>
                      <c:ptCount val="1"/>
                      <c:pt idx="0">
                        <c:v>SITUATION INTERRUPTIVE</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2013'!$B$13:$S$13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2013'!$B$15:$S$15</c15:sqref>
                        </c15:formulaRef>
                      </c:ext>
                    </c:extLst>
                    <c:numCache>
                      <c:formatCode>0</c:formatCode>
                      <c:ptCount val="8"/>
                      <c:pt idx="0">
                        <c:v>3</c:v>
                      </c:pt>
                      <c:pt idx="1">
                        <c:v>1</c:v>
                      </c:pt>
                      <c:pt idx="2">
                        <c:v>0</c:v>
                      </c:pt>
                      <c:pt idx="3">
                        <c:v>20</c:v>
                      </c:pt>
                      <c:pt idx="4">
                        <c:v>85</c:v>
                      </c:pt>
                      <c:pt idx="5">
                        <c:v>34</c:v>
                      </c:pt>
                      <c:pt idx="6">
                        <c:v>5</c:v>
                      </c:pt>
                      <c:pt idx="7">
                        <c:v>45</c:v>
                      </c:pt>
                    </c:numCache>
                  </c:numRef>
                </c:val>
                <c:extLst xmlns:c15="http://schemas.microsoft.com/office/drawing/2012/chart"/>
              </c15:ser>
            </c15:filteredPieSeries>
            <c15:filteredPieSeries>
              <c15:ser>
                <c:idx val="2"/>
                <c:order val="2"/>
                <c:tx>
                  <c:strRef>
                    <c:extLst xmlns:c15="http://schemas.microsoft.com/office/drawing/2012/chart">
                      <c:ext xmlns:c15="http://schemas.microsoft.com/office/drawing/2012/chart" uri="{02D57815-91ED-43cb-92C2-25804820EDAC}">
                        <c15:formulaRef>
                          <c15:sqref>'flux par AE 2013'!$A$16</c15:sqref>
                        </c15:formulaRef>
                      </c:ext>
                    </c:extLst>
                    <c:strCache>
                      <c:ptCount val="1"/>
                      <c:pt idx="0">
                        <c:v>RETRAITE</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2013'!$B$13:$S$13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2013'!$B$16:$S$16</c15:sqref>
                        </c15:formulaRef>
                      </c:ext>
                    </c:extLst>
                    <c:numCache>
                      <c:formatCode>0</c:formatCode>
                      <c:ptCount val="8"/>
                      <c:pt idx="0">
                        <c:v>1</c:v>
                      </c:pt>
                      <c:pt idx="1">
                        <c:v>7</c:v>
                      </c:pt>
                      <c:pt idx="2">
                        <c:v>0</c:v>
                      </c:pt>
                      <c:pt idx="3">
                        <c:v>27</c:v>
                      </c:pt>
                      <c:pt idx="4">
                        <c:v>26</c:v>
                      </c:pt>
                      <c:pt idx="5">
                        <c:v>8</c:v>
                      </c:pt>
                      <c:pt idx="6">
                        <c:v>9</c:v>
                      </c:pt>
                      <c:pt idx="7">
                        <c:v>72</c:v>
                      </c:pt>
                    </c:numCache>
                  </c:numRef>
                </c:val>
                <c:extLst xmlns:c15="http://schemas.microsoft.com/office/drawing/2012/chart"/>
              </c15:ser>
            </c15:filteredPieSeries>
            <c15:filteredPieSeries>
              <c15:ser>
                <c:idx val="3"/>
                <c:order val="3"/>
                <c:tx>
                  <c:strRef>
                    <c:extLst xmlns:c15="http://schemas.microsoft.com/office/drawing/2012/chart">
                      <c:ext xmlns:c15="http://schemas.microsoft.com/office/drawing/2012/chart" uri="{02D57815-91ED-43cb-92C2-25804820EDAC}">
                        <c15:formulaRef>
                          <c15:sqref>'flux par AE 2013'!$A$17</c15:sqref>
                        </c15:formulaRef>
                      </c:ext>
                    </c:extLst>
                    <c:strCache>
                      <c:ptCount val="1"/>
                      <c:pt idx="0">
                        <c:v>AUTRE DEPART DEFINITIF</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2013'!$B$13:$S$13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2013'!$B$17:$S$17</c15:sqref>
                        </c15:formulaRef>
                      </c:ext>
                    </c:extLst>
                    <c:numCache>
                      <c:formatCode>0</c:formatCode>
                      <c:ptCount val="8"/>
                      <c:pt idx="0">
                        <c:v>8</c:v>
                      </c:pt>
                      <c:pt idx="1">
                        <c:v>0</c:v>
                      </c:pt>
                      <c:pt idx="2">
                        <c:v>0</c:v>
                      </c:pt>
                      <c:pt idx="3">
                        <c:v>16</c:v>
                      </c:pt>
                      <c:pt idx="4">
                        <c:v>13</c:v>
                      </c:pt>
                      <c:pt idx="5">
                        <c:v>5</c:v>
                      </c:pt>
                      <c:pt idx="6">
                        <c:v>5</c:v>
                      </c:pt>
                      <c:pt idx="7">
                        <c:v>21</c:v>
                      </c:pt>
                    </c:numCache>
                  </c:numRef>
                </c:val>
                <c:extLst xmlns:c15="http://schemas.microsoft.com/office/drawing/2012/chart"/>
              </c15:ser>
            </c15:filteredPieSeries>
            <c15:filteredPieSeries>
              <c15:ser>
                <c:idx val="4"/>
                <c:order val="4"/>
                <c:tx>
                  <c:strRef>
                    <c:extLst xmlns:c15="http://schemas.microsoft.com/office/drawing/2012/chart">
                      <c:ext xmlns:c15="http://schemas.microsoft.com/office/drawing/2012/chart" uri="{02D57815-91ED-43cb-92C2-25804820EDAC}">
                        <c15:formulaRef>
                          <c15:sqref>'flux par AE 2013'!$A$18</c15:sqref>
                        </c15:formulaRef>
                      </c:ext>
                    </c:extLst>
                    <c:strCache>
                      <c:ptCount val="1"/>
                      <c:pt idx="0">
                        <c:v>TOTAL DES SORTIES SUR 2013 (en ETP) [B]</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2013'!$B$13:$S$13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2013'!$B$18:$S$18</c15:sqref>
                        </c15:formulaRef>
                      </c:ext>
                    </c:extLst>
                    <c:numCache>
                      <c:formatCode>0</c:formatCode>
                      <c:ptCount val="8"/>
                      <c:pt idx="0">
                        <c:v>12</c:v>
                      </c:pt>
                      <c:pt idx="1">
                        <c:v>8</c:v>
                      </c:pt>
                      <c:pt idx="2">
                        <c:v>0</c:v>
                      </c:pt>
                      <c:pt idx="3">
                        <c:v>63</c:v>
                      </c:pt>
                      <c:pt idx="4">
                        <c:v>124</c:v>
                      </c:pt>
                      <c:pt idx="5">
                        <c:v>47</c:v>
                      </c:pt>
                      <c:pt idx="6">
                        <c:v>19</c:v>
                      </c:pt>
                      <c:pt idx="7">
                        <c:v>138</c:v>
                      </c:pt>
                    </c:numCache>
                  </c:numRef>
                </c:val>
                <c:extLst xmlns:c15="http://schemas.microsoft.com/office/drawing/2012/chart"/>
              </c15:ser>
            </c15:filteredPieSeries>
          </c:ext>
        </c:extLst>
      </c:pieChart>
      <c:spPr>
        <a:noFill/>
        <a:ln>
          <a:noFill/>
        </a:ln>
        <a:effectLst/>
      </c:spPr>
    </c:plotArea>
    <c:legend>
      <c:legendPos val="b"/>
      <c:layout>
        <c:manualLayout>
          <c:xMode val="edge"/>
          <c:yMode val="edge"/>
          <c:x val="9.1618080182725246E-3"/>
          <c:y val="0.82049008960086878"/>
          <c:w val="0.98549287732163249"/>
          <c:h val="0.1605606842248167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kern="1200" baseline="0">
                <a:latin typeface="Arial" panose="020B0604020202020204" pitchFamily="34" charset="0"/>
                <a:cs typeface="Arial" panose="020B0604020202020204" pitchFamily="34" charset="0"/>
              </a:rPr>
              <a:t>Répartition des entrées par autorités d'emplois en 2013</a:t>
            </a:r>
            <a:r>
              <a:rPr lang="en-US" kern="1200" baseline="0"/>
              <a:t>	</a:t>
            </a:r>
          </a:p>
        </c:rich>
      </c:tx>
      <c:layout>
        <c:manualLayout>
          <c:xMode val="edge"/>
          <c:yMode val="edge"/>
          <c:x val="0.16393421071033973"/>
          <c:y val="3.427171261414908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27488145633172001"/>
          <c:y val="0.24931564762458383"/>
          <c:w val="0.40987011485949576"/>
          <c:h val="0.59967573851926226"/>
        </c:manualLayout>
      </c:layout>
      <c:pieChart>
        <c:varyColors val="1"/>
        <c:ser>
          <c:idx val="7"/>
          <c:order val="7"/>
          <c:tx>
            <c:strRef>
              <c:f>'flux par AE 2013'!$A$11</c:f>
              <c:strCache>
                <c:ptCount val="1"/>
                <c:pt idx="0">
                  <c:v>En % du nombre total d'entrées</c:v>
                </c:pt>
              </c:strCache>
            </c:strRef>
          </c:tx>
          <c:spPr>
            <a:solidFill>
              <a:srgbClr val="FF00FF"/>
            </a:solidFill>
            <a:scene3d>
              <a:camera prst="orthographicFront"/>
              <a:lightRig rig="threePt" dir="t"/>
            </a:scene3d>
            <a:sp3d>
              <a:bevelT/>
            </a:sp3d>
          </c:spPr>
          <c:explosion val="18"/>
          <c:dPt>
            <c:idx val="0"/>
            <c:bubble3D val="0"/>
            <c:spPr>
              <a:solidFill>
                <a:srgbClr val="7030A0"/>
              </a:solidFill>
              <a:ln w="19050">
                <a:solidFill>
                  <a:schemeClr val="lt1"/>
                </a:solidFill>
              </a:ln>
              <a:effectLst/>
              <a:scene3d>
                <a:camera prst="orthographicFront"/>
                <a:lightRig rig="threePt" dir="t"/>
              </a:scene3d>
              <a:sp3d>
                <a:bevelT/>
              </a:sp3d>
            </c:spPr>
          </c:dPt>
          <c:dPt>
            <c:idx val="1"/>
            <c:bubble3D val="0"/>
            <c:spPr>
              <a:solidFill>
                <a:srgbClr val="FF00FF"/>
              </a:solidFill>
              <a:ln w="19050">
                <a:solidFill>
                  <a:schemeClr val="lt1"/>
                </a:solidFill>
              </a:ln>
              <a:effectLst/>
              <a:scene3d>
                <a:camera prst="orthographicFront"/>
                <a:lightRig rig="threePt" dir="t"/>
              </a:scene3d>
              <a:sp3d>
                <a:bevelT/>
              </a:sp3d>
            </c:spPr>
          </c:dPt>
          <c:dPt>
            <c:idx val="2"/>
            <c:bubble3D val="0"/>
            <c:spPr>
              <a:solidFill>
                <a:srgbClr val="FF00FF"/>
              </a:solidFill>
              <a:ln w="19050">
                <a:solidFill>
                  <a:schemeClr val="lt1"/>
                </a:solidFill>
              </a:ln>
              <a:effectLst/>
              <a:scene3d>
                <a:camera prst="orthographicFront"/>
                <a:lightRig rig="threePt" dir="t"/>
              </a:scene3d>
              <a:sp3d>
                <a:bevelT/>
              </a:sp3d>
            </c:spPr>
          </c:dPt>
          <c:dPt>
            <c:idx val="3"/>
            <c:bubble3D val="0"/>
            <c:spPr>
              <a:solidFill>
                <a:schemeClr val="bg1">
                  <a:lumMod val="65000"/>
                </a:schemeClr>
              </a:solidFill>
              <a:ln w="19050">
                <a:solidFill>
                  <a:schemeClr val="lt1"/>
                </a:solidFill>
              </a:ln>
              <a:effectLst/>
              <a:scene3d>
                <a:camera prst="orthographicFront"/>
                <a:lightRig rig="threePt" dir="t"/>
              </a:scene3d>
              <a:sp3d>
                <a:bevelT/>
              </a:sp3d>
            </c:spPr>
          </c:dPt>
          <c:dPt>
            <c:idx val="4"/>
            <c:bubble3D val="0"/>
            <c:spPr>
              <a:solidFill>
                <a:schemeClr val="bg1">
                  <a:lumMod val="85000"/>
                </a:schemeClr>
              </a:solidFill>
              <a:ln w="19050">
                <a:solidFill>
                  <a:schemeClr val="lt1"/>
                </a:solidFill>
              </a:ln>
              <a:effectLst/>
              <a:scene3d>
                <a:camera prst="orthographicFront"/>
                <a:lightRig rig="threePt" dir="t"/>
              </a:scene3d>
              <a:sp3d>
                <a:bevelT/>
              </a:sp3d>
            </c:spPr>
          </c:dPt>
          <c:dPt>
            <c:idx val="5"/>
            <c:bubble3D val="0"/>
            <c:spPr>
              <a:solidFill>
                <a:srgbClr val="FFCCFF"/>
              </a:solidFill>
              <a:ln w="19050">
                <a:solidFill>
                  <a:schemeClr val="lt1"/>
                </a:solidFill>
              </a:ln>
              <a:effectLst/>
              <a:scene3d>
                <a:camera prst="orthographicFront"/>
                <a:lightRig rig="threePt" dir="t"/>
              </a:scene3d>
              <a:sp3d>
                <a:bevelT/>
              </a:sp3d>
            </c:spPr>
          </c:dPt>
          <c:dPt>
            <c:idx val="6"/>
            <c:bubble3D val="0"/>
            <c:spPr>
              <a:solidFill>
                <a:srgbClr val="FF66FF"/>
              </a:solidFill>
              <a:ln w="19050">
                <a:solidFill>
                  <a:schemeClr val="lt1"/>
                </a:solidFill>
              </a:ln>
              <a:effectLst/>
              <a:scene3d>
                <a:camera prst="orthographicFront"/>
                <a:lightRig rig="threePt" dir="t"/>
              </a:scene3d>
              <a:sp3d>
                <a:bevelT/>
              </a:sp3d>
            </c:spPr>
          </c:dPt>
          <c:dPt>
            <c:idx val="7"/>
            <c:bubble3D val="0"/>
            <c:spPr>
              <a:solidFill>
                <a:srgbClr val="FF00FF"/>
              </a:solidFill>
              <a:ln w="19050">
                <a:solidFill>
                  <a:schemeClr val="lt1"/>
                </a:solidFill>
              </a:ln>
              <a:effectLst/>
              <a:scene3d>
                <a:camera prst="orthographicFront"/>
                <a:lightRig rig="threePt" dir="t"/>
              </a:scene3d>
              <a:sp3d>
                <a:bevelT/>
              </a:sp3d>
            </c:spPr>
          </c:dPt>
          <c:dLbls>
            <c:dLbl>
              <c:idx val="0"/>
              <c:layout>
                <c:manualLayout>
                  <c:x val="-1.5008580658187544E-3"/>
                  <c:y val="2.256791241035402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'flux par AE 2013'!$B$3:$S$3</c:f>
              <c:strCache>
                <c:ptCount val="8"/>
                <c:pt idx="0">
                  <c:v>Services 
ministre</c:v>
                </c:pt>
                <c:pt idx="1">
                  <c:v>IGAC</c:v>
                </c:pt>
                <c:pt idx="2">
                  <c:v>DGLFLF</c:v>
                </c:pt>
                <c:pt idx="3">
                  <c:v>SG</c:v>
                </c:pt>
                <c:pt idx="4">
                  <c:v>DGP  </c:v>
                </c:pt>
                <c:pt idx="5">
                  <c:v>DGCA</c:v>
                </c:pt>
                <c:pt idx="6">
                  <c:v>DGMIC</c:v>
                </c:pt>
                <c:pt idx="7">
                  <c:v>DAT
(DRAC)</c:v>
                </c:pt>
              </c:strCache>
              <c:extLst/>
            </c:strRef>
          </c:cat>
          <c:val>
            <c:numRef>
              <c:f>'flux par AE 2013'!$B$11:$S$11</c:f>
              <c:numCache>
                <c:formatCode>0%</c:formatCode>
                <c:ptCount val="8"/>
                <c:pt idx="0">
                  <c:v>1.8731988472622477E-2</c:v>
                </c:pt>
                <c:pt idx="1">
                  <c:v>0</c:v>
                </c:pt>
                <c:pt idx="2">
                  <c:v>1.440922190201729E-3</c:v>
                </c:pt>
                <c:pt idx="3">
                  <c:v>0.11239193083573487</c:v>
                </c:pt>
                <c:pt idx="4">
                  <c:v>7.2046109510086456E-2</c:v>
                </c:pt>
                <c:pt idx="5">
                  <c:v>2.8818443804034581E-2</c:v>
                </c:pt>
                <c:pt idx="6">
                  <c:v>3.6023054755043228E-2</c:v>
                </c:pt>
                <c:pt idx="7">
                  <c:v>0.20605187319884727</c:v>
                </c:pt>
              </c:numCache>
              <c:extLst/>
            </c:numRef>
          </c:val>
          <c:extLst/>
        </c:ser>
        <c:dLbls>
          <c:dLblPos val="ctr"/>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'flux par AE 2013'!$A$4</c15:sqref>
                        </c15:formulaRef>
                      </c:ext>
                    </c:extLst>
                    <c:strCache>
                      <c:ptCount val="1"/>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'flux par AE 2013'!$B$3:$S$3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c:ext uri="{02D57815-91ED-43cb-92C2-25804820EDAC}">
                        <c15:formulaRef>
                          <c15:sqref>'flux par AE 2013'!$B$4:$S$4</c15:sqref>
                        </c15:formulaRef>
                      </c:ext>
                    </c:extLst>
                    <c:numCache>
                      <c:formatCode>General</c:formatCode>
                      <c:ptCount val="8"/>
                      <c:pt idx="4">
                        <c:v>0</c:v>
                      </c:pt>
                      <c:pt idx="5">
                        <c:v>0</c:v>
                      </c:pt>
                      <c:pt idx="6">
                        <c:v>0</c:v>
                      </c:pt>
                    </c:numCache>
                  </c:numRef>
                </c:val>
                <c:extLst/>
              </c15:ser>
            </c15:filteredPieSeries>
            <c15:filteredPieSeries>
              <c15:ser>
                <c:idx val="1"/>
                <c:order val="1"/>
                <c:tx>
                  <c:strRef>
                    <c:extLst xmlns:c15="http://schemas.microsoft.com/office/drawing/2012/chart">
                      <c:ext xmlns:c15="http://schemas.microsoft.com/office/drawing/2012/chart" uri="{02D57815-91ED-43cb-92C2-25804820EDAC}">
                        <c15:formulaRef>
                          <c15:sqref>'flux par AE 2013'!$A$5</c15:sqref>
                        </c15:formulaRef>
                      </c:ext>
                    </c:extLst>
                    <c:strCache>
                      <c:ptCount val="1"/>
                      <c:pt idx="0">
                        <c:v>RETOUR SITUATION  INTERRUPTIVE</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2013'!$B$3:$S$3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2013'!$B$5:$S$5</c15:sqref>
                        </c15:formulaRef>
                      </c:ext>
                    </c:extLst>
                    <c:numCache>
                      <c:formatCode>0</c:formatCode>
                      <c:ptCount val="8"/>
                      <c:pt idx="0">
                        <c:v>3</c:v>
                      </c:pt>
                      <c:pt idx="1">
                        <c:v>0</c:v>
                      </c:pt>
                      <c:pt idx="2">
                        <c:v>0</c:v>
                      </c:pt>
                      <c:pt idx="3">
                        <c:v>23</c:v>
                      </c:pt>
                      <c:pt idx="4">
                        <c:v>41</c:v>
                      </c:pt>
                      <c:pt idx="5">
                        <c:v>8</c:v>
                      </c:pt>
                      <c:pt idx="6">
                        <c:v>3</c:v>
                      </c:pt>
                      <c:pt idx="7">
                        <c:v>36</c:v>
                      </c:pt>
                    </c:numCache>
                  </c:numRef>
                </c:val>
                <c:extLst xmlns:c15="http://schemas.microsoft.com/office/drawing/2012/chart"/>
              </c15:ser>
            </c15:filteredPieSeries>
            <c15:filteredPieSeries>
              <c15:ser>
                <c:idx val="2"/>
                <c:order val="2"/>
                <c:tx>
                  <c:strRef>
                    <c:extLst xmlns:c15="http://schemas.microsoft.com/office/drawing/2012/chart">
                      <c:ext xmlns:c15="http://schemas.microsoft.com/office/drawing/2012/chart" uri="{02D57815-91ED-43cb-92C2-25804820EDAC}">
                        <c15:formulaRef>
                          <c15:sqref>'flux par AE 2013'!$A$6</c15:sqref>
                        </c15:formulaRef>
                      </c:ext>
                    </c:extLst>
                    <c:strCache>
                      <c:ptCount val="1"/>
                      <c:pt idx="0">
                        <c:v>CONCOURS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2013'!$B$3:$S$3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2013'!$B$6:$S$6</c15:sqref>
                        </c15:formulaRef>
                      </c:ext>
                    </c:extLst>
                    <c:numCache>
                      <c:formatCode>0</c:formatCode>
                      <c:ptCount val="8"/>
                      <c:pt idx="0">
                        <c:v>0</c:v>
                      </c:pt>
                      <c:pt idx="1">
                        <c:v>0</c:v>
                      </c:pt>
                      <c:pt idx="2">
                        <c:v>0</c:v>
                      </c:pt>
                      <c:pt idx="3">
                        <c:v>16</c:v>
                      </c:pt>
                      <c:pt idx="4">
                        <c:v>1</c:v>
                      </c:pt>
                      <c:pt idx="5">
                        <c:v>0</c:v>
                      </c:pt>
                      <c:pt idx="6">
                        <c:v>7</c:v>
                      </c:pt>
                      <c:pt idx="7">
                        <c:v>42</c:v>
                      </c:pt>
                    </c:numCache>
                  </c:numRef>
                </c:val>
                <c:extLst xmlns:c15="http://schemas.microsoft.com/office/drawing/2012/chart"/>
              </c15:ser>
            </c15:filteredPieSeries>
            <c15:filteredPieSeries>
              <c15:ser>
                <c:idx val="3"/>
                <c:order val="3"/>
                <c:tx>
                  <c:strRef>
                    <c:extLst xmlns:c15="http://schemas.microsoft.com/office/drawing/2012/chart">
                      <c:ext xmlns:c15="http://schemas.microsoft.com/office/drawing/2012/chart" uri="{02D57815-91ED-43cb-92C2-25804820EDAC}">
                        <c15:formulaRef>
                          <c15:sqref>'flux par AE 2013'!$A$7</c15:sqref>
                        </c15:formulaRef>
                      </c:ext>
                    </c:extLst>
                    <c:strCache>
                      <c:ptCount val="1"/>
                      <c:pt idx="0">
                        <c:v>DETACHEMENT</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2013'!$B$3:$S$3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2013'!$B$7:$S$7</c15:sqref>
                        </c15:formulaRef>
                      </c:ext>
                    </c:extLst>
                    <c:numCache>
                      <c:formatCode>0</c:formatCode>
                      <c:ptCount val="8"/>
                      <c:pt idx="0">
                        <c:v>4</c:v>
                      </c:pt>
                      <c:pt idx="1">
                        <c:v>0</c:v>
                      </c:pt>
                      <c:pt idx="2">
                        <c:v>0</c:v>
                      </c:pt>
                      <c:pt idx="3">
                        <c:v>17</c:v>
                      </c:pt>
                      <c:pt idx="4">
                        <c:v>5</c:v>
                      </c:pt>
                      <c:pt idx="5">
                        <c:v>5</c:v>
                      </c:pt>
                      <c:pt idx="6">
                        <c:v>9</c:v>
                      </c:pt>
                      <c:pt idx="7">
                        <c:v>50</c:v>
                      </c:pt>
                    </c:numCache>
                  </c:numRef>
                </c:val>
                <c:extLst xmlns:c15="http://schemas.microsoft.com/office/drawing/2012/chart"/>
              </c15:ser>
            </c15:filteredPieSeries>
            <c15:filteredPieSeries>
              <c15:ser>
                <c:idx val="4"/>
                <c:order val="4"/>
                <c:tx>
                  <c:strRef>
                    <c:extLst xmlns:c15="http://schemas.microsoft.com/office/drawing/2012/chart">
                      <c:ext xmlns:c15="http://schemas.microsoft.com/office/drawing/2012/chart" uri="{02D57815-91ED-43cb-92C2-25804820EDAC}">
                        <c15:formulaRef>
                          <c15:sqref>'flux par AE 2013'!$A$8</c15:sqref>
                        </c15:formulaRef>
                      </c:ext>
                    </c:extLst>
                    <c:strCache>
                      <c:ptCount val="1"/>
                      <c:pt idx="0">
                        <c:v>CONTRAT</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2013'!$B$3:$S$3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2013'!$B$8:$S$8</c15:sqref>
                        </c15:formulaRef>
                      </c:ext>
                    </c:extLst>
                    <c:numCache>
                      <c:formatCode>0</c:formatCode>
                      <c:ptCount val="8"/>
                      <c:pt idx="0">
                        <c:v>6</c:v>
                      </c:pt>
                      <c:pt idx="1">
                        <c:v>0</c:v>
                      </c:pt>
                      <c:pt idx="2">
                        <c:v>1</c:v>
                      </c:pt>
                      <c:pt idx="3">
                        <c:v>21</c:v>
                      </c:pt>
                      <c:pt idx="4">
                        <c:v>2</c:v>
                      </c:pt>
                      <c:pt idx="5">
                        <c:v>5</c:v>
                      </c:pt>
                      <c:pt idx="6">
                        <c:v>6</c:v>
                      </c:pt>
                      <c:pt idx="7">
                        <c:v>8</c:v>
                      </c:pt>
                    </c:numCache>
                  </c:numRef>
                </c:val>
                <c:extLst xmlns:c15="http://schemas.microsoft.com/office/drawing/2012/chart"/>
              </c15:ser>
            </c15:filteredPieSeries>
            <c15:filteredPieSeries>
              <c15:ser>
                <c:idx val="5"/>
                <c:order val="5"/>
                <c:tx>
                  <c:strRef>
                    <c:extLst xmlns:c15="http://schemas.microsoft.com/office/drawing/2012/chart">
                      <c:ext xmlns:c15="http://schemas.microsoft.com/office/drawing/2012/chart" uri="{02D57815-91ED-43cb-92C2-25804820EDAC}">
                        <c15:formulaRef>
                          <c15:sqref>'flux par AE 2013'!$A$9</c15:sqref>
                        </c15:formulaRef>
                      </c:ext>
                    </c:extLst>
                    <c:strCache>
                      <c:ptCount val="1"/>
                      <c:pt idx="0">
                        <c:v>RQTH</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2013'!$B$3:$S$3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2013'!$B$9:$S$9</c15:sqref>
                        </c15:formulaRef>
                      </c:ext>
                    </c:extLst>
                    <c:numCache>
                      <c:formatCode>0</c:formatCode>
                      <c:ptCount val="8"/>
                      <c:pt idx="0">
                        <c:v>0</c:v>
                      </c:pt>
                      <c:pt idx="1">
                        <c:v>0</c:v>
                      </c:pt>
                      <c:pt idx="2">
                        <c:v>0</c:v>
                      </c:pt>
                      <c:pt idx="3">
                        <c:v>1</c:v>
                      </c:pt>
                      <c:pt idx="4">
                        <c:v>1</c:v>
                      </c:pt>
                      <c:pt idx="5">
                        <c:v>2</c:v>
                      </c:pt>
                      <c:pt idx="6">
                        <c:v>0</c:v>
                      </c:pt>
                      <c:pt idx="7">
                        <c:v>7</c:v>
                      </c:pt>
                    </c:numCache>
                  </c:numRef>
                </c:val>
                <c:extLst xmlns:c15="http://schemas.microsoft.com/office/drawing/2012/chart"/>
              </c15:ser>
            </c15:filteredPieSeries>
            <c15:filteredPieSeries>
              <c15:ser>
                <c:idx val="6"/>
                <c:order val="6"/>
                <c:tx>
                  <c:strRef>
                    <c:extLst xmlns:c15="http://schemas.microsoft.com/office/drawing/2012/chart">
                      <c:ext xmlns:c15="http://schemas.microsoft.com/office/drawing/2012/chart" uri="{02D57815-91ED-43cb-92C2-25804820EDAC}">
                        <c15:formulaRef>
                          <c15:sqref>'flux par AE 2013'!$A$10</c15:sqref>
                        </c15:formulaRef>
                      </c:ext>
                    </c:extLst>
                    <c:strCache>
                      <c:ptCount val="1"/>
                      <c:pt idx="0">
                        <c:v>TOTAL DES ENTREES SUR 2013 (en ETP) [A]</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'flux par AE 2013'!$B$3:$S$3</c15:sqref>
                        </c15:formulaRef>
                      </c:ext>
                    </c:extLst>
                    <c:strCache>
                      <c:ptCount val="8"/>
                      <c:pt idx="0">
                        <c:v>Services 
ministre</c:v>
                      </c:pt>
                      <c:pt idx="1">
                        <c:v>IGAC</c:v>
                      </c:pt>
                      <c:pt idx="2">
                        <c:v>DGLFLF</c:v>
                      </c:pt>
                      <c:pt idx="3">
                        <c:v>SG</c:v>
                      </c:pt>
                      <c:pt idx="4">
                        <c:v>DGP  </c:v>
                      </c:pt>
                      <c:pt idx="5">
                        <c:v>DGCA</c:v>
                      </c:pt>
                      <c:pt idx="6">
                        <c:v>DGMIC</c:v>
                      </c:pt>
                      <c:pt idx="7">
                        <c:v>DAT
(DRAC)</c:v>
                      </c:pt>
                    </c:strCache>
                  </c:strRef>
                </c:cat>
                <c:val>
                  <c:numRef>
                    <c:extLst xmlns:c15="http://schemas.microsoft.com/office/drawing/2012/chart">
                      <c:ext xmlns:c15="http://schemas.microsoft.com/office/drawing/2012/chart" uri="{02D57815-91ED-43cb-92C2-25804820EDAC}">
                        <c15:formulaRef>
                          <c15:sqref>'flux par AE 2013'!$B$10:$S$10</c15:sqref>
                        </c15:formulaRef>
                      </c:ext>
                    </c:extLst>
                    <c:numCache>
                      <c:formatCode>0</c:formatCode>
                      <c:ptCount val="8"/>
                      <c:pt idx="0">
                        <c:v>13</c:v>
                      </c:pt>
                      <c:pt idx="1">
                        <c:v>0</c:v>
                      </c:pt>
                      <c:pt idx="2">
                        <c:v>1</c:v>
                      </c:pt>
                      <c:pt idx="3">
                        <c:v>78</c:v>
                      </c:pt>
                      <c:pt idx="4">
                        <c:v>50</c:v>
                      </c:pt>
                      <c:pt idx="5">
                        <c:v>20</c:v>
                      </c:pt>
                      <c:pt idx="6">
                        <c:v>25</c:v>
                      </c:pt>
                      <c:pt idx="7">
                        <c:v>143</c:v>
                      </c:pt>
                    </c:numCache>
                  </c:numRef>
                </c:val>
                <c:extLst xmlns:c15="http://schemas.microsoft.com/office/drawing/2012/chart"/>
              </c15:ser>
            </c15:filteredPieSeries>
          </c:ext>
        </c:extLst>
      </c:pieChart>
      <c:spPr>
        <a:noFill/>
        <a:ln>
          <a:noFill/>
        </a:ln>
        <a:effectLst/>
      </c:spPr>
    </c:plotArea>
    <c:legend>
      <c:legendPos val="b"/>
      <c:layout>
        <c:manualLayout>
          <c:xMode val="edge"/>
          <c:yMode val="edge"/>
          <c:x val="2.3018419322806676E-2"/>
          <c:y val="0.84661924397141686"/>
          <c:w val="0.96408094435075886"/>
          <c:h val="0.142225651323785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25" b="1" i="0" u="none" strike="noStrike" baseline="0">
                <a:solidFill>
                  <a:srgbClr val="000000"/>
                </a:solidFill>
                <a:latin typeface="Arial"/>
                <a:ea typeface="Arial"/>
                <a:cs typeface="Arial"/>
              </a:defRPr>
            </a:pPr>
            <a:r>
              <a:rPr lang="fr-FR" sz="1100"/>
              <a:t>Répartion des différents motifs d'entrées et sorties par filière</a:t>
            </a:r>
          </a:p>
        </c:rich>
      </c:tx>
      <c:layout>
        <c:manualLayout>
          <c:xMode val="edge"/>
          <c:yMode val="edge"/>
          <c:x val="0.13218694885361551"/>
          <c:y val="2.0998670970191761E-2"/>
        </c:manualLayout>
      </c:layout>
      <c:overlay val="0"/>
      <c:spPr>
        <a:noFill/>
        <a:ln w="25400">
          <a:noFill/>
        </a:ln>
      </c:spPr>
    </c:title>
    <c:autoTitleDeleted val="0"/>
    <c:plotArea>
      <c:layout>
        <c:manualLayout>
          <c:layoutTarget val="inner"/>
          <c:xMode val="edge"/>
          <c:yMode val="edge"/>
          <c:x val="8.1035506734170745E-2"/>
          <c:y val="9.3462126201076537E-2"/>
          <c:w val="0.90563841746659846"/>
          <c:h val="0.68580032243744005"/>
        </c:manualLayout>
      </c:layout>
      <c:barChart>
        <c:barDir val="col"/>
        <c:grouping val="percentStacked"/>
        <c:varyColors val="0"/>
        <c:ser>
          <c:idx val="0"/>
          <c:order val="0"/>
          <c:tx>
            <c:strRef>
              <c:f>synthèse!$B$5</c:f>
              <c:strCache>
                <c:ptCount val="1"/>
                <c:pt idx="0">
                  <c:v>Recrutements</c:v>
                </c:pt>
              </c:strCache>
            </c:strRef>
          </c:tx>
          <c:spPr>
            <a:solidFill>
              <a:srgbClr val="FF00FF"/>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(synthèse!$A$7,synthèse!$A$8,synthèse!$A$9,synthèse!$A$10,synthèse!$A$11)</c:f>
              <c:strCache>
                <c:ptCount val="5"/>
                <c:pt idx="0">
                  <c:v>Filière administrative</c:v>
                </c:pt>
                <c:pt idx="1">
                  <c:v>Filière scientifique</c:v>
                </c:pt>
                <c:pt idx="2">
                  <c:v>Filière technique et enseignement</c:v>
                </c:pt>
                <c:pt idx="3">
                  <c:v>Filière surveillance</c:v>
                </c:pt>
                <c:pt idx="4">
                  <c:v>Contractuels</c:v>
                </c:pt>
              </c:strCache>
            </c:strRef>
          </c:cat>
          <c:val>
            <c:numRef>
              <c:f>(synthèse!$D$7,synthèse!$D$8,synthèse!$D$9,synthèse!$D$10,synthèse!$D$11)</c:f>
              <c:numCache>
                <c:formatCode>0</c:formatCode>
                <c:ptCount val="5"/>
                <c:pt idx="0">
                  <c:v>156</c:v>
                </c:pt>
                <c:pt idx="1">
                  <c:v>102</c:v>
                </c:pt>
                <c:pt idx="2">
                  <c:v>111.5</c:v>
                </c:pt>
                <c:pt idx="3">
                  <c:v>67</c:v>
                </c:pt>
                <c:pt idx="4">
                  <c:v>89</c:v>
                </c:pt>
              </c:numCache>
            </c:numRef>
          </c:val>
          <c:extLst/>
        </c:ser>
        <c:ser>
          <c:idx val="1"/>
          <c:order val="1"/>
          <c:tx>
            <c:strRef>
              <c:f>synthèse!$E$5</c:f>
              <c:strCache>
                <c:ptCount val="1"/>
                <c:pt idx="0">
                  <c:v>Sorties définitives</c:v>
                </c:pt>
              </c:strCache>
            </c:strRef>
          </c:tx>
          <c:spPr>
            <a:solidFill>
              <a:schemeClr val="bg1">
                <a:lumMod val="65000"/>
              </a:schemeClr>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(synthèse!$G$7,synthèse!$G$8,synthèse!$G$9,synthèse!$G$10,synthèse!$G$11)</c:f>
              <c:numCache>
                <c:formatCode>0</c:formatCode>
                <c:ptCount val="5"/>
                <c:pt idx="0">
                  <c:v>129</c:v>
                </c:pt>
                <c:pt idx="1">
                  <c:v>125</c:v>
                </c:pt>
                <c:pt idx="2">
                  <c:v>185</c:v>
                </c:pt>
                <c:pt idx="3">
                  <c:v>60</c:v>
                </c:pt>
                <c:pt idx="4">
                  <c:v>65</c:v>
                </c:pt>
              </c:numCache>
            </c:numRef>
          </c:val>
          <c:extLst/>
        </c:ser>
        <c:ser>
          <c:idx val="2"/>
          <c:order val="2"/>
          <c:tx>
            <c:strRef>
              <c:f>synthèse!$K$5</c:f>
              <c:strCache>
                <c:ptCount val="1"/>
                <c:pt idx="0">
                  <c:v>Retours de situation interruptive</c:v>
                </c:pt>
              </c:strCache>
            </c:strRef>
          </c:tx>
          <c:spPr>
            <a:solidFill>
              <a:srgbClr val="FF99FF"/>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(synthèse!$M$7,synthèse!$M$8,synthèse!$M$9,synthèse!$M$10,synthèse!$M$11)</c:f>
              <c:numCache>
                <c:formatCode>0</c:formatCode>
                <c:ptCount val="5"/>
                <c:pt idx="0">
                  <c:v>75.8</c:v>
                </c:pt>
                <c:pt idx="1">
                  <c:v>37.9</c:v>
                </c:pt>
                <c:pt idx="2">
                  <c:v>30.7</c:v>
                </c:pt>
                <c:pt idx="3">
                  <c:v>44.7</c:v>
                </c:pt>
                <c:pt idx="4">
                  <c:v>4</c:v>
                </c:pt>
              </c:numCache>
            </c:numRef>
          </c:val>
          <c:extLst/>
        </c:ser>
        <c:ser>
          <c:idx val="3"/>
          <c:order val="3"/>
          <c:tx>
            <c:strRef>
              <c:f>synthèse!$N$5</c:f>
              <c:strCache>
                <c:ptCount val="1"/>
                <c:pt idx="0">
                  <c:v>Situations interruptives</c:v>
                </c:pt>
              </c:strCache>
            </c:strRef>
          </c:tx>
          <c:spPr>
            <a:solidFill>
              <a:schemeClr val="bg1">
                <a:lumMod val="85000"/>
              </a:schemeClr>
            </a:solidFill>
            <a:ln w="12700">
              <a:noFill/>
              <a:prstDash val="solid"/>
            </a:ln>
            <a:scene3d>
              <a:camera prst="orthographicFront"/>
              <a:lightRig rig="threePt" dir="t"/>
            </a:scene3d>
            <a:sp3d>
              <a:bevelT/>
            </a:sp3d>
          </c:spPr>
          <c:invertIfNegative val="0"/>
          <c:dLbls>
            <c:dLbl>
              <c:idx val="4"/>
              <c:layout>
                <c:manualLayout>
                  <c:x val="0"/>
                  <c:y val="-9.9358297953238625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(synthèse!$P$7,synthèse!$P$8,synthèse!$P$9,synthèse!$P$10,synthèse!$P$11)</c:f>
              <c:numCache>
                <c:formatCode>0</c:formatCode>
                <c:ptCount val="5"/>
                <c:pt idx="0">
                  <c:v>83.8</c:v>
                </c:pt>
                <c:pt idx="1">
                  <c:v>48.8</c:v>
                </c:pt>
                <c:pt idx="2">
                  <c:v>40.700000000000003</c:v>
                </c:pt>
                <c:pt idx="3">
                  <c:v>30.9</c:v>
                </c:pt>
                <c:pt idx="4">
                  <c:v>6</c:v>
                </c:pt>
              </c:numCache>
            </c:numRef>
          </c:val>
          <c:extLst/>
        </c:ser>
        <c:dLbls>
          <c:showLegendKey val="0"/>
          <c:showVal val="1"/>
          <c:showCatName val="0"/>
          <c:showSerName val="0"/>
          <c:showPercent val="0"/>
          <c:showBubbleSize val="0"/>
        </c:dLbls>
        <c:gapWidth val="150"/>
        <c:overlap val="100"/>
        <c:axId val="227130128"/>
        <c:axId val="227130688"/>
      </c:barChart>
      <c:catAx>
        <c:axId val="22713012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fr-FR"/>
          </a:p>
        </c:txPr>
        <c:crossAx val="227130688"/>
        <c:crosses val="autoZero"/>
        <c:auto val="1"/>
        <c:lblAlgn val="ctr"/>
        <c:lblOffset val="100"/>
        <c:tickLblSkip val="1"/>
        <c:tickMarkSkip val="1"/>
        <c:noMultiLvlLbl val="0"/>
      </c:catAx>
      <c:valAx>
        <c:axId val="227130688"/>
        <c:scaling>
          <c:orientation val="minMax"/>
        </c:scaling>
        <c:delete val="0"/>
        <c:axPos val="l"/>
        <c:majorGridlines>
          <c:spPr>
            <a:ln w="3175">
              <a:solidFill>
                <a:schemeClr val="bg1">
                  <a:lumMod val="65000"/>
                </a:schemeClr>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fr-FR"/>
          </a:p>
        </c:txPr>
        <c:crossAx val="227130128"/>
        <c:crosses val="autoZero"/>
        <c:crossBetween val="between"/>
      </c:valAx>
      <c:spPr>
        <a:solidFill>
          <a:schemeClr val="bg1"/>
        </a:solidFill>
        <a:ln w="12700">
          <a:noFill/>
          <a:prstDash val="solid"/>
        </a:ln>
      </c:spPr>
    </c:plotArea>
    <c:legend>
      <c:legendPos val="b"/>
      <c:layout>
        <c:manualLayout>
          <c:xMode val="edge"/>
          <c:yMode val="edge"/>
          <c:x val="2.7690288713910761E-2"/>
          <c:y val="0.87580916869767678"/>
          <c:w val="0.95058149182965035"/>
          <c:h val="0.11565581329360856"/>
        </c:manualLayout>
      </c:layout>
      <c:overlay val="0"/>
      <c:spPr>
        <a:solidFill>
          <a:srgbClr val="FFFFFF"/>
        </a:solidFill>
        <a:ln w="3175">
          <a:noFill/>
          <a:prstDash val="solid"/>
        </a:ln>
      </c:spPr>
      <c:txPr>
        <a:bodyPr/>
        <a:lstStyle/>
        <a:p>
          <a:pPr>
            <a:defRPr sz="95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3175">
      <a:noFill/>
      <a:prstDash val="solid"/>
    </a:ln>
  </c:spPr>
  <c:txPr>
    <a:bodyPr/>
    <a:lstStyle/>
    <a:p>
      <a:pPr>
        <a:defRPr sz="1200" b="0" i="0" u="none" strike="noStrike" baseline="0">
          <a:solidFill>
            <a:srgbClr val="000000"/>
          </a:solidFill>
          <a:latin typeface="Arial"/>
          <a:ea typeface="Arial"/>
          <a:cs typeface="Arial"/>
        </a:defRPr>
      </a:pPr>
      <a:endParaRPr lang="fr-FR"/>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50" b="1" i="0" u="none" strike="noStrike" baseline="0">
                <a:solidFill>
                  <a:srgbClr val="000000"/>
                </a:solidFill>
                <a:latin typeface="Arial"/>
                <a:ea typeface="Arial"/>
                <a:cs typeface="Arial"/>
              </a:defRPr>
            </a:pPr>
            <a:r>
              <a:rPr lang="fr-FR" sz="1100"/>
              <a:t>Poids de chaque filière dans les différents motifs d'entrées et sorties</a:t>
            </a:r>
          </a:p>
        </c:rich>
      </c:tx>
      <c:layout>
        <c:manualLayout>
          <c:xMode val="edge"/>
          <c:yMode val="edge"/>
          <c:x val="0.15493479762398124"/>
          <c:y val="1.2851323141960896E-2"/>
        </c:manualLayout>
      </c:layout>
      <c:overlay val="0"/>
      <c:spPr>
        <a:noFill/>
        <a:ln w="25400">
          <a:noFill/>
        </a:ln>
      </c:spPr>
    </c:title>
    <c:autoTitleDeleted val="0"/>
    <c:plotArea>
      <c:layout>
        <c:manualLayout>
          <c:layoutTarget val="inner"/>
          <c:xMode val="edge"/>
          <c:yMode val="edge"/>
          <c:x val="7.0220041939202046E-2"/>
          <c:y val="0.11961304070272488"/>
          <c:w val="0.90283228485328226"/>
          <c:h val="0.69255392458658716"/>
        </c:manualLayout>
      </c:layout>
      <c:barChart>
        <c:barDir val="col"/>
        <c:grouping val="stacked"/>
        <c:varyColors val="0"/>
        <c:ser>
          <c:idx val="0"/>
          <c:order val="0"/>
          <c:tx>
            <c:v>Filière administrative</c:v>
          </c:tx>
          <c:spPr>
            <a:solidFill>
              <a:srgbClr val="7030A0"/>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(synthèse!$B$5,synthèse!$E$5,synthèse!$K$5,synthèse!$N$5)</c:f>
              <c:strCache>
                <c:ptCount val="4"/>
                <c:pt idx="0">
                  <c:v>Recrutements</c:v>
                </c:pt>
                <c:pt idx="1">
                  <c:v>Sorties définitives</c:v>
                </c:pt>
                <c:pt idx="2">
                  <c:v>Retours de situation interruptive</c:v>
                </c:pt>
                <c:pt idx="3">
                  <c:v>Situations interruptives</c:v>
                </c:pt>
              </c:strCache>
            </c:strRef>
          </c:cat>
          <c:val>
            <c:numRef>
              <c:f>(synthèse!$D$7,synthèse!$G$7,synthèse!$M$7,synthèse!$P$7)</c:f>
              <c:numCache>
                <c:formatCode>0</c:formatCode>
                <c:ptCount val="4"/>
                <c:pt idx="0">
                  <c:v>156</c:v>
                </c:pt>
                <c:pt idx="1">
                  <c:v>129</c:v>
                </c:pt>
                <c:pt idx="2">
                  <c:v>75.8</c:v>
                </c:pt>
                <c:pt idx="3">
                  <c:v>83.8</c:v>
                </c:pt>
              </c:numCache>
            </c:numRef>
          </c:val>
          <c:extLst/>
        </c:ser>
        <c:ser>
          <c:idx val="1"/>
          <c:order val="1"/>
          <c:tx>
            <c:v>Filière scientifique</c:v>
          </c:tx>
          <c:spPr>
            <a:solidFill>
              <a:srgbClr val="FF00FF"/>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(synthèse!$B$5,synthèse!$E$5,synthèse!$K$5,synthèse!$N$5)</c:f>
              <c:strCache>
                <c:ptCount val="4"/>
                <c:pt idx="0">
                  <c:v>Recrutements</c:v>
                </c:pt>
                <c:pt idx="1">
                  <c:v>Sorties définitives</c:v>
                </c:pt>
                <c:pt idx="2">
                  <c:v>Retours de situation interruptive</c:v>
                </c:pt>
                <c:pt idx="3">
                  <c:v>Situations interruptives</c:v>
                </c:pt>
              </c:strCache>
            </c:strRef>
          </c:cat>
          <c:val>
            <c:numRef>
              <c:f>(synthèse!$D$8,synthèse!$G$8,synthèse!$M$8,synthèse!$P$8)</c:f>
              <c:numCache>
                <c:formatCode>0</c:formatCode>
                <c:ptCount val="4"/>
                <c:pt idx="0">
                  <c:v>102</c:v>
                </c:pt>
                <c:pt idx="1">
                  <c:v>125</c:v>
                </c:pt>
                <c:pt idx="2">
                  <c:v>37.9</c:v>
                </c:pt>
                <c:pt idx="3">
                  <c:v>48.8</c:v>
                </c:pt>
              </c:numCache>
            </c:numRef>
          </c:val>
          <c:extLst/>
        </c:ser>
        <c:ser>
          <c:idx val="2"/>
          <c:order val="2"/>
          <c:tx>
            <c:v>Filière technique et enseignement</c:v>
          </c:tx>
          <c:spPr>
            <a:solidFill>
              <a:srgbClr val="FF99FF"/>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(synthèse!$B$5,synthèse!$E$5,synthèse!$K$5,synthèse!$N$5)</c:f>
              <c:strCache>
                <c:ptCount val="4"/>
                <c:pt idx="0">
                  <c:v>Recrutements</c:v>
                </c:pt>
                <c:pt idx="1">
                  <c:v>Sorties définitives</c:v>
                </c:pt>
                <c:pt idx="2">
                  <c:v>Retours de situation interruptive</c:v>
                </c:pt>
                <c:pt idx="3">
                  <c:v>Situations interruptives</c:v>
                </c:pt>
              </c:strCache>
            </c:strRef>
          </c:cat>
          <c:val>
            <c:numRef>
              <c:f>(synthèse!$D$9,synthèse!$G$9,synthèse!$M$9,synthèse!$P$9)</c:f>
              <c:numCache>
                <c:formatCode>0</c:formatCode>
                <c:ptCount val="4"/>
                <c:pt idx="0">
                  <c:v>111.5</c:v>
                </c:pt>
                <c:pt idx="1">
                  <c:v>185</c:v>
                </c:pt>
                <c:pt idx="2">
                  <c:v>30.7</c:v>
                </c:pt>
                <c:pt idx="3">
                  <c:v>40.700000000000003</c:v>
                </c:pt>
              </c:numCache>
            </c:numRef>
          </c:val>
          <c:extLst/>
        </c:ser>
        <c:ser>
          <c:idx val="3"/>
          <c:order val="3"/>
          <c:tx>
            <c:v>Filière surveillance</c:v>
          </c:tx>
          <c:spPr>
            <a:solidFill>
              <a:schemeClr val="bg1">
                <a:lumMod val="65000"/>
              </a:schemeClr>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(synthèse!$B$5,synthèse!$E$5,synthèse!$K$5,synthèse!$N$5)</c:f>
              <c:strCache>
                <c:ptCount val="4"/>
                <c:pt idx="0">
                  <c:v>Recrutements</c:v>
                </c:pt>
                <c:pt idx="1">
                  <c:v>Sorties définitives</c:v>
                </c:pt>
                <c:pt idx="2">
                  <c:v>Retours de situation interruptive</c:v>
                </c:pt>
                <c:pt idx="3">
                  <c:v>Situations interruptives</c:v>
                </c:pt>
              </c:strCache>
            </c:strRef>
          </c:cat>
          <c:val>
            <c:numRef>
              <c:f>(synthèse!$D$10,synthèse!$G$10,synthèse!$M$10,synthèse!$P$10)</c:f>
              <c:numCache>
                <c:formatCode>0</c:formatCode>
                <c:ptCount val="4"/>
                <c:pt idx="0">
                  <c:v>67</c:v>
                </c:pt>
                <c:pt idx="1">
                  <c:v>60</c:v>
                </c:pt>
                <c:pt idx="2">
                  <c:v>44.7</c:v>
                </c:pt>
                <c:pt idx="3">
                  <c:v>30.9</c:v>
                </c:pt>
              </c:numCache>
            </c:numRef>
          </c:val>
          <c:extLst/>
        </c:ser>
        <c:ser>
          <c:idx val="4"/>
          <c:order val="4"/>
          <c:tx>
            <c:v>Contractuels</c:v>
          </c:tx>
          <c:spPr>
            <a:solidFill>
              <a:schemeClr val="bg1">
                <a:lumMod val="85000"/>
              </a:schemeClr>
            </a:solidFill>
            <a:ln w="12700">
              <a:noFill/>
              <a:prstDash val="solid"/>
            </a:ln>
            <a:scene3d>
              <a:camera prst="orthographicFront"/>
              <a:lightRig rig="threePt" dir="t"/>
            </a:scene3d>
            <a:sp3d>
              <a:bevelT/>
            </a:sp3d>
          </c:spPr>
          <c:invertIfNegative val="0"/>
          <c:dLbls>
            <c:dLbl>
              <c:idx val="2"/>
              <c:layout>
                <c:manualLayout>
                  <c:x val="-7.2558532320951841E-17"/>
                  <c:y val="-1.799437463260755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1.349578097445560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(synthèse!$B$5,synthèse!$E$5,synthèse!$K$5,synthèse!$N$5)</c:f>
              <c:strCache>
                <c:ptCount val="4"/>
                <c:pt idx="0">
                  <c:v>Recrutements</c:v>
                </c:pt>
                <c:pt idx="1">
                  <c:v>Sorties définitives</c:v>
                </c:pt>
                <c:pt idx="2">
                  <c:v>Retours de situation interruptive</c:v>
                </c:pt>
                <c:pt idx="3">
                  <c:v>Situations interruptives</c:v>
                </c:pt>
              </c:strCache>
            </c:strRef>
          </c:cat>
          <c:val>
            <c:numRef>
              <c:f>(synthèse!$D$11,synthèse!$G$11,synthèse!$M$11,synthèse!$P$11)</c:f>
              <c:numCache>
                <c:formatCode>0</c:formatCode>
                <c:ptCount val="4"/>
                <c:pt idx="0">
                  <c:v>89</c:v>
                </c:pt>
                <c:pt idx="1">
                  <c:v>65</c:v>
                </c:pt>
                <c:pt idx="2">
                  <c:v>4</c:v>
                </c:pt>
                <c:pt idx="3">
                  <c:v>6</c:v>
                </c:pt>
              </c:numCache>
            </c:numRef>
          </c:val>
          <c:extLst/>
        </c:ser>
        <c:dLbls>
          <c:showLegendKey val="0"/>
          <c:showVal val="1"/>
          <c:showCatName val="0"/>
          <c:showSerName val="0"/>
          <c:showPercent val="0"/>
          <c:showBubbleSize val="0"/>
        </c:dLbls>
        <c:gapWidth val="150"/>
        <c:overlap val="100"/>
        <c:axId val="228737392"/>
        <c:axId val="228737952"/>
      </c:barChart>
      <c:catAx>
        <c:axId val="228737392"/>
        <c:scaling>
          <c:orientation val="minMax"/>
        </c:scaling>
        <c:delete val="0"/>
        <c:axPos val="b"/>
        <c:numFmt formatCode="General" sourceLinked="1"/>
        <c:majorTickMark val="none"/>
        <c:minorTickMark val="none"/>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fr-FR"/>
          </a:p>
        </c:txPr>
        <c:crossAx val="228737952"/>
        <c:crosses val="autoZero"/>
        <c:auto val="1"/>
        <c:lblAlgn val="ctr"/>
        <c:lblOffset val="100"/>
        <c:tickLblSkip val="1"/>
        <c:tickMarkSkip val="1"/>
        <c:noMultiLvlLbl val="0"/>
      </c:catAx>
      <c:valAx>
        <c:axId val="228737952"/>
        <c:scaling>
          <c:orientation val="minMax"/>
        </c:scaling>
        <c:delete val="0"/>
        <c:axPos val="l"/>
        <c:majorGridlines>
          <c:spPr>
            <a:ln w="3175">
              <a:solidFill>
                <a:schemeClr val="bg1">
                  <a:lumMod val="65000"/>
                </a:schemeClr>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fr-FR"/>
          </a:p>
        </c:txPr>
        <c:crossAx val="228737392"/>
        <c:crosses val="autoZero"/>
        <c:crossBetween val="between"/>
      </c:valAx>
      <c:spPr>
        <a:solidFill>
          <a:schemeClr val="bg1"/>
        </a:solidFill>
        <a:ln w="12700">
          <a:noFill/>
          <a:prstDash val="solid"/>
        </a:ln>
      </c:spPr>
    </c:plotArea>
    <c:legend>
      <c:legendPos val="b"/>
      <c:layout>
        <c:manualLayout>
          <c:xMode val="edge"/>
          <c:yMode val="edge"/>
          <c:x val="5.9366757700889082E-3"/>
          <c:y val="0.9088875927546094"/>
          <c:w val="0.99211590759540791"/>
          <c:h val="8.1429420087921103E-2"/>
        </c:manualLayout>
      </c:layout>
      <c:overlay val="0"/>
      <c:spPr>
        <a:solidFill>
          <a:srgbClr val="FFFFFF"/>
        </a:solidFill>
        <a:ln w="3175">
          <a:noFill/>
          <a:prstDash val="solid"/>
        </a:ln>
      </c:spPr>
      <c:txPr>
        <a:bodyPr/>
        <a:lstStyle/>
        <a:p>
          <a:pPr>
            <a:defRPr sz="100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3175">
      <a:noFill/>
      <a:prstDash val="solid"/>
    </a:ln>
  </c:spPr>
  <c:txPr>
    <a:bodyPr/>
    <a:lstStyle/>
    <a:p>
      <a:pPr>
        <a:defRPr sz="1200" b="0" i="0" u="none" strike="noStrike" baseline="0">
          <a:solidFill>
            <a:srgbClr val="000000"/>
          </a:solidFill>
          <a:latin typeface="Arial"/>
          <a:ea typeface="Arial"/>
          <a:cs typeface="Arial"/>
        </a:defRPr>
      </a:pPr>
      <a:endParaRPr lang="fr-FR"/>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fr-FR" sz="1050"/>
              <a:t>Répartition des différents motifs d'entrées et de sorties par catégorie</a:t>
            </a:r>
          </a:p>
        </c:rich>
      </c:tx>
      <c:layout>
        <c:manualLayout>
          <c:xMode val="edge"/>
          <c:yMode val="edge"/>
          <c:x val="0.15512029926100415"/>
          <c:y val="2.4030354749872029E-2"/>
        </c:manualLayout>
      </c:layout>
      <c:overlay val="0"/>
      <c:spPr>
        <a:noFill/>
        <a:ln w="25400">
          <a:noFill/>
        </a:ln>
      </c:spPr>
    </c:title>
    <c:autoTitleDeleted val="0"/>
    <c:plotArea>
      <c:layout>
        <c:manualLayout>
          <c:layoutTarget val="inner"/>
          <c:xMode val="edge"/>
          <c:yMode val="edge"/>
          <c:x val="5.9407774185065425E-2"/>
          <c:y val="0.10166688548022783"/>
          <c:w val="0.9042796733741616"/>
          <c:h val="0.69672539907921349"/>
        </c:manualLayout>
      </c:layout>
      <c:barChart>
        <c:barDir val="col"/>
        <c:grouping val="stacked"/>
        <c:varyColors val="0"/>
        <c:ser>
          <c:idx val="0"/>
          <c:order val="0"/>
          <c:tx>
            <c:strRef>
              <c:f>synthèse!$B$74</c:f>
              <c:strCache>
                <c:ptCount val="1"/>
                <c:pt idx="0">
                  <c:v>Recrutements</c:v>
                </c:pt>
              </c:strCache>
            </c:strRef>
          </c:tx>
          <c:spPr>
            <a:solidFill>
              <a:srgbClr val="FF00FF"/>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1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(synthèse!$A$76,synthèse!$A$78,synthèse!$A$80,synthèse!$A$82)</c:f>
              <c:strCache>
                <c:ptCount val="4"/>
                <c:pt idx="0">
                  <c:v>Personnels de catégorie A</c:v>
                </c:pt>
                <c:pt idx="1">
                  <c:v>Personnels de catégorie B</c:v>
                </c:pt>
                <c:pt idx="2">
                  <c:v>Personnels de catégorie C</c:v>
                </c:pt>
                <c:pt idx="3">
                  <c:v>Agents contractuels</c:v>
                </c:pt>
              </c:strCache>
            </c:strRef>
          </c:cat>
          <c:val>
            <c:numRef>
              <c:f>(synthèse!$D$76,synthèse!$D$78,synthèse!$D$80,synthèse!$D$82)</c:f>
              <c:numCache>
                <c:formatCode>0</c:formatCode>
                <c:ptCount val="4"/>
                <c:pt idx="0">
                  <c:v>156.34500000000003</c:v>
                </c:pt>
                <c:pt idx="1">
                  <c:v>72</c:v>
                </c:pt>
                <c:pt idx="2">
                  <c:v>128</c:v>
                </c:pt>
                <c:pt idx="3">
                  <c:v>169.65499999999997</c:v>
                </c:pt>
              </c:numCache>
            </c:numRef>
          </c:val>
          <c:extLst/>
        </c:ser>
        <c:ser>
          <c:idx val="1"/>
          <c:order val="1"/>
          <c:tx>
            <c:strRef>
              <c:f>synthèse!$E$74</c:f>
              <c:strCache>
                <c:ptCount val="1"/>
                <c:pt idx="0">
                  <c:v>Sorties définitives</c:v>
                </c:pt>
              </c:strCache>
            </c:strRef>
          </c:tx>
          <c:spPr>
            <a:solidFill>
              <a:srgbClr val="FF99FF"/>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1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(synthèse!$G$76,synthèse!$G$78,synthèse!$G$80,synthèse!$G$82)</c:f>
              <c:numCache>
                <c:formatCode>0</c:formatCode>
                <c:ptCount val="4"/>
                <c:pt idx="0">
                  <c:v>236</c:v>
                </c:pt>
                <c:pt idx="1">
                  <c:v>78</c:v>
                </c:pt>
                <c:pt idx="2">
                  <c:v>143</c:v>
                </c:pt>
                <c:pt idx="3">
                  <c:v>107</c:v>
                </c:pt>
              </c:numCache>
            </c:numRef>
          </c:val>
          <c:extLst/>
        </c:ser>
        <c:ser>
          <c:idx val="2"/>
          <c:order val="2"/>
          <c:tx>
            <c:strRef>
              <c:f>synthèse!$K$74</c:f>
              <c:strCache>
                <c:ptCount val="1"/>
                <c:pt idx="0">
                  <c:v>Retours de situation interruptive</c:v>
                </c:pt>
              </c:strCache>
            </c:strRef>
          </c:tx>
          <c:spPr>
            <a:solidFill>
              <a:schemeClr val="bg1">
                <a:lumMod val="50000"/>
              </a:schemeClr>
            </a:solidFill>
            <a:ln w="12700">
              <a:noFill/>
              <a:prstDash val="solid"/>
            </a:ln>
            <a:scene3d>
              <a:camera prst="orthographicFront"/>
              <a:lightRig rig="threePt" dir="t"/>
            </a:scene3d>
            <a:sp3d>
              <a:bevelT/>
            </a:sp3d>
          </c:spPr>
          <c:invertIfNegative val="0"/>
          <c:dLbls>
            <c:dLbl>
              <c:idx val="3"/>
              <c:layout>
                <c:manualLayout>
                  <c:x val="0"/>
                  <c:y val="2.558877049432335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1025"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(synthèse!$M$76,synthèse!$M$78,synthèse!$M$80,synthèse!$M$82)</c:f>
              <c:numCache>
                <c:formatCode>0</c:formatCode>
                <c:ptCount val="4"/>
                <c:pt idx="0">
                  <c:v>65.2</c:v>
                </c:pt>
                <c:pt idx="1">
                  <c:v>34.700000000000003</c:v>
                </c:pt>
                <c:pt idx="2">
                  <c:v>89.2</c:v>
                </c:pt>
                <c:pt idx="3">
                  <c:v>4</c:v>
                </c:pt>
              </c:numCache>
            </c:numRef>
          </c:val>
          <c:extLst/>
        </c:ser>
        <c:ser>
          <c:idx val="3"/>
          <c:order val="3"/>
          <c:tx>
            <c:strRef>
              <c:f>synthèse!$N$74</c:f>
              <c:strCache>
                <c:ptCount val="1"/>
                <c:pt idx="0">
                  <c:v>Situations interruptives</c:v>
                </c:pt>
              </c:strCache>
            </c:strRef>
          </c:tx>
          <c:spPr>
            <a:solidFill>
              <a:schemeClr val="bg1">
                <a:lumMod val="85000"/>
              </a:schemeClr>
            </a:solidFill>
            <a:ln w="12700">
              <a:noFill/>
              <a:prstDash val="solid"/>
            </a:ln>
            <a:scene3d>
              <a:camera prst="orthographicFront"/>
              <a:lightRig rig="threePt" dir="t"/>
            </a:scene3d>
            <a:sp3d>
              <a:bevelT/>
            </a:sp3d>
          </c:spPr>
          <c:invertIfNegative val="0"/>
          <c:dLbls>
            <c:dLbl>
              <c:idx val="3"/>
              <c:layout>
                <c:manualLayout>
                  <c:x val="-1.4039404570850974E-16"/>
                  <c:y val="-1.76600472197679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1025"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(synthèse!$P$76,synthèse!$P$78,synthèse!$P$80,synthèse!$P$82)</c:f>
              <c:numCache>
                <c:formatCode>0</c:formatCode>
                <c:ptCount val="4"/>
                <c:pt idx="0">
                  <c:v>84.6</c:v>
                </c:pt>
                <c:pt idx="1">
                  <c:v>40.700000000000003</c:v>
                </c:pt>
                <c:pt idx="2">
                  <c:v>78.900000000000006</c:v>
                </c:pt>
                <c:pt idx="3">
                  <c:v>6</c:v>
                </c:pt>
              </c:numCache>
            </c:numRef>
          </c:val>
          <c:extLst/>
        </c:ser>
        <c:dLbls>
          <c:showLegendKey val="0"/>
          <c:showVal val="1"/>
          <c:showCatName val="0"/>
          <c:showSerName val="0"/>
          <c:showPercent val="0"/>
          <c:showBubbleSize val="0"/>
        </c:dLbls>
        <c:gapWidth val="150"/>
        <c:overlap val="100"/>
        <c:axId val="227017440"/>
        <c:axId val="227018000"/>
      </c:barChart>
      <c:catAx>
        <c:axId val="2270174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fr-FR"/>
          </a:p>
        </c:txPr>
        <c:crossAx val="227018000"/>
        <c:crosses val="autoZero"/>
        <c:auto val="1"/>
        <c:lblAlgn val="ctr"/>
        <c:lblOffset val="100"/>
        <c:tickLblSkip val="1"/>
        <c:tickMarkSkip val="1"/>
        <c:noMultiLvlLbl val="0"/>
      </c:catAx>
      <c:valAx>
        <c:axId val="227018000"/>
        <c:scaling>
          <c:orientation val="minMax"/>
        </c:scaling>
        <c:delete val="0"/>
        <c:axPos val="l"/>
        <c:majorGridlines>
          <c:spPr>
            <a:ln w="3175">
              <a:solidFill>
                <a:schemeClr val="bg1">
                  <a:lumMod val="65000"/>
                </a:schemeClr>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fr-FR"/>
          </a:p>
        </c:txPr>
        <c:crossAx val="227017440"/>
        <c:crosses val="autoZero"/>
        <c:crossBetween val="between"/>
      </c:valAx>
      <c:spPr>
        <a:solidFill>
          <a:schemeClr val="bg1"/>
        </a:solidFill>
        <a:ln w="12700">
          <a:noFill/>
          <a:prstDash val="solid"/>
        </a:ln>
      </c:spPr>
    </c:plotArea>
    <c:legend>
      <c:legendPos val="b"/>
      <c:legendEntry>
        <c:idx val="0"/>
        <c:txPr>
          <a:bodyPr/>
          <a:lstStyle/>
          <a:p>
            <a:pPr>
              <a:defRPr sz="1010" b="0" i="0" u="none" strike="noStrike" baseline="0">
                <a:solidFill>
                  <a:srgbClr val="000000"/>
                </a:solidFill>
                <a:latin typeface="Arial"/>
                <a:ea typeface="Arial"/>
                <a:cs typeface="Arial"/>
              </a:defRPr>
            </a:pPr>
            <a:endParaRPr lang="fr-FR"/>
          </a:p>
        </c:txPr>
      </c:legendEntry>
      <c:legendEntry>
        <c:idx val="1"/>
        <c:txPr>
          <a:bodyPr/>
          <a:lstStyle/>
          <a:p>
            <a:pPr>
              <a:defRPr sz="1010" b="0" i="0" u="none" strike="noStrike" baseline="0">
                <a:solidFill>
                  <a:srgbClr val="000000"/>
                </a:solidFill>
                <a:latin typeface="Arial"/>
                <a:ea typeface="Arial"/>
                <a:cs typeface="Arial"/>
              </a:defRPr>
            </a:pPr>
            <a:endParaRPr lang="fr-FR"/>
          </a:p>
        </c:txPr>
      </c:legendEntry>
      <c:legendEntry>
        <c:idx val="2"/>
        <c:txPr>
          <a:bodyPr/>
          <a:lstStyle/>
          <a:p>
            <a:pPr>
              <a:defRPr sz="1010" b="0" i="0" u="none" strike="noStrike" baseline="0">
                <a:solidFill>
                  <a:srgbClr val="000000"/>
                </a:solidFill>
                <a:latin typeface="Arial"/>
                <a:ea typeface="Arial"/>
                <a:cs typeface="Arial"/>
              </a:defRPr>
            </a:pPr>
            <a:endParaRPr lang="fr-FR"/>
          </a:p>
        </c:txPr>
      </c:legendEntry>
      <c:legendEntry>
        <c:idx val="3"/>
        <c:txPr>
          <a:bodyPr/>
          <a:lstStyle/>
          <a:p>
            <a:pPr>
              <a:defRPr sz="1010" b="0" i="0" u="none" strike="noStrike" baseline="0">
                <a:solidFill>
                  <a:srgbClr val="000000"/>
                </a:solidFill>
                <a:latin typeface="Arial"/>
                <a:ea typeface="Arial"/>
                <a:cs typeface="Arial"/>
              </a:defRPr>
            </a:pPr>
            <a:endParaRPr lang="fr-FR"/>
          </a:p>
        </c:txPr>
      </c:legendEntry>
      <c:layout>
        <c:manualLayout>
          <c:xMode val="edge"/>
          <c:yMode val="edge"/>
          <c:x val="2.3077323667874849E-2"/>
          <c:y val="0.90023406910201786"/>
          <c:w val="0.96927831937674458"/>
          <c:h val="5.7769038912766843E-2"/>
        </c:manualLayout>
      </c:layout>
      <c:overlay val="0"/>
      <c:spPr>
        <a:solidFill>
          <a:srgbClr val="FFFFFF"/>
        </a:solidFill>
        <a:ln w="3175">
          <a:noFill/>
          <a:prstDash val="solid"/>
        </a:ln>
      </c:spPr>
      <c:txPr>
        <a:bodyPr/>
        <a:lstStyle/>
        <a:p>
          <a:pPr>
            <a:defRPr sz="965"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3175">
      <a:noFill/>
      <a:prstDash val="solid"/>
    </a:ln>
  </c:spPr>
  <c:txPr>
    <a:bodyPr/>
    <a:lstStyle/>
    <a:p>
      <a:pPr>
        <a:defRPr sz="1100" b="0" i="0" u="none" strike="noStrike" baseline="0">
          <a:solidFill>
            <a:srgbClr val="000000"/>
          </a:solidFill>
          <a:latin typeface="Arial"/>
          <a:ea typeface="Arial"/>
          <a:cs typeface="Arial"/>
        </a:defRPr>
      </a:pPr>
      <a:endParaRPr lang="fr-FR"/>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75" b="1" i="0" u="none" strike="noStrike" baseline="0">
                <a:solidFill>
                  <a:srgbClr val="000000"/>
                </a:solidFill>
                <a:latin typeface="Arial"/>
                <a:ea typeface="Arial"/>
                <a:cs typeface="Arial"/>
              </a:defRPr>
            </a:pPr>
            <a:r>
              <a:rPr lang="fr-FR" sz="1050"/>
              <a:t>Poids de chaque catégorie dans les différents motifs d'entrées et sorties</a:t>
            </a:r>
          </a:p>
        </c:rich>
      </c:tx>
      <c:layout>
        <c:manualLayout>
          <c:xMode val="edge"/>
          <c:yMode val="edge"/>
          <c:x val="0.12615887907054602"/>
          <c:y val="2.7889282763957295E-2"/>
        </c:manualLayout>
      </c:layout>
      <c:overlay val="0"/>
      <c:spPr>
        <a:noFill/>
        <a:ln w="25400">
          <a:noFill/>
        </a:ln>
      </c:spPr>
    </c:title>
    <c:autoTitleDeleted val="0"/>
    <c:plotArea>
      <c:layout>
        <c:manualLayout>
          <c:layoutTarget val="inner"/>
          <c:xMode val="edge"/>
          <c:yMode val="edge"/>
          <c:x val="5.8443347138299372E-2"/>
          <c:y val="0.1593674714396498"/>
          <c:w val="0.9053238136899554"/>
          <c:h val="0.57397324049146825"/>
        </c:manualLayout>
      </c:layout>
      <c:barChart>
        <c:barDir val="col"/>
        <c:grouping val="stacked"/>
        <c:varyColors val="0"/>
        <c:ser>
          <c:idx val="0"/>
          <c:order val="0"/>
          <c:tx>
            <c:strRef>
              <c:f>synthèse!$A$76</c:f>
              <c:strCache>
                <c:ptCount val="1"/>
                <c:pt idx="0">
                  <c:v>Personnels de catégorie A</c:v>
                </c:pt>
              </c:strCache>
            </c:strRef>
          </c:tx>
          <c:spPr>
            <a:solidFill>
              <a:srgbClr val="FF00FF"/>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(synthèse!$B$74,synthèse!$E$74,synthèse!$K$74,synthèse!$N$74)</c:f>
              <c:strCache>
                <c:ptCount val="4"/>
                <c:pt idx="0">
                  <c:v>Recrutements</c:v>
                </c:pt>
                <c:pt idx="1">
                  <c:v>Sorties définitives</c:v>
                </c:pt>
                <c:pt idx="2">
                  <c:v>Retours de situation interruptive</c:v>
                </c:pt>
                <c:pt idx="3">
                  <c:v>Situations interruptives</c:v>
                </c:pt>
              </c:strCache>
            </c:strRef>
          </c:cat>
          <c:val>
            <c:numRef>
              <c:f>(synthèse!$D$76,synthèse!$G$76,synthèse!$M$76,synthèse!$P$76)</c:f>
              <c:numCache>
                <c:formatCode>0</c:formatCode>
                <c:ptCount val="4"/>
                <c:pt idx="0">
                  <c:v>156.34500000000003</c:v>
                </c:pt>
                <c:pt idx="1">
                  <c:v>236</c:v>
                </c:pt>
                <c:pt idx="2">
                  <c:v>65.2</c:v>
                </c:pt>
                <c:pt idx="3">
                  <c:v>84.6</c:v>
                </c:pt>
              </c:numCache>
            </c:numRef>
          </c:val>
          <c:extLst/>
        </c:ser>
        <c:ser>
          <c:idx val="1"/>
          <c:order val="1"/>
          <c:tx>
            <c:strRef>
              <c:f>synthèse!$A$78</c:f>
              <c:strCache>
                <c:ptCount val="1"/>
                <c:pt idx="0">
                  <c:v>Personnels de catégorie B</c:v>
                </c:pt>
              </c:strCache>
            </c:strRef>
          </c:tx>
          <c:spPr>
            <a:solidFill>
              <a:srgbClr val="FF99FF"/>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(synthèse!$B$74,synthèse!$E$74,synthèse!$K$74,synthèse!$N$74)</c:f>
              <c:strCache>
                <c:ptCount val="4"/>
                <c:pt idx="0">
                  <c:v>Recrutements</c:v>
                </c:pt>
                <c:pt idx="1">
                  <c:v>Sorties définitives</c:v>
                </c:pt>
                <c:pt idx="2">
                  <c:v>Retours de situation interruptive</c:v>
                </c:pt>
                <c:pt idx="3">
                  <c:v>Situations interruptives</c:v>
                </c:pt>
              </c:strCache>
            </c:strRef>
          </c:cat>
          <c:val>
            <c:numRef>
              <c:f>(synthèse!$D$78,synthèse!$G$78,synthèse!$M$78,synthèse!$P$78)</c:f>
              <c:numCache>
                <c:formatCode>0</c:formatCode>
                <c:ptCount val="4"/>
                <c:pt idx="0">
                  <c:v>72</c:v>
                </c:pt>
                <c:pt idx="1">
                  <c:v>78</c:v>
                </c:pt>
                <c:pt idx="2">
                  <c:v>34.700000000000003</c:v>
                </c:pt>
                <c:pt idx="3">
                  <c:v>40.700000000000003</c:v>
                </c:pt>
              </c:numCache>
            </c:numRef>
          </c:val>
          <c:extLst/>
        </c:ser>
        <c:ser>
          <c:idx val="2"/>
          <c:order val="2"/>
          <c:tx>
            <c:strRef>
              <c:f>synthèse!$A$80</c:f>
              <c:strCache>
                <c:ptCount val="1"/>
                <c:pt idx="0">
                  <c:v>Personnels de catégorie C</c:v>
                </c:pt>
              </c:strCache>
            </c:strRef>
          </c:tx>
          <c:spPr>
            <a:solidFill>
              <a:schemeClr val="bg1">
                <a:lumMod val="50000"/>
              </a:schemeClr>
            </a:solidFill>
            <a:ln w="12700">
              <a:noFill/>
              <a:prstDash val="solid"/>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(synthèse!$B$74,synthèse!$E$74,synthèse!$K$74,synthèse!$N$74)</c:f>
              <c:strCache>
                <c:ptCount val="4"/>
                <c:pt idx="0">
                  <c:v>Recrutements</c:v>
                </c:pt>
                <c:pt idx="1">
                  <c:v>Sorties définitives</c:v>
                </c:pt>
                <c:pt idx="2">
                  <c:v>Retours de situation interruptive</c:v>
                </c:pt>
                <c:pt idx="3">
                  <c:v>Situations interruptives</c:v>
                </c:pt>
              </c:strCache>
            </c:strRef>
          </c:cat>
          <c:val>
            <c:numRef>
              <c:f>(synthèse!$D$80,synthèse!$G$80,synthèse!$M$80,synthèse!$P$80)</c:f>
              <c:numCache>
                <c:formatCode>0</c:formatCode>
                <c:ptCount val="4"/>
                <c:pt idx="0">
                  <c:v>128</c:v>
                </c:pt>
                <c:pt idx="1">
                  <c:v>143</c:v>
                </c:pt>
                <c:pt idx="2">
                  <c:v>89.2</c:v>
                </c:pt>
                <c:pt idx="3">
                  <c:v>78.900000000000006</c:v>
                </c:pt>
              </c:numCache>
            </c:numRef>
          </c:val>
          <c:extLst/>
        </c:ser>
        <c:ser>
          <c:idx val="3"/>
          <c:order val="3"/>
          <c:tx>
            <c:strRef>
              <c:f>synthèse!$A$82</c:f>
              <c:strCache>
                <c:ptCount val="1"/>
                <c:pt idx="0">
                  <c:v>Agents contractuels</c:v>
                </c:pt>
              </c:strCache>
            </c:strRef>
          </c:tx>
          <c:spPr>
            <a:solidFill>
              <a:schemeClr val="bg1">
                <a:lumMod val="85000"/>
              </a:schemeClr>
            </a:solidFill>
            <a:ln w="12700">
              <a:noFill/>
              <a:prstDash val="solid"/>
            </a:ln>
            <a:scene3d>
              <a:camera prst="orthographicFront"/>
              <a:lightRig rig="threePt" dir="t"/>
            </a:scene3d>
            <a:sp3d>
              <a:bevelT/>
            </a:sp3d>
          </c:spPr>
          <c:invertIfNegative val="0"/>
          <c:dLbls>
            <c:dLbl>
              <c:idx val="2"/>
              <c:layout>
                <c:manualLayout>
                  <c:x val="-7.0795638751944008E-17"/>
                  <c:y val="-2.814259119695325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1.969981383786721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12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(synthèse!$B$74,synthèse!$E$74,synthèse!$K$74,synthèse!$N$74)</c:f>
              <c:strCache>
                <c:ptCount val="4"/>
                <c:pt idx="0">
                  <c:v>Recrutements</c:v>
                </c:pt>
                <c:pt idx="1">
                  <c:v>Sorties définitives</c:v>
                </c:pt>
                <c:pt idx="2">
                  <c:v>Retours de situation interruptive</c:v>
                </c:pt>
                <c:pt idx="3">
                  <c:v>Situations interruptives</c:v>
                </c:pt>
              </c:strCache>
            </c:strRef>
          </c:cat>
          <c:val>
            <c:numRef>
              <c:f>(synthèse!$D$82,synthèse!$G$82,synthèse!$M$82,synthèse!$P$82)</c:f>
              <c:numCache>
                <c:formatCode>0</c:formatCode>
                <c:ptCount val="4"/>
                <c:pt idx="0">
                  <c:v>169.65499999999997</c:v>
                </c:pt>
                <c:pt idx="1">
                  <c:v>107</c:v>
                </c:pt>
                <c:pt idx="2">
                  <c:v>4</c:v>
                </c:pt>
                <c:pt idx="3">
                  <c:v>6</c:v>
                </c:pt>
              </c:numCache>
            </c:numRef>
          </c:val>
          <c:extLst/>
        </c:ser>
        <c:dLbls>
          <c:showLegendKey val="0"/>
          <c:showVal val="1"/>
          <c:showCatName val="0"/>
          <c:showSerName val="0"/>
          <c:showPercent val="0"/>
          <c:showBubbleSize val="0"/>
        </c:dLbls>
        <c:gapWidth val="150"/>
        <c:overlap val="100"/>
        <c:axId val="227021920"/>
        <c:axId val="227022480"/>
      </c:barChart>
      <c:catAx>
        <c:axId val="22702192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fr-FR"/>
          </a:p>
        </c:txPr>
        <c:crossAx val="227022480"/>
        <c:crosses val="autoZero"/>
        <c:auto val="1"/>
        <c:lblAlgn val="ctr"/>
        <c:lblOffset val="100"/>
        <c:tickLblSkip val="1"/>
        <c:tickMarkSkip val="1"/>
        <c:noMultiLvlLbl val="0"/>
      </c:catAx>
      <c:valAx>
        <c:axId val="227022480"/>
        <c:scaling>
          <c:orientation val="minMax"/>
        </c:scaling>
        <c:delete val="0"/>
        <c:axPos val="l"/>
        <c:majorGridlines>
          <c:spPr>
            <a:ln w="3175">
              <a:solidFill>
                <a:schemeClr val="bg1">
                  <a:lumMod val="65000"/>
                </a:schemeClr>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125" b="0" i="0" u="none" strike="noStrike" baseline="0">
                <a:solidFill>
                  <a:srgbClr val="000000"/>
                </a:solidFill>
                <a:latin typeface="Arial"/>
                <a:ea typeface="Arial"/>
                <a:cs typeface="Arial"/>
              </a:defRPr>
            </a:pPr>
            <a:endParaRPr lang="fr-FR"/>
          </a:p>
        </c:txPr>
        <c:crossAx val="227021920"/>
        <c:crosses val="autoZero"/>
        <c:crossBetween val="between"/>
      </c:valAx>
      <c:spPr>
        <a:solidFill>
          <a:schemeClr val="bg1"/>
        </a:solidFill>
        <a:ln w="12700">
          <a:noFill/>
          <a:prstDash val="solid"/>
        </a:ln>
      </c:spPr>
    </c:plotArea>
    <c:legend>
      <c:legendPos val="b"/>
      <c:layout>
        <c:manualLayout>
          <c:xMode val="edge"/>
          <c:yMode val="edge"/>
          <c:x val="5.7361062932034572E-2"/>
          <c:y val="0.9064024938130083"/>
          <c:w val="0.88639076493087376"/>
          <c:h val="7.171536214784241E-2"/>
        </c:manualLayout>
      </c:layout>
      <c:overlay val="0"/>
      <c:spPr>
        <a:solidFill>
          <a:srgbClr val="FFFFFF"/>
        </a:solidFill>
        <a:ln w="3175">
          <a:noFill/>
          <a:prstDash val="solid"/>
        </a:ln>
      </c:spPr>
      <c:txPr>
        <a:bodyPr/>
        <a:lstStyle/>
        <a:p>
          <a:pPr>
            <a:defRPr sz="101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3175">
      <a:noFill/>
      <a:prstDash val="solid"/>
    </a:ln>
  </c:spPr>
  <c:txPr>
    <a:bodyPr/>
    <a:lstStyle/>
    <a:p>
      <a:pPr>
        <a:defRPr sz="1125" b="0" i="0" u="none" strike="noStrike" baseline="0">
          <a:solidFill>
            <a:srgbClr val="000000"/>
          </a:solidFill>
          <a:latin typeface="Arial"/>
          <a:ea typeface="Arial"/>
          <a:cs typeface="Arial"/>
        </a:defRPr>
      </a:pPr>
      <a:endParaRPr lang="fr-FR"/>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000" b="1">
                <a:latin typeface="Arial" panose="020B0604020202020204" pitchFamily="34" charset="0"/>
                <a:cs typeface="Arial" panose="020B0604020202020204" pitchFamily="34" charset="0"/>
              </a:rPr>
              <a:t>Nombre de départs en retraite hommes/femmes </a:t>
            </a:r>
          </a:p>
          <a:p>
            <a:pPr>
              <a:defRPr b="1"/>
            </a:pPr>
            <a:r>
              <a:rPr lang="en-US" sz="1000" b="1">
                <a:latin typeface="Arial" panose="020B0604020202020204" pitchFamily="34" charset="0"/>
                <a:cs typeface="Arial" panose="020B0604020202020204" pitchFamily="34" charset="0"/>
              </a:rPr>
              <a:t>ventilés par filières et catégories au 31/12/2013</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6.4303511356855039E-2"/>
          <c:y val="0.16685082872928178"/>
          <c:w val="0.9035033296894226"/>
          <c:h val="0.51612012586824441"/>
        </c:manualLayout>
      </c:layout>
      <c:barChart>
        <c:barDir val="col"/>
        <c:grouping val="stacked"/>
        <c:varyColors val="0"/>
        <c:ser>
          <c:idx val="0"/>
          <c:order val="0"/>
          <c:tx>
            <c:strRef>
              <c:f>'TCD départs pr filière et cat'!$G$2:$H$2</c:f>
              <c:strCache>
                <c:ptCount val="1"/>
                <c:pt idx="0">
                  <c:v>Hommes</c:v>
                </c:pt>
              </c:strCache>
            </c:strRef>
          </c:tx>
          <c:spPr>
            <a:solidFill>
              <a:schemeClr val="bg1">
                <a:lumMod val="65000"/>
              </a:schemeClr>
            </a:solidFill>
            <a:ln>
              <a:noFill/>
            </a:ln>
            <a:effectLst/>
            <a:scene3d>
              <a:camera prst="orthographicFront"/>
              <a:lightRig rig="threePt" dir="t"/>
            </a:scene3d>
            <a:sp3d>
              <a:bevelT/>
            </a:sp3d>
          </c:spPr>
          <c:invertIfNegative val="0"/>
          <c:cat>
            <c:strRef>
              <c:f>('TCD départs pr filière et cat'!$F$5:$F$8,'TCD départs pr filière et cat'!$F$10:$F$12,'TCD départs pr filière et cat'!$F$14:$F$17,'TCD départs pr filière et cat'!$F$19,'TCD départs pr filière et cat'!$F$21:$F$24)</c:f>
              <c:strCache>
                <c:ptCount val="16"/>
                <c:pt idx="0">
                  <c:v>A+</c:v>
                </c:pt>
                <c:pt idx="1">
                  <c:v>A</c:v>
                </c:pt>
                <c:pt idx="2">
                  <c:v>B</c:v>
                </c:pt>
                <c:pt idx="3">
                  <c:v>C</c:v>
                </c:pt>
                <c:pt idx="4">
                  <c:v>A+</c:v>
                </c:pt>
                <c:pt idx="5">
                  <c:v>A</c:v>
                </c:pt>
                <c:pt idx="6">
                  <c:v>B</c:v>
                </c:pt>
                <c:pt idx="7">
                  <c:v>A+</c:v>
                </c:pt>
                <c:pt idx="8">
                  <c:v>A</c:v>
                </c:pt>
                <c:pt idx="9">
                  <c:v>B</c:v>
                </c:pt>
                <c:pt idx="10">
                  <c:v>C</c:v>
                </c:pt>
                <c:pt idx="11">
                  <c:v>C</c:v>
                </c:pt>
                <c:pt idx="12">
                  <c:v>A+</c:v>
                </c:pt>
                <c:pt idx="13">
                  <c:v>A</c:v>
                </c:pt>
                <c:pt idx="14">
                  <c:v>B</c:v>
                </c:pt>
                <c:pt idx="15">
                  <c:v>C</c:v>
                </c:pt>
              </c:strCache>
            </c:strRef>
          </c:cat>
          <c:val>
            <c:numRef>
              <c:f>('TCD départs pr filière et cat'!$G$5:$G$8,'TCD départs pr filière et cat'!$G$10:$G$12,'TCD départs pr filière et cat'!$G$14:$G$17,'TCD départs pr filière et cat'!$G$19,'TCD départs pr filière et cat'!$G$21:$G$24)</c:f>
              <c:numCache>
                <c:formatCode>0</c:formatCode>
                <c:ptCount val="16"/>
                <c:pt idx="0">
                  <c:v>13</c:v>
                </c:pt>
                <c:pt idx="1">
                  <c:v>10</c:v>
                </c:pt>
                <c:pt idx="2">
                  <c:v>5</c:v>
                </c:pt>
                <c:pt idx="3">
                  <c:v>6</c:v>
                </c:pt>
                <c:pt idx="4">
                  <c:v>17</c:v>
                </c:pt>
                <c:pt idx="5">
                  <c:v>21</c:v>
                </c:pt>
                <c:pt idx="6">
                  <c:v>7</c:v>
                </c:pt>
                <c:pt idx="7">
                  <c:v>6</c:v>
                </c:pt>
                <c:pt idx="8">
                  <c:v>38</c:v>
                </c:pt>
                <c:pt idx="9">
                  <c:v>19</c:v>
                </c:pt>
                <c:pt idx="10">
                  <c:v>20</c:v>
                </c:pt>
                <c:pt idx="11">
                  <c:v>30</c:v>
                </c:pt>
                <c:pt idx="12">
                  <c:v>2</c:v>
                </c:pt>
                <c:pt idx="13">
                  <c:v>2</c:v>
                </c:pt>
                <c:pt idx="14">
                  <c:v>1</c:v>
                </c:pt>
              </c:numCache>
            </c:numRef>
          </c:val>
        </c:ser>
        <c:ser>
          <c:idx val="1"/>
          <c:order val="1"/>
          <c:tx>
            <c:strRef>
              <c:f>'TCD départs pr filière et cat'!$I$2:$J$2</c:f>
              <c:strCache>
                <c:ptCount val="1"/>
                <c:pt idx="0">
                  <c:v>Femmes</c:v>
                </c:pt>
              </c:strCache>
            </c:strRef>
          </c:tx>
          <c:spPr>
            <a:solidFill>
              <a:srgbClr val="FF33CC"/>
            </a:solidFill>
            <a:ln>
              <a:noFill/>
            </a:ln>
            <a:effectLst/>
            <a:scene3d>
              <a:camera prst="orthographicFront"/>
              <a:lightRig rig="threePt" dir="t"/>
            </a:scene3d>
            <a:sp3d>
              <a:bevelT/>
            </a:sp3d>
          </c:spPr>
          <c:invertIfNegative val="0"/>
          <c:cat>
            <c:strRef>
              <c:f>('TCD départs pr filière et cat'!$F$5:$F$8,'TCD départs pr filière et cat'!$F$10:$F$12,'TCD départs pr filière et cat'!$F$14:$F$17,'TCD départs pr filière et cat'!$F$19,'TCD départs pr filière et cat'!$F$21:$F$24)</c:f>
              <c:strCache>
                <c:ptCount val="16"/>
                <c:pt idx="0">
                  <c:v>A+</c:v>
                </c:pt>
                <c:pt idx="1">
                  <c:v>A</c:v>
                </c:pt>
                <c:pt idx="2">
                  <c:v>B</c:v>
                </c:pt>
                <c:pt idx="3">
                  <c:v>C</c:v>
                </c:pt>
                <c:pt idx="4">
                  <c:v>A+</c:v>
                </c:pt>
                <c:pt idx="5">
                  <c:v>A</c:v>
                </c:pt>
                <c:pt idx="6">
                  <c:v>B</c:v>
                </c:pt>
                <c:pt idx="7">
                  <c:v>A+</c:v>
                </c:pt>
                <c:pt idx="8">
                  <c:v>A</c:v>
                </c:pt>
                <c:pt idx="9">
                  <c:v>B</c:v>
                </c:pt>
                <c:pt idx="10">
                  <c:v>C</c:v>
                </c:pt>
                <c:pt idx="11">
                  <c:v>C</c:v>
                </c:pt>
                <c:pt idx="12">
                  <c:v>A+</c:v>
                </c:pt>
                <c:pt idx="13">
                  <c:v>A</c:v>
                </c:pt>
                <c:pt idx="14">
                  <c:v>B</c:v>
                </c:pt>
                <c:pt idx="15">
                  <c:v>C</c:v>
                </c:pt>
              </c:strCache>
            </c:strRef>
          </c:cat>
          <c:val>
            <c:numRef>
              <c:f>('TCD départs pr filière et cat'!$I$5:$I$8,'TCD départs pr filière et cat'!$I$10:$I$12,'TCD départs pr filière et cat'!$I$14:$I$17,'TCD départs pr filière et cat'!$I$19,'TCD départs pr filière et cat'!$I$21:$I$24)</c:f>
              <c:numCache>
                <c:formatCode>0</c:formatCode>
                <c:ptCount val="16"/>
                <c:pt idx="0">
                  <c:v>2</c:v>
                </c:pt>
                <c:pt idx="1">
                  <c:v>7</c:v>
                </c:pt>
                <c:pt idx="2">
                  <c:v>19</c:v>
                </c:pt>
                <c:pt idx="3">
                  <c:v>31</c:v>
                </c:pt>
                <c:pt idx="4">
                  <c:v>5</c:v>
                </c:pt>
                <c:pt idx="5">
                  <c:v>42</c:v>
                </c:pt>
                <c:pt idx="6">
                  <c:v>14</c:v>
                </c:pt>
                <c:pt idx="7">
                  <c:v>3</c:v>
                </c:pt>
                <c:pt idx="8">
                  <c:v>8</c:v>
                </c:pt>
                <c:pt idx="9">
                  <c:v>9</c:v>
                </c:pt>
                <c:pt idx="10">
                  <c:v>1</c:v>
                </c:pt>
                <c:pt idx="11">
                  <c:v>12</c:v>
                </c:pt>
                <c:pt idx="12">
                  <c:v>2</c:v>
                </c:pt>
                <c:pt idx="13">
                  <c:v>4</c:v>
                </c:pt>
                <c:pt idx="14">
                  <c:v>3</c:v>
                </c:pt>
                <c:pt idx="15">
                  <c:v>2</c:v>
                </c:pt>
              </c:numCache>
            </c:numRef>
          </c:val>
        </c:ser>
        <c:dLbls>
          <c:showLegendKey val="0"/>
          <c:showVal val="0"/>
          <c:showCatName val="0"/>
          <c:showSerName val="0"/>
          <c:showPercent val="0"/>
          <c:showBubbleSize val="0"/>
        </c:dLbls>
        <c:gapWidth val="150"/>
        <c:overlap val="100"/>
        <c:axId val="232007504"/>
        <c:axId val="232008064"/>
      </c:barChart>
      <c:catAx>
        <c:axId val="232007504"/>
        <c:scaling>
          <c:orientation val="minMax"/>
        </c:scaling>
        <c:delete val="0"/>
        <c:axPos val="b"/>
        <c:numFmt formatCode="General" sourceLinked="1"/>
        <c:majorTickMark val="none"/>
        <c:minorTickMark val="none"/>
        <c:tickLblPos val="nextTo"/>
        <c:spPr>
          <a:noFill/>
          <a:ln w="635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32008064"/>
        <c:crosses val="autoZero"/>
        <c:auto val="1"/>
        <c:lblAlgn val="ctr"/>
        <c:lblOffset val="100"/>
        <c:tickMarkSkip val="1"/>
        <c:noMultiLvlLbl val="0"/>
      </c:catAx>
      <c:valAx>
        <c:axId val="232008064"/>
        <c:scaling>
          <c:orientation val="minMax"/>
        </c:scaling>
        <c:delete val="0"/>
        <c:axPos val="l"/>
        <c:majorGridlines>
          <c:spPr>
            <a:ln w="6350"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320075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fr-FR" sz="1000"/>
              <a:t>Répartition des effectifs par catégorie au 31/12/2013</a:t>
            </a:r>
          </a:p>
        </c:rich>
      </c:tx>
      <c:layout>
        <c:manualLayout>
          <c:xMode val="edge"/>
          <c:yMode val="edge"/>
          <c:x val="0.2205743829585107"/>
          <c:y val="4.2254630143063104E-2"/>
        </c:manualLayout>
      </c:layout>
      <c:overlay val="0"/>
      <c:spPr>
        <a:noFill/>
        <a:ln w="25400">
          <a:noFill/>
        </a:ln>
      </c:spPr>
    </c:title>
    <c:autoTitleDeleted val="0"/>
    <c:plotArea>
      <c:layout>
        <c:manualLayout>
          <c:layoutTarget val="inner"/>
          <c:xMode val="edge"/>
          <c:yMode val="edge"/>
          <c:x val="0.32529878143933683"/>
          <c:y val="0.25352951770744364"/>
          <c:w val="0.28857149966392781"/>
          <c:h val="0.64556127194025004"/>
        </c:manualLayout>
      </c:layout>
      <c:pieChart>
        <c:varyColors val="1"/>
        <c:ser>
          <c:idx val="0"/>
          <c:order val="0"/>
          <c:tx>
            <c:strRef>
              <c:f>'[1.A.3 Par filière et catégorie en ETP.xls]Graph'!$O$5</c:f>
              <c:strCache>
                <c:ptCount val="1"/>
                <c:pt idx="0">
                  <c:v>A+</c:v>
                </c:pt>
              </c:strCache>
            </c:strRef>
          </c:tx>
          <c:spPr>
            <a:solidFill>
              <a:srgbClr val="9999FF"/>
            </a:solidFill>
            <a:ln w="12700">
              <a:solidFill>
                <a:srgbClr val="000000"/>
              </a:solidFill>
              <a:prstDash val="solid"/>
            </a:ln>
            <a:scene3d>
              <a:camera prst="orthographicFront"/>
              <a:lightRig rig="threePt" dir="t"/>
            </a:scene3d>
            <a:sp3d>
              <a:bevelT/>
            </a:sp3d>
          </c:spPr>
          <c:explosion val="9"/>
          <c:dPt>
            <c:idx val="0"/>
            <c:bubble3D val="0"/>
            <c:spPr>
              <a:solidFill>
                <a:srgbClr val="CC99FF"/>
              </a:solidFill>
              <a:ln w="25400">
                <a:noFill/>
              </a:ln>
              <a:scene3d>
                <a:camera prst="orthographicFront"/>
                <a:lightRig rig="threePt" dir="t"/>
              </a:scene3d>
              <a:sp3d>
                <a:bevelT/>
              </a:sp3d>
            </c:spPr>
          </c:dPt>
          <c:dPt>
            <c:idx val="1"/>
            <c:bubble3D val="0"/>
            <c:spPr>
              <a:solidFill>
                <a:srgbClr val="FF00FF"/>
              </a:solidFill>
              <a:ln w="25400">
                <a:noFill/>
              </a:ln>
              <a:scene3d>
                <a:camera prst="orthographicFront"/>
                <a:lightRig rig="threePt" dir="t"/>
              </a:scene3d>
              <a:sp3d>
                <a:bevelT/>
              </a:sp3d>
            </c:spPr>
          </c:dPt>
          <c:dPt>
            <c:idx val="2"/>
            <c:bubble3D val="0"/>
            <c:spPr>
              <a:solidFill>
                <a:srgbClr val="FF99CC"/>
              </a:solidFill>
              <a:ln w="25400">
                <a:noFill/>
              </a:ln>
              <a:scene3d>
                <a:camera prst="orthographicFront"/>
                <a:lightRig rig="threePt" dir="t"/>
              </a:scene3d>
              <a:sp3d>
                <a:bevelT/>
              </a:sp3d>
            </c:spPr>
          </c:dPt>
          <c:dPt>
            <c:idx val="3"/>
            <c:bubble3D val="0"/>
            <c:spPr>
              <a:solidFill>
                <a:srgbClr val="969696"/>
              </a:solidFill>
              <a:ln w="25400">
                <a:noFill/>
              </a:ln>
              <a:scene3d>
                <a:camera prst="orthographicFront"/>
                <a:lightRig rig="threePt" dir="t"/>
              </a:scene3d>
              <a:sp3d>
                <a:bevelT/>
              </a:sp3d>
            </c:spPr>
          </c:dPt>
          <c:dLbls>
            <c:dLbl>
              <c:idx val="0"/>
              <c:layout>
                <c:manualLayout>
                  <c:x val="-1.4877870544604198E-2"/>
                  <c:y val="-2.2981405493327441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4.0559402232493557E-3"/>
                  <c:y val="-3.1936712136335074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8.5645906790657745E-4"/>
                  <c:y val="-9.4388377509149381E-3"/>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1.2138955368397975E-2"/>
                  <c:y val="5.035636390521607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numFmt formatCode="0%" sourceLinked="0"/>
            <c:spPr>
              <a:noFill/>
              <a:ln w="25400">
                <a:noFill/>
              </a:ln>
            </c:spPr>
            <c:txPr>
              <a:bodyPr wrap="square" lIns="38100" tIns="19050" rIns="38100" bIns="19050" anchor="ctr">
                <a:spAutoFit/>
              </a:bodyPr>
              <a:lstStyle/>
              <a:p>
                <a:pPr algn="ctr" rtl="1">
                  <a:defRPr sz="1075" b="1" i="0" u="none" strike="noStrike" baseline="0">
                    <a:solidFill>
                      <a:srgbClr val="000000"/>
                    </a:solidFill>
                    <a:latin typeface="Arial"/>
                    <a:ea typeface="Arial"/>
                    <a:cs typeface="Arial"/>
                  </a:defRPr>
                </a:pPr>
                <a:endParaRPr lang="fr-FR"/>
              </a:p>
            </c:tx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[1]Graph!$O$5:$R$5</c:f>
              <c:strCache>
                <c:ptCount val="4"/>
                <c:pt idx="0">
                  <c:v>A+</c:v>
                </c:pt>
                <c:pt idx="1">
                  <c:v>A</c:v>
                </c:pt>
                <c:pt idx="2">
                  <c:v>B</c:v>
                </c:pt>
                <c:pt idx="3">
                  <c:v>C</c:v>
                </c:pt>
              </c:strCache>
            </c:strRef>
          </c:cat>
          <c:val>
            <c:numRef>
              <c:f>[1]Graph!$O$12:$R$12</c:f>
              <c:numCache>
                <c:formatCode>0</c:formatCode>
                <c:ptCount val="4"/>
                <c:pt idx="0">
                  <c:v>473.91050000000001</c:v>
                </c:pt>
                <c:pt idx="1">
                  <c:v>4275.8809999999994</c:v>
                </c:pt>
                <c:pt idx="2">
                  <c:v>2091.1689999999999</c:v>
                </c:pt>
                <c:pt idx="3">
                  <c:v>3919.0059999999994</c:v>
                </c:pt>
              </c:numCache>
            </c:numRef>
          </c:val>
        </c:ser>
        <c:ser>
          <c:idx val="1"/>
          <c:order val="1"/>
          <c:tx>
            <c:strRef>
              <c:f>'[1.A.3 Par filière et catégorie en ETP.xls]Graph'!$P$5</c:f>
              <c:strCache>
                <c:ptCount val="1"/>
                <c:pt idx="0">
                  <c:v>A</c:v>
                </c:pt>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Lbls>
            <c:numFmt formatCode="0%" sourceLinked="0"/>
            <c:spPr>
              <a:noFill/>
              <a:ln w="25400">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extLst>
          </c:dLbls>
          <c:cat>
            <c:strRef>
              <c:f>[1]Graph!$O$5:$R$5</c:f>
              <c:strCache>
                <c:ptCount val="4"/>
                <c:pt idx="0">
                  <c:v>A+</c:v>
                </c:pt>
                <c:pt idx="1">
                  <c:v>A</c:v>
                </c:pt>
                <c:pt idx="2">
                  <c:v>B</c:v>
                </c:pt>
                <c:pt idx="3">
                  <c:v>C</c:v>
                </c:pt>
              </c:strCache>
            </c:strRef>
          </c:cat>
          <c:val>
            <c:numRef>
              <c:f>[1]Graph!$P$12</c:f>
              <c:numCache>
                <c:formatCode>0</c:formatCode>
                <c:ptCount val="1"/>
                <c:pt idx="0">
                  <c:v>4275.8809999999994</c:v>
                </c:pt>
              </c:numCache>
            </c:numRef>
          </c:val>
        </c:ser>
        <c:ser>
          <c:idx val="2"/>
          <c:order val="2"/>
          <c:tx>
            <c:strRef>
              <c:f>'[1.A.3 Par filière et catégorie en ETP.xls]Graph'!$Q$5</c:f>
              <c:strCache>
                <c:ptCount val="1"/>
                <c:pt idx="0">
                  <c:v>B</c:v>
                </c:pt>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dPt>
          <c:dPt>
            <c:idx val="3"/>
            <c:bubble3D val="0"/>
            <c:spPr>
              <a:solidFill>
                <a:srgbClr val="CCFFFF"/>
              </a:solidFill>
              <a:ln w="12700">
                <a:solidFill>
                  <a:srgbClr val="000000"/>
                </a:solidFill>
                <a:prstDash val="solid"/>
              </a:ln>
            </c:spPr>
          </c:dPt>
          <c:dLbls>
            <c:numFmt formatCode="0%" sourceLinked="0"/>
            <c:spPr>
              <a:noFill/>
              <a:ln w="25400">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extLst>
          </c:dLbls>
          <c:cat>
            <c:strRef>
              <c:f>[1]Graph!$O$5:$R$5</c:f>
              <c:strCache>
                <c:ptCount val="4"/>
                <c:pt idx="0">
                  <c:v>A+</c:v>
                </c:pt>
                <c:pt idx="1">
                  <c:v>A</c:v>
                </c:pt>
                <c:pt idx="2">
                  <c:v>B</c:v>
                </c:pt>
                <c:pt idx="3">
                  <c:v>C</c:v>
                </c:pt>
              </c:strCache>
            </c:strRef>
          </c:cat>
          <c:val>
            <c:numRef>
              <c:f>[1]Graph!$Q$12</c:f>
              <c:numCache>
                <c:formatCode>0</c:formatCode>
                <c:ptCount val="1"/>
                <c:pt idx="0">
                  <c:v>2091.1689999999999</c:v>
                </c:pt>
              </c:numCache>
            </c:numRef>
          </c:val>
        </c:ser>
        <c:ser>
          <c:idx val="3"/>
          <c:order val="3"/>
          <c:tx>
            <c:strRef>
              <c:f>'[1.A.3 Par filière et catégorie en ETP.xls]Graph'!$R$5</c:f>
              <c:strCache>
                <c:ptCount val="1"/>
                <c:pt idx="0">
                  <c:v>C</c:v>
                </c:pt>
              </c:strCache>
            </c:strRef>
          </c:tx>
          <c:spPr>
            <a:solidFill>
              <a:srgbClr val="CCFFFF"/>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dPt>
          <c:dLbls>
            <c:numFmt formatCode="0%" sourceLinked="0"/>
            <c:spPr>
              <a:noFill/>
              <a:ln w="25400">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extLst>
          </c:dLbls>
          <c:cat>
            <c:strRef>
              <c:f>[1]Graph!$O$5:$R$5</c:f>
              <c:strCache>
                <c:ptCount val="4"/>
                <c:pt idx="0">
                  <c:v>A+</c:v>
                </c:pt>
                <c:pt idx="1">
                  <c:v>A</c:v>
                </c:pt>
                <c:pt idx="2">
                  <c:v>B</c:v>
                </c:pt>
                <c:pt idx="3">
                  <c:v>C</c:v>
                </c:pt>
              </c:strCache>
            </c:strRef>
          </c:cat>
          <c:val>
            <c:numRef>
              <c:f>[1]Graph!$R$5</c:f>
              <c:numCache>
                <c:formatCode>General</c:formatCode>
                <c:ptCount val="1"/>
                <c:pt idx="0">
                  <c:v>0</c:v>
                </c:pt>
              </c:numCache>
            </c:numRef>
          </c:val>
        </c:ser>
        <c:dLbls>
          <c:showLegendKey val="0"/>
          <c:showVal val="0"/>
          <c:showCatName val="0"/>
          <c:showSerName val="0"/>
          <c:showPercent val="1"/>
          <c:showBubbleSize val="0"/>
          <c:showLeaderLines val="0"/>
        </c:dLbls>
        <c:firstSliceAng val="0"/>
      </c:pieChart>
      <c:spPr>
        <a:noFill/>
        <a:ln w="25400">
          <a:noFill/>
        </a:ln>
      </c:spPr>
    </c:plotArea>
    <c:legend>
      <c:legendPos val="r"/>
      <c:layout>
        <c:manualLayout>
          <c:xMode val="edge"/>
          <c:yMode val="edge"/>
          <c:x val="0.73874303913965522"/>
          <c:y val="0.36151431228654002"/>
          <c:w val="7.975066899803096E-2"/>
          <c:h val="0.33099687034027364"/>
        </c:manualLayout>
      </c:layout>
      <c:overlay val="0"/>
      <c:spPr>
        <a:solidFill>
          <a:srgbClr val="FFFFFF"/>
        </a:solidFill>
        <a:ln w="25400">
          <a:noFill/>
        </a:ln>
      </c:spPr>
      <c:txPr>
        <a:bodyPr/>
        <a:lstStyle/>
        <a:p>
          <a:pPr>
            <a:defRPr sz="920"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6350">
      <a:noFill/>
    </a:ln>
  </c:spPr>
  <c:txPr>
    <a:bodyPr/>
    <a:lstStyle/>
    <a:p>
      <a:pPr>
        <a:defRPr sz="800" b="0" i="0" u="none" strike="noStrike" baseline="0">
          <a:solidFill>
            <a:srgbClr val="000000"/>
          </a:solidFill>
          <a:latin typeface="Arial"/>
          <a:ea typeface="Arial"/>
          <a:cs typeface="Arial"/>
        </a:defRPr>
      </a:pPr>
      <a:endParaRPr lang="fr-FR"/>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fr-FR" sz="1200" baseline="0"/>
              <a:t>Répartition hommes/femmes au 31/12/2013</a:t>
            </a:r>
          </a:p>
        </c:rich>
      </c:tx>
      <c:layout>
        <c:manualLayout>
          <c:xMode val="edge"/>
          <c:yMode val="edge"/>
          <c:x val="0.21420676027663843"/>
          <c:y val="2.8635401852301505E-2"/>
        </c:manualLayout>
      </c:layout>
      <c:overlay val="0"/>
      <c:spPr>
        <a:noFill/>
        <a:ln w="25400">
          <a:noFill/>
        </a:ln>
      </c:spPr>
    </c:title>
    <c:autoTitleDeleted val="0"/>
    <c:plotArea>
      <c:layout>
        <c:manualLayout>
          <c:layoutTarget val="inner"/>
          <c:xMode val="edge"/>
          <c:yMode val="edge"/>
          <c:x val="0.34898841425686306"/>
          <c:y val="0.20925907939921606"/>
          <c:w val="0.34537764006935961"/>
          <c:h val="0.63217801519303485"/>
        </c:manualLayout>
      </c:layout>
      <c:doughnutChart>
        <c:varyColors val="1"/>
        <c:ser>
          <c:idx val="0"/>
          <c:order val="0"/>
          <c:spPr>
            <a:solidFill>
              <a:srgbClr val="9999FF"/>
            </a:solidFill>
            <a:ln w="12700">
              <a:solidFill>
                <a:srgbClr val="000000"/>
              </a:solidFill>
              <a:prstDash val="solid"/>
            </a:ln>
            <a:scene3d>
              <a:camera prst="orthographicFront"/>
              <a:lightRig rig="threePt" dir="t"/>
            </a:scene3d>
            <a:sp3d>
              <a:bevelT/>
            </a:sp3d>
          </c:spPr>
          <c:explosion val="19"/>
          <c:dPt>
            <c:idx val="0"/>
            <c:bubble3D val="0"/>
            <c:spPr>
              <a:solidFill>
                <a:srgbClr val="C0C0C0"/>
              </a:solidFill>
              <a:ln w="25400">
                <a:noFill/>
              </a:ln>
              <a:scene3d>
                <a:camera prst="orthographicFront"/>
                <a:lightRig rig="threePt" dir="t"/>
              </a:scene3d>
              <a:sp3d>
                <a:bevelT/>
              </a:sp3d>
            </c:spPr>
          </c:dPt>
          <c:dPt>
            <c:idx val="1"/>
            <c:bubble3D val="0"/>
            <c:spPr>
              <a:solidFill>
                <a:srgbClr val="00FF00"/>
              </a:solidFill>
              <a:ln w="25400">
                <a:noFill/>
              </a:ln>
              <a:scene3d>
                <a:camera prst="orthographicFront"/>
                <a:lightRig rig="threePt" dir="t"/>
              </a:scene3d>
              <a:sp3d>
                <a:bevelT/>
              </a:sp3d>
            </c:spPr>
          </c:dPt>
          <c:dLbls>
            <c:dLbl>
              <c:idx val="0"/>
              <c:layout>
                <c:manualLayout>
                  <c:x val="-8.4235860409145602E-2"/>
                  <c:y val="2.2026431718061675E-2"/>
                </c:manualLayout>
              </c:layout>
              <c:spPr>
                <a:noFill/>
                <a:ln w="25400">
                  <a:noFill/>
                </a:ln>
              </c:spPr>
              <c:txPr>
                <a:bodyPr/>
                <a:lstStyle/>
                <a:p>
                  <a:pPr algn="ctr" rtl="1">
                    <a:defRPr sz="11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8.6642599277978433E-2"/>
                  <c:y val="-4.8458149779735685E-2"/>
                </c:manualLayout>
              </c:layout>
              <c:spPr>
                <a:noFill/>
                <a:ln w="25400">
                  <a:noFill/>
                </a:ln>
              </c:spPr>
              <c:txPr>
                <a:bodyPr/>
                <a:lstStyle/>
                <a:p>
                  <a:pPr algn="ctr" rtl="1">
                    <a:defRPr sz="11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lgn="ctr" rtl="1">
                  <a:defRPr sz="11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extLst>
          </c:dLbls>
          <c:cat>
            <c:strRef>
              <c:f>(Graph!$AC$16,Graph!$AE$16)</c:f>
              <c:strCache>
                <c:ptCount val="2"/>
                <c:pt idx="0">
                  <c:v>Hommes</c:v>
                </c:pt>
                <c:pt idx="1">
                  <c:v>Femmes</c:v>
                </c:pt>
              </c:strCache>
            </c:strRef>
          </c:cat>
          <c:val>
            <c:numRef>
              <c:f>(Graph!$AC$21,Graph!$AE$21)</c:f>
              <c:numCache>
                <c:formatCode>0%</c:formatCode>
                <c:ptCount val="2"/>
                <c:pt idx="0">
                  <c:v>0.46877636654352034</c:v>
                </c:pt>
                <c:pt idx="1">
                  <c:v>0.5312236334564796</c:v>
                </c:pt>
              </c:numCache>
            </c:numRef>
          </c:val>
        </c:ser>
        <c:dLbls>
          <c:showLegendKey val="0"/>
          <c:showVal val="0"/>
          <c:showCatName val="0"/>
          <c:showSerName val="0"/>
          <c:showPercent val="0"/>
          <c:showBubbleSize val="0"/>
          <c:showLeaderLines val="0"/>
        </c:dLbls>
        <c:firstSliceAng val="170"/>
        <c:holeSize val="50"/>
      </c:doughnutChart>
      <c:spPr>
        <a:noFill/>
        <a:ln w="25400">
          <a:noFill/>
        </a:ln>
      </c:spPr>
    </c:plotArea>
    <c:legend>
      <c:legendPos val="b"/>
      <c:layout>
        <c:manualLayout>
          <c:xMode val="edge"/>
          <c:yMode val="edge"/>
          <c:x val="0.39712084468528891"/>
          <c:y val="0.87007319019043328"/>
          <c:w val="0.30417771922996312"/>
          <c:h val="7.5648132089215725E-2"/>
        </c:manualLayout>
      </c:layout>
      <c:overlay val="0"/>
      <c:spPr>
        <a:solidFill>
          <a:srgbClr val="FFFFFF"/>
        </a:solidFill>
        <a:ln w="25400">
          <a:noFill/>
        </a:ln>
      </c:spPr>
      <c:txPr>
        <a:bodyPr/>
        <a:lstStyle/>
        <a:p>
          <a:pPr>
            <a:defRPr sz="1010"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6350">
      <a:noFill/>
    </a:ln>
  </c:spPr>
  <c:txPr>
    <a:bodyPr/>
    <a:lstStyle/>
    <a:p>
      <a:pPr>
        <a:defRPr sz="900" b="0" i="0" u="none" strike="noStrike" baseline="0">
          <a:solidFill>
            <a:srgbClr val="000000"/>
          </a:solidFill>
          <a:latin typeface="Arial"/>
          <a:ea typeface="Arial"/>
          <a:cs typeface="Arial"/>
        </a:defRPr>
      </a:pPr>
      <a:endParaRPr lang="fr-FR"/>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75" b="1" i="0" u="none" strike="noStrike" baseline="0">
                <a:solidFill>
                  <a:srgbClr val="000000"/>
                </a:solidFill>
                <a:latin typeface="Arial"/>
                <a:ea typeface="Arial"/>
                <a:cs typeface="Arial"/>
              </a:defRPr>
            </a:pPr>
            <a:r>
              <a:rPr lang="fr-FR"/>
              <a:t>Répartition hommes/femmes par filière et catégorie au 31/12/2013</a:t>
            </a:r>
          </a:p>
        </c:rich>
      </c:tx>
      <c:layout>
        <c:manualLayout>
          <c:xMode val="edge"/>
          <c:yMode val="edge"/>
          <c:x val="0.12437151751379913"/>
          <c:y val="3.5898116408995553E-2"/>
        </c:manualLayout>
      </c:layout>
      <c:overlay val="0"/>
      <c:spPr>
        <a:noFill/>
        <a:ln w="25400">
          <a:noFill/>
        </a:ln>
      </c:spPr>
    </c:title>
    <c:autoTitleDeleted val="0"/>
    <c:plotArea>
      <c:layout>
        <c:manualLayout>
          <c:layoutTarget val="inner"/>
          <c:xMode val="edge"/>
          <c:yMode val="edge"/>
          <c:x val="1.9496951518826088E-2"/>
          <c:y val="0.16055549333631985"/>
          <c:w val="0.9618496082620871"/>
          <c:h val="0.4786082801358868"/>
        </c:manualLayout>
      </c:layout>
      <c:barChart>
        <c:barDir val="col"/>
        <c:grouping val="percentStacked"/>
        <c:varyColors val="0"/>
        <c:ser>
          <c:idx val="0"/>
          <c:order val="0"/>
          <c:tx>
            <c:strRef>
              <c:f>Graph!$AC$24</c:f>
              <c:strCache>
                <c:ptCount val="1"/>
                <c:pt idx="0">
                  <c:v>Hommes</c:v>
                </c:pt>
              </c:strCache>
            </c:strRef>
          </c:tx>
          <c:spPr>
            <a:solidFill>
              <a:srgbClr val="C0C0C0"/>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(Graph!$B$2:$E$2,Graph!$G$2:$I$2,Graph!$K$2:$N$2,Graph!$P$2,Graph!$R$2:$U$2)</c:f>
              <c:strCache>
                <c:ptCount val="16"/>
                <c:pt idx="0">
                  <c:v>A+</c:v>
                </c:pt>
                <c:pt idx="1">
                  <c:v>A</c:v>
                </c:pt>
                <c:pt idx="2">
                  <c:v>B</c:v>
                </c:pt>
                <c:pt idx="3">
                  <c:v>C</c:v>
                </c:pt>
                <c:pt idx="4">
                  <c:v>A+</c:v>
                </c:pt>
                <c:pt idx="5">
                  <c:v>A</c:v>
                </c:pt>
                <c:pt idx="6">
                  <c:v>B</c:v>
                </c:pt>
                <c:pt idx="7">
                  <c:v>A+</c:v>
                </c:pt>
                <c:pt idx="8">
                  <c:v>A</c:v>
                </c:pt>
                <c:pt idx="9">
                  <c:v>B</c:v>
                </c:pt>
                <c:pt idx="10">
                  <c:v>C</c:v>
                </c:pt>
                <c:pt idx="11">
                  <c:v>C</c:v>
                </c:pt>
                <c:pt idx="12">
                  <c:v>A+</c:v>
                </c:pt>
                <c:pt idx="13">
                  <c:v>A</c:v>
                </c:pt>
                <c:pt idx="14">
                  <c:v>B</c:v>
                </c:pt>
                <c:pt idx="15">
                  <c:v>C</c:v>
                </c:pt>
              </c:strCache>
            </c:strRef>
          </c:cat>
          <c:val>
            <c:numRef>
              <c:f>(Graph!$B$6:$E$6,Graph!$G$6:$I$6,Graph!$K$6:$M$6,Graph!$N$6,Graph!$P$6,Graph!$R$6:$U$6)</c:f>
              <c:numCache>
                <c:formatCode>0%</c:formatCode>
                <c:ptCount val="16"/>
                <c:pt idx="0">
                  <c:v>0.6179775280898876</c:v>
                </c:pt>
                <c:pt idx="1">
                  <c:v>0.40716938017709225</c:v>
                </c:pt>
                <c:pt idx="2">
                  <c:v>0.21789702233250621</c:v>
                </c:pt>
                <c:pt idx="3">
                  <c:v>0.16632846763107942</c:v>
                </c:pt>
                <c:pt idx="4">
                  <c:v>0.58710667689946272</c:v>
                </c:pt>
                <c:pt idx="5">
                  <c:v>0.39476432954693824</c:v>
                </c:pt>
                <c:pt idx="6">
                  <c:v>0.36781954887218044</c:v>
                </c:pt>
                <c:pt idx="7">
                  <c:v>0.70588235294117652</c:v>
                </c:pt>
                <c:pt idx="8">
                  <c:v>0.70011616477526595</c:v>
                </c:pt>
                <c:pt idx="9">
                  <c:v>0.57605571523325227</c:v>
                </c:pt>
                <c:pt idx="10">
                  <c:v>0.83296432964329647</c:v>
                </c:pt>
                <c:pt idx="11">
                  <c:v>0.60895883777239712</c:v>
                </c:pt>
                <c:pt idx="12">
                  <c:v>0.65330166481195429</c:v>
                </c:pt>
                <c:pt idx="13">
                  <c:v>0.49338167631039131</c:v>
                </c:pt>
                <c:pt idx="14">
                  <c:v>0.30740338989530219</c:v>
                </c:pt>
                <c:pt idx="15">
                  <c:v>0.45295514480388538</c:v>
                </c:pt>
              </c:numCache>
            </c:numRef>
          </c:val>
        </c:ser>
        <c:ser>
          <c:idx val="1"/>
          <c:order val="1"/>
          <c:tx>
            <c:strRef>
              <c:f>Graph!$A$4</c:f>
              <c:strCache>
                <c:ptCount val="1"/>
                <c:pt idx="0">
                  <c:v>Femmes</c:v>
                </c:pt>
              </c:strCache>
            </c:strRef>
          </c:tx>
          <c:spPr>
            <a:solidFill>
              <a:srgbClr val="00FF00"/>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(Graph!$B$2:$E$2,Graph!$G$2:$I$2,Graph!$K$2:$N$2,Graph!$P$2,Graph!$R$2:$U$2)</c:f>
              <c:strCache>
                <c:ptCount val="16"/>
                <c:pt idx="0">
                  <c:v>A+</c:v>
                </c:pt>
                <c:pt idx="1">
                  <c:v>A</c:v>
                </c:pt>
                <c:pt idx="2">
                  <c:v>B</c:v>
                </c:pt>
                <c:pt idx="3">
                  <c:v>C</c:v>
                </c:pt>
                <c:pt idx="4">
                  <c:v>A+</c:v>
                </c:pt>
                <c:pt idx="5">
                  <c:v>A</c:v>
                </c:pt>
                <c:pt idx="6">
                  <c:v>B</c:v>
                </c:pt>
                <c:pt idx="7">
                  <c:v>A+</c:v>
                </c:pt>
                <c:pt idx="8">
                  <c:v>A</c:v>
                </c:pt>
                <c:pt idx="9">
                  <c:v>B</c:v>
                </c:pt>
                <c:pt idx="10">
                  <c:v>C</c:v>
                </c:pt>
                <c:pt idx="11">
                  <c:v>C</c:v>
                </c:pt>
                <c:pt idx="12">
                  <c:v>A+</c:v>
                </c:pt>
                <c:pt idx="13">
                  <c:v>A</c:v>
                </c:pt>
                <c:pt idx="14">
                  <c:v>B</c:v>
                </c:pt>
                <c:pt idx="15">
                  <c:v>C</c:v>
                </c:pt>
              </c:strCache>
            </c:strRef>
          </c:cat>
          <c:val>
            <c:numRef>
              <c:f>(Graph!$B$7:$E$7,Graph!$G$7:$I$7,Graph!$K$7:$N$7,Graph!$P$7,Graph!$R$7:$U$7)</c:f>
              <c:numCache>
                <c:formatCode>0%</c:formatCode>
                <c:ptCount val="16"/>
                <c:pt idx="0">
                  <c:v>0.38202247191011235</c:v>
                </c:pt>
                <c:pt idx="1">
                  <c:v>0.59283061982290775</c:v>
                </c:pt>
                <c:pt idx="2">
                  <c:v>0.78210297766749381</c:v>
                </c:pt>
                <c:pt idx="3">
                  <c:v>0.83367153236892066</c:v>
                </c:pt>
                <c:pt idx="4">
                  <c:v>0.41289332310053717</c:v>
                </c:pt>
                <c:pt idx="5">
                  <c:v>0.6052356704530617</c:v>
                </c:pt>
                <c:pt idx="6">
                  <c:v>0.63218045112781951</c:v>
                </c:pt>
                <c:pt idx="7">
                  <c:v>0.29411764705882354</c:v>
                </c:pt>
                <c:pt idx="8">
                  <c:v>0.29988383522473422</c:v>
                </c:pt>
                <c:pt idx="9">
                  <c:v>0.42394428476674773</c:v>
                </c:pt>
                <c:pt idx="10">
                  <c:v>0.16703567035670358</c:v>
                </c:pt>
                <c:pt idx="11">
                  <c:v>0.39104116222760293</c:v>
                </c:pt>
                <c:pt idx="12">
                  <c:v>0.34669833518804566</c:v>
                </c:pt>
                <c:pt idx="13">
                  <c:v>0.50661832368960869</c:v>
                </c:pt>
                <c:pt idx="14">
                  <c:v>0.69259661010469775</c:v>
                </c:pt>
                <c:pt idx="15">
                  <c:v>0.54704485519611468</c:v>
                </c:pt>
              </c:numCache>
            </c:numRef>
          </c:val>
        </c:ser>
        <c:dLbls>
          <c:showLegendKey val="0"/>
          <c:showVal val="0"/>
          <c:showCatName val="0"/>
          <c:showSerName val="0"/>
          <c:showPercent val="0"/>
          <c:showBubbleSize val="0"/>
        </c:dLbls>
        <c:gapWidth val="40"/>
        <c:overlap val="100"/>
        <c:axId val="232013104"/>
        <c:axId val="232013664"/>
      </c:barChart>
      <c:catAx>
        <c:axId val="232013104"/>
        <c:scaling>
          <c:orientation val="minMax"/>
        </c:scaling>
        <c:delete val="0"/>
        <c:axPos val="b"/>
        <c:numFmt formatCode="General" sourceLinked="1"/>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232013664"/>
        <c:crosses val="autoZero"/>
        <c:auto val="1"/>
        <c:lblAlgn val="ctr"/>
        <c:lblOffset val="100"/>
        <c:tickLblSkip val="1"/>
        <c:tickMarkSkip val="1"/>
        <c:noMultiLvlLbl val="0"/>
      </c:catAx>
      <c:valAx>
        <c:axId val="232013664"/>
        <c:scaling>
          <c:orientation val="minMax"/>
        </c:scaling>
        <c:delete val="1"/>
        <c:axPos val="l"/>
        <c:numFmt formatCode="0%" sourceLinked="1"/>
        <c:majorTickMark val="out"/>
        <c:minorTickMark val="none"/>
        <c:tickLblPos val="nextTo"/>
        <c:crossAx val="232013104"/>
        <c:crosses val="autoZero"/>
        <c:crossBetween val="between"/>
      </c:valAx>
      <c:spPr>
        <a:noFill/>
        <a:ln w="25400">
          <a:noFill/>
        </a:ln>
      </c:spPr>
    </c:plotArea>
    <c:legend>
      <c:legendPos val="b"/>
      <c:layout>
        <c:manualLayout>
          <c:xMode val="edge"/>
          <c:yMode val="edge"/>
          <c:x val="0.30451743916297397"/>
          <c:y val="0.89752544950572766"/>
          <c:w val="0.3801905632846278"/>
          <c:h val="5.046017612284448E-2"/>
        </c:manualLayout>
      </c:layout>
      <c:overlay val="0"/>
      <c:spPr>
        <a:solidFill>
          <a:srgbClr val="FFFFFF"/>
        </a:solidFill>
        <a:ln w="25400">
          <a:noFill/>
        </a:ln>
      </c:spPr>
      <c:txPr>
        <a:bodyPr/>
        <a:lstStyle/>
        <a:p>
          <a:pPr>
            <a:defRPr sz="101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a:ea typeface="Arial"/>
          <a:cs typeface="Arial"/>
        </a:defRPr>
      </a:pPr>
      <a:endParaRPr lang="fr-FR"/>
    </a:p>
  </c:tx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fr-FR"/>
              <a:t>Pyramide des âges au 31/12/2013
</a:t>
            </a:r>
          </a:p>
        </c:rich>
      </c:tx>
      <c:layout>
        <c:manualLayout>
          <c:xMode val="edge"/>
          <c:yMode val="edge"/>
          <c:x val="0.3067703822592307"/>
          <c:y val="3.5157480314960632E-2"/>
        </c:manualLayout>
      </c:layout>
      <c:overlay val="0"/>
      <c:spPr>
        <a:noFill/>
        <a:ln w="25400">
          <a:noFill/>
        </a:ln>
      </c:spPr>
    </c:title>
    <c:autoTitleDeleted val="0"/>
    <c:plotArea>
      <c:layout>
        <c:manualLayout>
          <c:layoutTarget val="inner"/>
          <c:xMode val="edge"/>
          <c:yMode val="edge"/>
          <c:x val="0.11806625705929699"/>
          <c:y val="0.30860377484901502"/>
          <c:w val="0.777017247313322"/>
          <c:h val="0.49025030055128338"/>
        </c:manualLayout>
      </c:layout>
      <c:barChart>
        <c:barDir val="col"/>
        <c:grouping val="clustered"/>
        <c:varyColors val="0"/>
        <c:ser>
          <c:idx val="0"/>
          <c:order val="0"/>
          <c:spPr>
            <a:solidFill>
              <a:schemeClr val="bg1">
                <a:lumMod val="75000"/>
              </a:schemeClr>
            </a:solidFill>
            <a:ln w="12700">
              <a:solidFill>
                <a:srgbClr val="000000"/>
              </a:solidFill>
              <a:prstDash val="solid"/>
            </a:ln>
            <a:scene3d>
              <a:camera prst="orthographicFront"/>
              <a:lightRig rig="threePt" dir="t"/>
            </a:scene3d>
            <a:sp3d>
              <a:bevelT/>
              <a:bevelB/>
            </a:sp3d>
          </c:spPr>
          <c:invertIfNegative val="0"/>
          <c:cat>
            <c:numRef>
              <c:f>Graph!$A$3:$A$52</c:f>
              <c:numCache>
                <c:formatCode>General</c:formatCode>
                <c:ptCount val="50"/>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numCache>
            </c:numRef>
          </c:cat>
          <c:val>
            <c:numRef>
              <c:f>Graph!$F$3:$F$52</c:f>
              <c:numCache>
                <c:formatCode>0</c:formatCode>
                <c:ptCount val="50"/>
                <c:pt idx="0">
                  <c:v>4.0036854262672428</c:v>
                </c:pt>
                <c:pt idx="1">
                  <c:v>3.0031490836560195</c:v>
                </c:pt>
                <c:pt idx="2">
                  <c:v>3.5633364980913327</c:v>
                </c:pt>
                <c:pt idx="3">
                  <c:v>9.0089338990272765</c:v>
                </c:pt>
                <c:pt idx="4">
                  <c:v>21.880133397537318</c:v>
                </c:pt>
                <c:pt idx="5">
                  <c:v>56.514245172425426</c:v>
                </c:pt>
                <c:pt idx="6">
                  <c:v>63.183032869934536</c:v>
                </c:pt>
                <c:pt idx="7">
                  <c:v>75.973049576461193</c:v>
                </c:pt>
                <c:pt idx="8">
                  <c:v>91.249283523139951</c:v>
                </c:pt>
                <c:pt idx="9">
                  <c:v>90.046216890845983</c:v>
                </c:pt>
                <c:pt idx="10">
                  <c:v>86.983441174666495</c:v>
                </c:pt>
                <c:pt idx="11">
                  <c:v>110.41774502106506</c:v>
                </c:pt>
                <c:pt idx="12">
                  <c:v>135.42690545823044</c:v>
                </c:pt>
                <c:pt idx="13">
                  <c:v>153.94813180627409</c:v>
                </c:pt>
                <c:pt idx="14">
                  <c:v>123.13683864480609</c:v>
                </c:pt>
                <c:pt idx="15">
                  <c:v>149.46087781553541</c:v>
                </c:pt>
                <c:pt idx="16">
                  <c:v>165.45598354066891</c:v>
                </c:pt>
                <c:pt idx="17">
                  <c:v>182.69205720828541</c:v>
                </c:pt>
                <c:pt idx="18">
                  <c:v>178.3635440502797</c:v>
                </c:pt>
                <c:pt idx="19">
                  <c:v>219.12175471480029</c:v>
                </c:pt>
                <c:pt idx="20">
                  <c:v>277.45683742575409</c:v>
                </c:pt>
                <c:pt idx="21">
                  <c:v>302.18142782923894</c:v>
                </c:pt>
                <c:pt idx="22">
                  <c:v>335.35036483147121</c:v>
                </c:pt>
                <c:pt idx="23">
                  <c:v>307.23603039823115</c:v>
                </c:pt>
                <c:pt idx="24">
                  <c:v>293.87415508679521</c:v>
                </c:pt>
                <c:pt idx="25">
                  <c:v>312.28017351718563</c:v>
                </c:pt>
                <c:pt idx="26">
                  <c:v>370.50647034326533</c:v>
                </c:pt>
                <c:pt idx="27">
                  <c:v>388.9648667426751</c:v>
                </c:pt>
                <c:pt idx="28">
                  <c:v>345.72072631508922</c:v>
                </c:pt>
                <c:pt idx="29">
                  <c:v>375.11770569111582</c:v>
                </c:pt>
                <c:pt idx="30">
                  <c:v>395.80913082779733</c:v>
                </c:pt>
                <c:pt idx="31">
                  <c:v>379.75828966444124</c:v>
                </c:pt>
                <c:pt idx="32">
                  <c:v>403.27636091397437</c:v>
                </c:pt>
                <c:pt idx="33">
                  <c:v>412.3341513218075</c:v>
                </c:pt>
                <c:pt idx="34">
                  <c:v>468.73253905227432</c:v>
                </c:pt>
                <c:pt idx="35">
                  <c:v>413.40046425319281</c:v>
                </c:pt>
                <c:pt idx="36">
                  <c:v>423.96625636915246</c:v>
                </c:pt>
                <c:pt idx="37">
                  <c:v>451.6744802842079</c:v>
                </c:pt>
                <c:pt idx="38">
                  <c:v>438.82094060392728</c:v>
                </c:pt>
                <c:pt idx="39">
                  <c:v>394.48394897997639</c:v>
                </c:pt>
                <c:pt idx="40">
                  <c:v>340.95316299590775</c:v>
                </c:pt>
                <c:pt idx="41">
                  <c:v>278.74499334913514</c:v>
                </c:pt>
                <c:pt idx="42">
                  <c:v>257.06802190743366</c:v>
                </c:pt>
                <c:pt idx="43">
                  <c:v>173.94919724087276</c:v>
                </c:pt>
                <c:pt idx="44">
                  <c:v>172.45601613737682</c:v>
                </c:pt>
                <c:pt idx="45">
                  <c:v>69.362348455653191</c:v>
                </c:pt>
                <c:pt idx="46">
                  <c:v>31.026893659763587</c:v>
                </c:pt>
                <c:pt idx="47">
                  <c:v>16.013971677157798</c:v>
                </c:pt>
                <c:pt idx="48">
                  <c:v>4.0031720743264598</c:v>
                </c:pt>
                <c:pt idx="49">
                  <c:v>2.0015860371632299</c:v>
                </c:pt>
              </c:numCache>
            </c:numRef>
          </c:val>
        </c:ser>
        <c:dLbls>
          <c:showLegendKey val="0"/>
          <c:showVal val="0"/>
          <c:showCatName val="0"/>
          <c:showSerName val="0"/>
          <c:showPercent val="0"/>
          <c:showBubbleSize val="0"/>
        </c:dLbls>
        <c:gapWidth val="150"/>
        <c:axId val="232015904"/>
        <c:axId val="232016464"/>
      </c:barChart>
      <c:catAx>
        <c:axId val="232015904"/>
        <c:scaling>
          <c:orientation val="minMax"/>
        </c:scaling>
        <c:delete val="0"/>
        <c:axPos val="b"/>
        <c:title>
          <c:tx>
            <c:rich>
              <a:bodyPr/>
              <a:lstStyle/>
              <a:p>
                <a:pPr>
                  <a:defRPr sz="1075" b="1" i="0" u="none" strike="noStrike" baseline="0">
                    <a:solidFill>
                      <a:srgbClr val="000000"/>
                    </a:solidFill>
                    <a:latin typeface="Arial"/>
                    <a:ea typeface="Arial"/>
                    <a:cs typeface="Arial"/>
                  </a:defRPr>
                </a:pPr>
                <a:r>
                  <a:rPr lang="fr-FR"/>
                  <a:t>Age</a:t>
                </a:r>
              </a:p>
            </c:rich>
          </c:tx>
          <c:layout>
            <c:manualLayout>
              <c:xMode val="edge"/>
              <c:yMode val="edge"/>
              <c:x val="0.90921108877535617"/>
              <c:y val="0.76955616387795278"/>
            </c:manualLayout>
          </c:layout>
          <c:overlay val="0"/>
          <c:spPr>
            <a:noFill/>
            <a:ln w="25400">
              <a:noFill/>
            </a:ln>
          </c:spPr>
        </c:title>
        <c:numFmt formatCode="General" sourceLinked="1"/>
        <c:majorTickMark val="out"/>
        <c:minorTickMark val="none"/>
        <c:tickLblPos val="nextTo"/>
        <c:spPr>
          <a:ln w="3175">
            <a:solidFill>
              <a:srgbClr val="969696"/>
            </a:solidFill>
            <a:prstDash val="solid"/>
          </a:ln>
        </c:spPr>
        <c:txPr>
          <a:bodyPr rot="-5400000" vert="horz"/>
          <a:lstStyle/>
          <a:p>
            <a:pPr>
              <a:defRPr sz="1075" b="0" i="0" u="none" strike="noStrike" baseline="0">
                <a:solidFill>
                  <a:srgbClr val="000000"/>
                </a:solidFill>
                <a:latin typeface="Arial"/>
                <a:ea typeface="Arial"/>
                <a:cs typeface="Arial"/>
              </a:defRPr>
            </a:pPr>
            <a:endParaRPr lang="fr-FR"/>
          </a:p>
        </c:txPr>
        <c:crossAx val="232016464"/>
        <c:crosses val="autoZero"/>
        <c:auto val="1"/>
        <c:lblAlgn val="ctr"/>
        <c:lblOffset val="100"/>
        <c:tickLblSkip val="3"/>
        <c:tickMarkSkip val="1"/>
        <c:noMultiLvlLbl val="0"/>
      </c:catAx>
      <c:valAx>
        <c:axId val="232016464"/>
        <c:scaling>
          <c:orientation val="minMax"/>
        </c:scaling>
        <c:delete val="0"/>
        <c:axPos val="l"/>
        <c:title>
          <c:tx>
            <c:rich>
              <a:bodyPr/>
              <a:lstStyle/>
              <a:p>
                <a:pPr>
                  <a:defRPr sz="1075" b="1" i="0" u="none" strike="noStrike" baseline="0">
                    <a:solidFill>
                      <a:srgbClr val="000000"/>
                    </a:solidFill>
                    <a:latin typeface="Arial"/>
                    <a:ea typeface="Arial"/>
                    <a:cs typeface="Arial"/>
                  </a:defRPr>
                </a:pPr>
                <a:r>
                  <a:rPr lang="fr-FR"/>
                  <a:t>Effectif</a:t>
                </a:r>
              </a:p>
            </c:rich>
          </c:tx>
          <c:layout>
            <c:manualLayout>
              <c:xMode val="edge"/>
              <c:yMode val="edge"/>
              <c:x val="2.3209674471821196E-2"/>
              <c:y val="0.47657787893700787"/>
            </c:manualLayout>
          </c:layout>
          <c:overlay val="0"/>
          <c:spPr>
            <a:noFill/>
            <a:ln w="25400">
              <a:noFill/>
            </a:ln>
          </c:spPr>
        </c:title>
        <c:numFmt formatCode="0" sourceLinked="1"/>
        <c:majorTickMark val="out"/>
        <c:minorTickMark val="none"/>
        <c:tickLblPos val="nextTo"/>
        <c:spPr>
          <a:ln w="3175">
            <a:solidFill>
              <a:srgbClr val="969696"/>
            </a:solidFill>
            <a:prstDash val="solid"/>
          </a:ln>
        </c:spPr>
        <c:txPr>
          <a:bodyPr rot="0" vert="horz"/>
          <a:lstStyle/>
          <a:p>
            <a:pPr>
              <a:defRPr sz="1075" b="0" i="0" u="none" strike="noStrike" baseline="0">
                <a:solidFill>
                  <a:srgbClr val="000000"/>
                </a:solidFill>
                <a:latin typeface="Arial"/>
                <a:ea typeface="Arial"/>
                <a:cs typeface="Arial"/>
              </a:defRPr>
            </a:pPr>
            <a:endParaRPr lang="fr-FR"/>
          </a:p>
        </c:txPr>
        <c:crossAx val="232015904"/>
        <c:crosses val="autoZero"/>
        <c:crossBetween val="between"/>
        <c:majorUnit val="100"/>
      </c:valAx>
      <c:spPr>
        <a:solidFill>
          <a:srgbClr val="FFFFFF"/>
        </a:solidFill>
        <a:ln w="25400">
          <a:noFill/>
        </a:ln>
      </c:spPr>
    </c:plotArea>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a:ea typeface="Arial"/>
          <a:cs typeface="Arial"/>
        </a:defRPr>
      </a:pPr>
      <a:endParaRPr lang="fr-FR"/>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fr-FR"/>
              <a:t>Répartition 2013 Hommes/Femmes par tranche d'âge</a:t>
            </a:r>
          </a:p>
        </c:rich>
      </c:tx>
      <c:layout>
        <c:manualLayout>
          <c:xMode val="edge"/>
          <c:yMode val="edge"/>
          <c:x val="0.24626396949965279"/>
          <c:y val="3.2479709267110843E-2"/>
        </c:manualLayout>
      </c:layout>
      <c:overlay val="0"/>
      <c:spPr>
        <a:noFill/>
        <a:ln w="25400">
          <a:noFill/>
        </a:ln>
      </c:spPr>
    </c:title>
    <c:autoTitleDeleted val="0"/>
    <c:plotArea>
      <c:layout>
        <c:manualLayout>
          <c:layoutTarget val="inner"/>
          <c:xMode val="edge"/>
          <c:yMode val="edge"/>
          <c:x val="0.11148433538795981"/>
          <c:y val="0.20684396237593897"/>
          <c:w val="0.77539851180282493"/>
          <c:h val="0.48035663989784172"/>
        </c:manualLayout>
      </c:layout>
      <c:barChart>
        <c:barDir val="col"/>
        <c:grouping val="stacked"/>
        <c:varyColors val="0"/>
        <c:ser>
          <c:idx val="0"/>
          <c:order val="0"/>
          <c:tx>
            <c:strRef>
              <c:f>'par tranche âge'!$H$1:$I$1</c:f>
              <c:strCache>
                <c:ptCount val="1"/>
                <c:pt idx="0">
                  <c:v>Hommes</c:v>
                </c:pt>
              </c:strCache>
            </c:strRef>
          </c:tx>
          <c:spPr>
            <a:solidFill>
              <a:srgbClr val="C0C0C0"/>
            </a:solidFill>
            <a:ln w="25400">
              <a:noFill/>
            </a:ln>
            <a:scene3d>
              <a:camera prst="orthographicFront"/>
              <a:lightRig rig="threePt" dir="t"/>
            </a:scene3d>
            <a:sp3d>
              <a:bevelT/>
            </a:sp3d>
          </c:spPr>
          <c:invertIfNegative val="0"/>
          <c:cat>
            <c:strRef>
              <c:f>'par tranche âge'!$F$3:$F$12</c:f>
              <c:strCache>
                <c:ptCount val="10"/>
                <c:pt idx="0">
                  <c:v>&lt; 25 ans</c:v>
                </c:pt>
                <c:pt idx="1">
                  <c:v>de 25 à 29 ans </c:v>
                </c:pt>
                <c:pt idx="2">
                  <c:v>de 30 à 34 ans</c:v>
                </c:pt>
                <c:pt idx="3">
                  <c:v>de 35 à 39 ans</c:v>
                </c:pt>
                <c:pt idx="4">
                  <c:v>de 40 à 44 ans</c:v>
                </c:pt>
                <c:pt idx="5">
                  <c:v>de 45 à 49 ans</c:v>
                </c:pt>
                <c:pt idx="6">
                  <c:v>de 50 à 54 ans</c:v>
                </c:pt>
                <c:pt idx="7">
                  <c:v>de 55 à 59 ans</c:v>
                </c:pt>
                <c:pt idx="8">
                  <c:v>de 60 à 64 ans</c:v>
                </c:pt>
                <c:pt idx="9">
                  <c:v>65 et +</c:v>
                </c:pt>
              </c:strCache>
            </c:strRef>
          </c:cat>
          <c:val>
            <c:numRef>
              <c:f>'par tranche âge'!$H$3:$H$12</c:f>
              <c:numCache>
                <c:formatCode>0</c:formatCode>
                <c:ptCount val="10"/>
                <c:pt idx="0">
                  <c:v>12.629007101481399</c:v>
                </c:pt>
                <c:pt idx="1">
                  <c:v>114.97110197465594</c:v>
                </c:pt>
                <c:pt idx="2">
                  <c:v>222.43625630994973</c:v>
                </c:pt>
                <c:pt idx="3">
                  <c:v>407.38280614383211</c:v>
                </c:pt>
                <c:pt idx="4">
                  <c:v>698.49247859583375</c:v>
                </c:pt>
                <c:pt idx="5">
                  <c:v>814.80564400840763</c:v>
                </c:pt>
                <c:pt idx="6">
                  <c:v>977.88486638628183</c:v>
                </c:pt>
                <c:pt idx="7">
                  <c:v>1090.4940968370852</c:v>
                </c:pt>
                <c:pt idx="8">
                  <c:v>625.35552559090786</c:v>
                </c:pt>
                <c:pt idx="9">
                  <c:v>79.563044977238391</c:v>
                </c:pt>
              </c:numCache>
            </c:numRef>
          </c:val>
        </c:ser>
        <c:ser>
          <c:idx val="1"/>
          <c:order val="1"/>
          <c:tx>
            <c:strRef>
              <c:f>'par tranche âge'!$K$1:$L$1</c:f>
              <c:strCache>
                <c:ptCount val="1"/>
                <c:pt idx="0">
                  <c:v>Femmes</c:v>
                </c:pt>
              </c:strCache>
            </c:strRef>
          </c:tx>
          <c:spPr>
            <a:solidFill>
              <a:srgbClr val="00FF00"/>
            </a:solidFill>
            <a:ln w="25400">
              <a:noFill/>
            </a:ln>
            <a:scene3d>
              <a:camera prst="orthographicFront"/>
              <a:lightRig rig="threePt" dir="t"/>
            </a:scene3d>
            <a:sp3d>
              <a:bevelT/>
            </a:sp3d>
          </c:spPr>
          <c:invertIfNegative val="0"/>
          <c:cat>
            <c:strRef>
              <c:f>'par tranche âge'!$F$3:$F$12</c:f>
              <c:strCache>
                <c:ptCount val="10"/>
                <c:pt idx="0">
                  <c:v>&lt; 25 ans</c:v>
                </c:pt>
                <c:pt idx="1">
                  <c:v>de 25 à 29 ans </c:v>
                </c:pt>
                <c:pt idx="2">
                  <c:v>de 30 à 34 ans</c:v>
                </c:pt>
                <c:pt idx="3">
                  <c:v>de 35 à 39 ans</c:v>
                </c:pt>
                <c:pt idx="4">
                  <c:v>de 40 à 44 ans</c:v>
                </c:pt>
                <c:pt idx="5">
                  <c:v>de 45 à 49 ans</c:v>
                </c:pt>
                <c:pt idx="6">
                  <c:v>de 50 à 54 ans</c:v>
                </c:pt>
                <c:pt idx="7">
                  <c:v>de 55 à 59 ans</c:v>
                </c:pt>
                <c:pt idx="8">
                  <c:v>de 60 à 64 ans</c:v>
                </c:pt>
                <c:pt idx="9">
                  <c:v>65 et +</c:v>
                </c:pt>
              </c:strCache>
            </c:strRef>
          </c:cat>
          <c:val>
            <c:numRef>
              <c:f>'par tranche âge'!$K$3:$K$12</c:f>
              <c:numCache>
                <c:formatCode>0</c:formatCode>
                <c:ptCount val="10"/>
                <c:pt idx="0">
                  <c:v>28.830231203097789</c:v>
                </c:pt>
                <c:pt idx="1">
                  <c:v>261.99472605815117</c:v>
                </c:pt>
                <c:pt idx="2">
                  <c:v>387.4768057950925</c:v>
                </c:pt>
                <c:pt idx="3">
                  <c:v>487.71141118573757</c:v>
                </c:pt>
                <c:pt idx="4">
                  <c:v>817.60633697565686</c:v>
                </c:pt>
                <c:pt idx="5">
                  <c:v>977.78429860092353</c:v>
                </c:pt>
                <c:pt idx="6">
                  <c:v>1082.0256053940132</c:v>
                </c:pt>
                <c:pt idx="7">
                  <c:v>1031.8519936533717</c:v>
                </c:pt>
                <c:pt idx="8">
                  <c:v>597.81586603981827</c:v>
                </c:pt>
                <c:pt idx="9">
                  <c:v>42.844926926825877</c:v>
                </c:pt>
              </c:numCache>
            </c:numRef>
          </c:val>
        </c:ser>
        <c:dLbls>
          <c:showLegendKey val="0"/>
          <c:showVal val="0"/>
          <c:showCatName val="0"/>
          <c:showSerName val="0"/>
          <c:showPercent val="0"/>
          <c:showBubbleSize val="0"/>
        </c:dLbls>
        <c:gapWidth val="150"/>
        <c:overlap val="100"/>
        <c:axId val="232019264"/>
        <c:axId val="232019824"/>
      </c:barChart>
      <c:catAx>
        <c:axId val="232019264"/>
        <c:scaling>
          <c:orientation val="minMax"/>
        </c:scaling>
        <c:delete val="0"/>
        <c:axPos val="b"/>
        <c:title>
          <c:tx>
            <c:rich>
              <a:bodyPr/>
              <a:lstStyle/>
              <a:p>
                <a:pPr>
                  <a:defRPr sz="1100" b="1" i="0" u="none" strike="noStrike" baseline="0">
                    <a:solidFill>
                      <a:srgbClr val="000000"/>
                    </a:solidFill>
                    <a:latin typeface="Arial"/>
                    <a:ea typeface="Arial"/>
                    <a:cs typeface="Arial"/>
                  </a:defRPr>
                </a:pPr>
                <a:r>
                  <a:rPr lang="fr-FR" sz="1100" baseline="0"/>
                  <a:t>Age</a:t>
                </a:r>
              </a:p>
            </c:rich>
          </c:tx>
          <c:layout>
            <c:manualLayout>
              <c:xMode val="edge"/>
              <c:yMode val="edge"/>
              <c:x val="0.90269026687803788"/>
              <c:y val="0.67181559997308027"/>
            </c:manualLayout>
          </c:layout>
          <c:overlay val="0"/>
          <c:spPr>
            <a:noFill/>
            <a:ln w="25400">
              <a:noFill/>
            </a:ln>
          </c:spPr>
        </c:title>
        <c:numFmt formatCode="General" sourceLinked="1"/>
        <c:majorTickMark val="out"/>
        <c:minorTickMark val="none"/>
        <c:tickLblPos val="nextTo"/>
        <c:spPr>
          <a:ln w="3175">
            <a:solidFill>
              <a:srgbClr val="969696"/>
            </a:solidFill>
            <a:prstDash val="solid"/>
          </a:ln>
        </c:spPr>
        <c:txPr>
          <a:bodyPr rot="-1620000" vert="horz"/>
          <a:lstStyle/>
          <a:p>
            <a:pPr>
              <a:defRPr sz="900" b="0" i="0" u="none" strike="noStrike" baseline="0">
                <a:solidFill>
                  <a:srgbClr val="000000"/>
                </a:solidFill>
                <a:latin typeface="Arial"/>
                <a:ea typeface="Arial"/>
                <a:cs typeface="Arial"/>
              </a:defRPr>
            </a:pPr>
            <a:endParaRPr lang="fr-FR"/>
          </a:p>
        </c:txPr>
        <c:crossAx val="232019824"/>
        <c:crosses val="autoZero"/>
        <c:auto val="1"/>
        <c:lblAlgn val="ctr"/>
        <c:lblOffset val="100"/>
        <c:tickLblSkip val="1"/>
        <c:tickMarkSkip val="1"/>
        <c:noMultiLvlLbl val="0"/>
      </c:catAx>
      <c:valAx>
        <c:axId val="232019824"/>
        <c:scaling>
          <c:orientation val="minMax"/>
        </c:scaling>
        <c:delete val="0"/>
        <c:axPos val="l"/>
        <c:majorGridlines>
          <c:spPr>
            <a:ln w="3175">
              <a:solidFill>
                <a:srgbClr val="C0C0C0"/>
              </a:solidFill>
              <a:prstDash val="solid"/>
            </a:ln>
          </c:spPr>
        </c:majorGridlines>
        <c:title>
          <c:tx>
            <c:rich>
              <a:bodyPr/>
              <a:lstStyle/>
              <a:p>
                <a:pPr>
                  <a:defRPr sz="1100" b="1" i="0" u="none" strike="noStrike" baseline="0">
                    <a:solidFill>
                      <a:srgbClr val="000000"/>
                    </a:solidFill>
                    <a:latin typeface="Arial"/>
                    <a:ea typeface="Arial"/>
                    <a:cs typeface="Arial"/>
                  </a:defRPr>
                </a:pPr>
                <a:r>
                  <a:rPr lang="fr-FR" sz="1100"/>
                  <a:t>Effectif</a:t>
                </a:r>
              </a:p>
            </c:rich>
          </c:tx>
          <c:layout>
            <c:manualLayout>
              <c:xMode val="edge"/>
              <c:yMode val="edge"/>
              <c:x val="7.5159573076621251E-3"/>
              <c:y val="0.3709514659643654"/>
            </c:manualLayout>
          </c:layout>
          <c:overlay val="0"/>
          <c:spPr>
            <a:noFill/>
            <a:ln w="25400">
              <a:noFill/>
            </a:ln>
          </c:spPr>
        </c:title>
        <c:numFmt formatCode="0" sourceLinked="1"/>
        <c:majorTickMark val="out"/>
        <c:minorTickMark val="none"/>
        <c:tickLblPos val="nextTo"/>
        <c:spPr>
          <a:ln w="3175">
            <a:solidFill>
              <a:srgbClr val="969696"/>
            </a:solidFill>
            <a:prstDash val="solid"/>
          </a:ln>
        </c:spPr>
        <c:txPr>
          <a:bodyPr rot="0" vert="horz"/>
          <a:lstStyle/>
          <a:p>
            <a:pPr>
              <a:defRPr sz="975" b="0" i="0" u="none" strike="noStrike" baseline="0">
                <a:solidFill>
                  <a:srgbClr val="000000"/>
                </a:solidFill>
                <a:latin typeface="Arial"/>
                <a:ea typeface="Arial"/>
                <a:cs typeface="Arial"/>
              </a:defRPr>
            </a:pPr>
            <a:endParaRPr lang="fr-FR"/>
          </a:p>
        </c:txPr>
        <c:crossAx val="232019264"/>
        <c:crosses val="autoZero"/>
        <c:crossBetween val="between"/>
      </c:valAx>
      <c:spPr>
        <a:noFill/>
        <a:ln w="25400">
          <a:noFill/>
        </a:ln>
      </c:spPr>
    </c:plotArea>
    <c:legend>
      <c:legendPos val="r"/>
      <c:layout>
        <c:manualLayout>
          <c:xMode val="edge"/>
          <c:yMode val="edge"/>
          <c:x val="0.3837809687266629"/>
          <c:y val="0.91883222289521504"/>
          <c:w val="0.22955939575772666"/>
          <c:h val="8.0105256073760067E-2"/>
        </c:manualLayout>
      </c:layout>
      <c:overlay val="0"/>
      <c:spPr>
        <a:solidFill>
          <a:srgbClr val="FFFFFF"/>
        </a:solidFill>
        <a:ln w="25400">
          <a:noFill/>
        </a:ln>
      </c:spPr>
      <c:txPr>
        <a:bodyPr/>
        <a:lstStyle/>
        <a:p>
          <a:pPr>
            <a:defRPr sz="100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1200" b="0" i="0" u="none" strike="noStrike" baseline="0">
          <a:solidFill>
            <a:srgbClr val="000000"/>
          </a:solidFill>
          <a:latin typeface="Arial"/>
          <a:ea typeface="Arial"/>
          <a:cs typeface="Arial"/>
        </a:defRPr>
      </a:pPr>
      <a:endParaRPr lang="fr-FR"/>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0" i="0" u="none" strike="noStrike" baseline="0">
                <a:solidFill>
                  <a:srgbClr val="000000"/>
                </a:solidFill>
                <a:latin typeface="Arial"/>
                <a:ea typeface="Arial"/>
                <a:cs typeface="Arial"/>
              </a:defRPr>
            </a:pPr>
            <a:r>
              <a:rPr lang="en-US" sz="1000" b="1"/>
              <a:t>Types d'accidents survenus en 2013</a:t>
            </a:r>
          </a:p>
        </c:rich>
      </c:tx>
      <c:layout>
        <c:manualLayout>
          <c:xMode val="edge"/>
          <c:yMode val="edge"/>
          <c:x val="0.26879051861501063"/>
          <c:y val="3.6018101185627656E-2"/>
        </c:manualLayout>
      </c:layout>
      <c:overlay val="0"/>
      <c:spPr>
        <a:noFill/>
        <a:ln w="25400">
          <a:noFill/>
        </a:ln>
      </c:spPr>
    </c:title>
    <c:autoTitleDeleted val="0"/>
    <c:plotArea>
      <c:layout>
        <c:manualLayout>
          <c:layoutTarget val="inner"/>
          <c:xMode val="edge"/>
          <c:yMode val="edge"/>
          <c:x val="0.32421922293912991"/>
          <c:y val="0.20339817162685173"/>
          <c:w val="0.3734727060353803"/>
          <c:h val="0.57840826747544272"/>
        </c:manualLayout>
      </c:layout>
      <c:pieChart>
        <c:varyColors val="1"/>
        <c:ser>
          <c:idx val="0"/>
          <c:order val="0"/>
          <c:tx>
            <c:strRef>
              <c:f>Graphiques!$J$18</c:f>
              <c:strCache>
                <c:ptCount val="1"/>
                <c:pt idx="0">
                  <c:v>Types d'accidents survenus en 2013</c:v>
                </c:pt>
              </c:strCache>
            </c:strRef>
          </c:tx>
          <c:spPr>
            <a:solidFill>
              <a:srgbClr val="9999FF"/>
            </a:solidFill>
            <a:ln w="12700">
              <a:noFill/>
              <a:prstDash val="solid"/>
            </a:ln>
            <a:scene3d>
              <a:camera prst="orthographicFront"/>
              <a:lightRig rig="threePt" dir="t"/>
            </a:scene3d>
            <a:sp3d>
              <a:bevelT/>
            </a:sp3d>
          </c:spPr>
          <c:explosion val="7"/>
          <c:dPt>
            <c:idx val="0"/>
            <c:bubble3D val="0"/>
            <c:spPr>
              <a:solidFill>
                <a:srgbClr val="A50021"/>
              </a:solidFill>
              <a:ln w="12700">
                <a:noFill/>
                <a:prstDash val="solid"/>
              </a:ln>
              <a:scene3d>
                <a:camera prst="orthographicFront"/>
                <a:lightRig rig="threePt" dir="t"/>
              </a:scene3d>
              <a:sp3d>
                <a:bevelT/>
              </a:sp3d>
            </c:spPr>
          </c:dPt>
          <c:dPt>
            <c:idx val="1"/>
            <c:bubble3D val="0"/>
            <c:spPr>
              <a:solidFill>
                <a:srgbClr val="FFCCCC"/>
              </a:solidFill>
              <a:ln w="12700">
                <a:noFill/>
                <a:prstDash val="solid"/>
              </a:ln>
              <a:scene3d>
                <a:camera prst="orthographicFront"/>
                <a:lightRig rig="threePt" dir="t"/>
              </a:scene3d>
              <a:sp3d>
                <a:bevelT/>
              </a:sp3d>
            </c:spPr>
          </c:dPt>
          <c:dPt>
            <c:idx val="2"/>
            <c:bubble3D val="0"/>
            <c:spPr>
              <a:solidFill>
                <a:srgbClr val="FF5050"/>
              </a:solidFill>
              <a:ln w="12700">
                <a:noFill/>
                <a:prstDash val="solid"/>
              </a:ln>
              <a:scene3d>
                <a:camera prst="orthographicFront"/>
                <a:lightRig rig="threePt" dir="t"/>
              </a:scene3d>
              <a:sp3d>
                <a:bevelT/>
              </a:sp3d>
            </c:spPr>
          </c:dPt>
          <c:dLbls>
            <c:numFmt formatCode="0.0%" sourceLinked="0"/>
            <c:spPr>
              <a:noFill/>
              <a:ln w="25400">
                <a:noFill/>
              </a:ln>
            </c:spPr>
            <c:txPr>
              <a:bodyPr wrap="square" lIns="38100" tIns="19050" rIns="38100" bIns="19050" anchor="ctr">
                <a:spAutoFit/>
              </a:bodyPr>
              <a:lstStyle/>
              <a:p>
                <a:pPr algn="ctr" rtl="1">
                  <a:defRPr sz="900"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Graphiques!$I$19:$I$21</c:f>
              <c:strCache>
                <c:ptCount val="3"/>
                <c:pt idx="0">
                  <c:v>Accidents de service</c:v>
                </c:pt>
                <c:pt idx="1">
                  <c:v>Accidents de mission</c:v>
                </c:pt>
                <c:pt idx="2">
                  <c:v>Accidents de trajet</c:v>
                </c:pt>
              </c:strCache>
            </c:strRef>
          </c:cat>
          <c:val>
            <c:numRef>
              <c:f>Graphiques!$J$19:$J$21</c:f>
              <c:numCache>
                <c:formatCode>General</c:formatCode>
                <c:ptCount val="3"/>
                <c:pt idx="0">
                  <c:v>574</c:v>
                </c:pt>
                <c:pt idx="1">
                  <c:v>27</c:v>
                </c:pt>
                <c:pt idx="2">
                  <c:v>346</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layout/>
      <c:overlay val="0"/>
      <c:spPr>
        <a:solidFill>
          <a:srgbClr val="FFFFFF"/>
        </a:solidFill>
        <a:ln w="25400">
          <a:noFill/>
        </a:ln>
      </c:spPr>
      <c:txPr>
        <a:bodyPr/>
        <a:lstStyle/>
        <a:p>
          <a:pPr>
            <a:defRPr sz="900"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6350">
      <a:noFill/>
    </a:ln>
  </c:spPr>
  <c:txPr>
    <a:bodyPr/>
    <a:lstStyle/>
    <a:p>
      <a:pPr>
        <a:defRPr sz="800" b="0" i="0" u="none" strike="noStrike" baseline="0">
          <a:solidFill>
            <a:srgbClr val="000000"/>
          </a:solidFill>
          <a:latin typeface="Arial"/>
          <a:ea typeface="Arial"/>
          <a:cs typeface="Arial"/>
        </a:defRPr>
      </a:pPr>
      <a:endParaRPr lang="fr-FR"/>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500" b="0" i="0" u="none" strike="noStrike" baseline="0">
                <a:solidFill>
                  <a:srgbClr val="000000"/>
                </a:solidFill>
                <a:latin typeface="Arial"/>
                <a:ea typeface="Arial"/>
                <a:cs typeface="Arial"/>
              </a:defRPr>
            </a:pPr>
            <a:r>
              <a:rPr lang="en-US" sz="1000" b="1"/>
              <a:t>Accidents de trajet 2013</a:t>
            </a:r>
          </a:p>
        </c:rich>
      </c:tx>
      <c:layout>
        <c:manualLayout>
          <c:xMode val="edge"/>
          <c:yMode val="edge"/>
          <c:x val="0.25942736609978545"/>
          <c:y val="3.8637795275590553E-2"/>
        </c:manualLayout>
      </c:layout>
      <c:overlay val="0"/>
      <c:spPr>
        <a:noFill/>
        <a:ln w="25400">
          <a:noFill/>
        </a:ln>
      </c:spPr>
    </c:title>
    <c:autoTitleDeleted val="0"/>
    <c:plotArea>
      <c:layout>
        <c:manualLayout>
          <c:layoutTarget val="inner"/>
          <c:xMode val="edge"/>
          <c:yMode val="edge"/>
          <c:x val="0.21757849306493596"/>
          <c:y val="0.15228274874731568"/>
          <c:w val="0.55231772806641843"/>
          <c:h val="0.60001789549033646"/>
        </c:manualLayout>
      </c:layout>
      <c:pieChart>
        <c:varyColors val="1"/>
        <c:ser>
          <c:idx val="0"/>
          <c:order val="0"/>
          <c:tx>
            <c:strRef>
              <c:f>Graphiques!$E$12</c:f>
              <c:strCache>
                <c:ptCount val="1"/>
                <c:pt idx="0">
                  <c:v>Accidents de trajet 2013</c:v>
                </c:pt>
              </c:strCache>
            </c:strRef>
          </c:tx>
          <c:spPr>
            <a:solidFill>
              <a:srgbClr val="9999FF"/>
            </a:solidFill>
            <a:ln w="12700">
              <a:noFill/>
              <a:prstDash val="solid"/>
            </a:ln>
            <a:scene3d>
              <a:camera prst="orthographicFront"/>
              <a:lightRig rig="threePt" dir="t"/>
            </a:scene3d>
            <a:sp3d>
              <a:bevelT/>
            </a:sp3d>
          </c:spPr>
          <c:explosion val="12"/>
          <c:dPt>
            <c:idx val="0"/>
            <c:bubble3D val="0"/>
            <c:explosion val="13"/>
            <c:spPr>
              <a:solidFill>
                <a:srgbClr val="660033"/>
              </a:solidFill>
              <a:ln w="12700">
                <a:noFill/>
                <a:prstDash val="solid"/>
              </a:ln>
              <a:scene3d>
                <a:camera prst="orthographicFront"/>
                <a:lightRig rig="threePt" dir="t"/>
              </a:scene3d>
              <a:sp3d>
                <a:bevelT/>
              </a:sp3d>
            </c:spPr>
          </c:dPt>
          <c:dPt>
            <c:idx val="1"/>
            <c:bubble3D val="0"/>
            <c:spPr>
              <a:solidFill>
                <a:srgbClr val="FFFFCC"/>
              </a:solidFill>
              <a:ln w="12700">
                <a:noFill/>
                <a:prstDash val="solid"/>
              </a:ln>
              <a:scene3d>
                <a:camera prst="orthographicFront"/>
                <a:lightRig rig="threePt" dir="t"/>
              </a:scene3d>
              <a:sp3d>
                <a:bevelT/>
              </a:sp3d>
            </c:spPr>
          </c:dPt>
          <c:dPt>
            <c:idx val="2"/>
            <c:bubble3D val="0"/>
            <c:spPr>
              <a:solidFill>
                <a:srgbClr val="FFCCCC"/>
              </a:solidFill>
              <a:ln w="12700">
                <a:noFill/>
                <a:prstDash val="solid"/>
              </a:ln>
              <a:scene3d>
                <a:camera prst="orthographicFront"/>
                <a:lightRig rig="threePt" dir="t"/>
              </a:scene3d>
              <a:sp3d>
                <a:bevelT/>
              </a:sp3d>
            </c:spPr>
          </c:dPt>
          <c:dPt>
            <c:idx val="3"/>
            <c:bubble3D val="0"/>
            <c:spPr>
              <a:solidFill>
                <a:srgbClr val="FF7C80"/>
              </a:solidFill>
              <a:ln w="12700">
                <a:noFill/>
                <a:prstDash val="solid"/>
              </a:ln>
              <a:scene3d>
                <a:camera prst="orthographicFront"/>
                <a:lightRig rig="threePt" dir="t"/>
              </a:scene3d>
              <a:sp3d>
                <a:bevelT/>
              </a:sp3d>
            </c:spPr>
          </c:dPt>
          <c:dPt>
            <c:idx val="4"/>
            <c:bubble3D val="0"/>
            <c:spPr>
              <a:solidFill>
                <a:srgbClr val="FF5050"/>
              </a:solidFill>
              <a:ln w="12700">
                <a:noFill/>
                <a:prstDash val="solid"/>
              </a:ln>
              <a:scene3d>
                <a:camera prst="orthographicFront"/>
                <a:lightRig rig="threePt" dir="t"/>
              </a:scene3d>
              <a:sp3d>
                <a:bevelT/>
              </a:sp3d>
            </c:spPr>
          </c:dPt>
          <c:dPt>
            <c:idx val="5"/>
            <c:bubble3D val="0"/>
            <c:spPr>
              <a:solidFill>
                <a:srgbClr val="990033"/>
              </a:solidFill>
              <a:ln w="12700">
                <a:noFill/>
                <a:prstDash val="solid"/>
              </a:ln>
              <a:scene3d>
                <a:camera prst="orthographicFront"/>
                <a:lightRig rig="threePt" dir="t"/>
              </a:scene3d>
              <a:sp3d>
                <a:bevelT/>
              </a:sp3d>
            </c:spPr>
          </c:dPt>
          <c:dLbls>
            <c:numFmt formatCode="0%" sourceLinked="0"/>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Graphiques!$D$13:$D$18</c:f>
              <c:strCache>
                <c:ptCount val="6"/>
                <c:pt idx="0">
                  <c:v>EP musées</c:v>
                </c:pt>
                <c:pt idx="1">
                  <c:v>EP autres</c:v>
                </c:pt>
                <c:pt idx="2">
                  <c:v>EP enseignement</c:v>
                </c:pt>
                <c:pt idx="3">
                  <c:v>SCN</c:v>
                </c:pt>
                <c:pt idx="4">
                  <c:v>DRAC</c:v>
                </c:pt>
                <c:pt idx="5">
                  <c:v>AC</c:v>
                </c:pt>
              </c:strCache>
            </c:strRef>
          </c:cat>
          <c:val>
            <c:numRef>
              <c:f>Graphiques!$E$13:$E$18</c:f>
              <c:numCache>
                <c:formatCode>General</c:formatCode>
                <c:ptCount val="6"/>
                <c:pt idx="0">
                  <c:v>123</c:v>
                </c:pt>
                <c:pt idx="1">
                  <c:v>91</c:v>
                </c:pt>
                <c:pt idx="2">
                  <c:v>23</c:v>
                </c:pt>
                <c:pt idx="3">
                  <c:v>32</c:v>
                </c:pt>
                <c:pt idx="4">
                  <c:v>50</c:v>
                </c:pt>
                <c:pt idx="5">
                  <c:v>28</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layout>
        <c:manualLayout>
          <c:xMode val="edge"/>
          <c:yMode val="edge"/>
          <c:x val="5.1922721988518557E-2"/>
          <c:y val="0.83932462419470288"/>
          <c:w val="0.91289109409269054"/>
          <c:h val="0.13340264853256978"/>
        </c:manualLayout>
      </c:layout>
      <c:overlay val="0"/>
      <c:spPr>
        <a:solidFill>
          <a:srgbClr val="FFFFFF"/>
        </a:solidFill>
        <a:ln w="25400">
          <a:noFill/>
        </a:ln>
      </c:spPr>
      <c:txPr>
        <a:bodyPr/>
        <a:lstStyle/>
        <a:p>
          <a:pPr>
            <a:defRPr sz="900"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6350">
      <a:noFill/>
    </a:ln>
  </c:spPr>
  <c:txPr>
    <a:bodyPr/>
    <a:lstStyle/>
    <a:p>
      <a:pPr>
        <a:defRPr sz="500" b="0" i="0" u="none" strike="noStrike" baseline="0">
          <a:solidFill>
            <a:srgbClr val="000000"/>
          </a:solidFill>
          <a:latin typeface="Arial"/>
          <a:ea typeface="Arial"/>
          <a:cs typeface="Arial"/>
        </a:defRPr>
      </a:pPr>
      <a:endParaRPr lang="fr-FR"/>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fr-FR" sz="1200">
                <a:latin typeface="Arial" panose="020B0604020202020204" pitchFamily="34" charset="0"/>
                <a:cs typeface="Arial" panose="020B0604020202020204" pitchFamily="34" charset="0"/>
              </a:rPr>
              <a:t>Evolution des dépenses par poste de 2011 à 2013</a:t>
            </a:r>
          </a:p>
        </c:rich>
      </c:tx>
      <c:layout/>
      <c:overlay val="0"/>
    </c:title>
    <c:autoTitleDeleted val="0"/>
    <c:plotArea>
      <c:layout/>
      <c:barChart>
        <c:barDir val="col"/>
        <c:grouping val="clustered"/>
        <c:varyColors val="1"/>
        <c:ser>
          <c:idx val="0"/>
          <c:order val="0"/>
          <c:tx>
            <c:strRef>
              <c:f>'pr histogramme (2)'!$F$7</c:f>
              <c:strCache>
                <c:ptCount val="1"/>
                <c:pt idx="0">
                  <c:v>2011</c:v>
                </c:pt>
              </c:strCache>
            </c:strRef>
          </c:tx>
          <c:spPr>
            <a:solidFill>
              <a:srgbClr val="CC3300"/>
            </a:solidFill>
            <a:ln w="12600">
              <a:solidFill>
                <a:srgbClr val="000000"/>
              </a:solidFill>
              <a:round/>
            </a:ln>
            <a:scene3d>
              <a:camera prst="orthographicFront"/>
              <a:lightRig rig="threePt" dir="t"/>
            </a:scene3d>
            <a:sp3d>
              <a:bevelT/>
            </a:sp3d>
          </c:spPr>
          <c:invertIfNegative val="1"/>
          <c:cat>
            <c:strRef>
              <c:f>'pr histogramme (2)'!$B$8:$E$17</c:f>
              <c:strCache>
                <c:ptCount val="7"/>
                <c:pt idx="0">
                  <c:v>Logement (parc MCC)</c:v>
                </c:pt>
                <c:pt idx="1">
                  <c:v>Restauration</c:v>
                </c:pt>
                <c:pt idx="2">
                  <c:v>associations de personnel</c:v>
                </c:pt>
                <c:pt idx="3">
                  <c:v>Accidents du travail</c:v>
                </c:pt>
                <c:pt idx="4">
                  <c:v>Prestations</c:v>
                </c:pt>
                <c:pt idx="5">
                  <c:v>médecine</c:v>
                </c:pt>
                <c:pt idx="6">
                  <c:v>Secours</c:v>
                </c:pt>
              </c:strCache>
            </c:strRef>
          </c:cat>
          <c:val>
            <c:numRef>
              <c:f>'pr histogramme (2)'!$F$8:$F$17</c:f>
              <c:numCache>
                <c:formatCode>0.0%</c:formatCode>
                <c:ptCount val="7"/>
                <c:pt idx="0">
                  <c:v>0.36980283954836501</c:v>
                </c:pt>
                <c:pt idx="1">
                  <c:v>0.17656721846649201</c:v>
                </c:pt>
                <c:pt idx="2">
                  <c:v>0.232397525787991</c:v>
                </c:pt>
                <c:pt idx="3">
                  <c:v>4.49568005043465E-2</c:v>
                </c:pt>
                <c:pt idx="4">
                  <c:v>4.6227002416843299E-2</c:v>
                </c:pt>
                <c:pt idx="5">
                  <c:v>2.8000000000000001E-2</c:v>
                </c:pt>
                <c:pt idx="6">
                  <c:v>3.8300276171440502E-2</c:v>
                </c:pt>
              </c:numCache>
            </c:numRef>
          </c:val>
          <c:extLst>
            <c:ext xmlns:c14="http://schemas.microsoft.com/office/drawing/2007/8/2/chart" uri="{6F2FDCE9-48DA-4B69-8628-5D25D57E5C99}">
              <c14:invertSolidFillFmt>
                <c14:spPr xmlns:c14="http://schemas.microsoft.com/office/drawing/2007/8/2/chart">
                  <a:solidFill>
                    <a:srgbClr val="FFFFFF"/>
                  </a:solidFill>
                  <a:ln w="12600">
                    <a:solidFill>
                      <a:srgbClr val="000000"/>
                    </a:solidFill>
                    <a:round/>
                  </a:ln>
                  <a:scene3d>
                    <a:camera prst="orthographicFront"/>
                    <a:lightRig rig="threePt" dir="t"/>
                  </a:scene3d>
                  <a:sp3d>
                    <a:bevelT/>
                  </a:sp3d>
                </c14:spPr>
              </c14:invertSolidFillFmt>
            </c:ext>
          </c:extLst>
        </c:ser>
        <c:ser>
          <c:idx val="1"/>
          <c:order val="1"/>
          <c:tx>
            <c:strRef>
              <c:f>'pr histogramme (2)'!$G$7</c:f>
              <c:strCache>
                <c:ptCount val="1"/>
                <c:pt idx="0">
                  <c:v>2012</c:v>
                </c:pt>
              </c:strCache>
            </c:strRef>
          </c:tx>
          <c:spPr>
            <a:solidFill>
              <a:srgbClr val="FF9900"/>
            </a:solidFill>
            <a:ln w="12600">
              <a:solidFill>
                <a:srgbClr val="000000"/>
              </a:solidFill>
              <a:round/>
            </a:ln>
            <a:scene3d>
              <a:camera prst="orthographicFront"/>
              <a:lightRig rig="threePt" dir="t"/>
            </a:scene3d>
            <a:sp3d>
              <a:bevelT/>
            </a:sp3d>
          </c:spPr>
          <c:invertIfNegative val="1"/>
          <c:cat>
            <c:strRef>
              <c:f>'pr histogramme (2)'!$B$8:$E$17</c:f>
              <c:strCache>
                <c:ptCount val="7"/>
                <c:pt idx="0">
                  <c:v>Logement (parc MCC)</c:v>
                </c:pt>
                <c:pt idx="1">
                  <c:v>Restauration</c:v>
                </c:pt>
                <c:pt idx="2">
                  <c:v>associations de personnel</c:v>
                </c:pt>
                <c:pt idx="3">
                  <c:v>Accidents du travail</c:v>
                </c:pt>
                <c:pt idx="4">
                  <c:v>Prestations</c:v>
                </c:pt>
                <c:pt idx="5">
                  <c:v>médecine</c:v>
                </c:pt>
                <c:pt idx="6">
                  <c:v>Secours</c:v>
                </c:pt>
              </c:strCache>
            </c:strRef>
          </c:cat>
          <c:val>
            <c:numRef>
              <c:f>'pr histogramme (2)'!$G$8:$G$17</c:f>
              <c:numCache>
                <c:formatCode>0.00%</c:formatCode>
                <c:ptCount val="7"/>
                <c:pt idx="0">
                  <c:v>0.27200000000000002</c:v>
                </c:pt>
                <c:pt idx="1">
                  <c:v>0.184</c:v>
                </c:pt>
                <c:pt idx="2">
                  <c:v>0.247</c:v>
                </c:pt>
                <c:pt idx="3">
                  <c:v>0.05</c:v>
                </c:pt>
                <c:pt idx="4">
                  <c:v>8.5999999999999993E-2</c:v>
                </c:pt>
                <c:pt idx="5">
                  <c:v>8.9999999999999993E-3</c:v>
                </c:pt>
                <c:pt idx="6">
                  <c:v>4.3999999999999997E-2</c:v>
                </c:pt>
              </c:numCache>
            </c:numRef>
          </c:val>
          <c:extLst>
            <c:ext xmlns:c14="http://schemas.microsoft.com/office/drawing/2007/8/2/chart" uri="{6F2FDCE9-48DA-4B69-8628-5D25D57E5C99}">
              <c14:invertSolidFillFmt>
                <c14:spPr xmlns:c14="http://schemas.microsoft.com/office/drawing/2007/8/2/chart">
                  <a:solidFill>
                    <a:srgbClr val="FFFFFF"/>
                  </a:solidFill>
                  <a:ln w="12600">
                    <a:solidFill>
                      <a:srgbClr val="000000"/>
                    </a:solidFill>
                    <a:round/>
                  </a:ln>
                  <a:scene3d>
                    <a:camera prst="orthographicFront"/>
                    <a:lightRig rig="threePt" dir="t"/>
                  </a:scene3d>
                  <a:sp3d>
                    <a:bevelT/>
                  </a:sp3d>
                </c14:spPr>
              </c14:invertSolidFillFmt>
            </c:ext>
          </c:extLst>
        </c:ser>
        <c:ser>
          <c:idx val="2"/>
          <c:order val="2"/>
          <c:tx>
            <c:strRef>
              <c:f>'pr histogramme (2)'!$H$7</c:f>
              <c:strCache>
                <c:ptCount val="1"/>
                <c:pt idx="0">
                  <c:v>2013</c:v>
                </c:pt>
              </c:strCache>
            </c:strRef>
          </c:tx>
          <c:spPr>
            <a:solidFill>
              <a:srgbClr val="FFCF9F"/>
            </a:solidFill>
            <a:ln w="12600">
              <a:solidFill>
                <a:srgbClr val="000000"/>
              </a:solidFill>
              <a:round/>
            </a:ln>
            <a:scene3d>
              <a:camera prst="orthographicFront"/>
              <a:lightRig rig="threePt" dir="t"/>
            </a:scene3d>
            <a:sp3d>
              <a:bevelT/>
            </a:sp3d>
          </c:spPr>
          <c:invertIfNegative val="1"/>
          <c:cat>
            <c:strRef>
              <c:f>'pr histogramme (2)'!$B$8:$E$17</c:f>
              <c:strCache>
                <c:ptCount val="7"/>
                <c:pt idx="0">
                  <c:v>Logement (parc MCC)</c:v>
                </c:pt>
                <c:pt idx="1">
                  <c:v>Restauration</c:v>
                </c:pt>
                <c:pt idx="2">
                  <c:v>associations de personnel</c:v>
                </c:pt>
                <c:pt idx="3">
                  <c:v>Accidents du travail</c:v>
                </c:pt>
                <c:pt idx="4">
                  <c:v>Prestations</c:v>
                </c:pt>
                <c:pt idx="5">
                  <c:v>médecine</c:v>
                </c:pt>
                <c:pt idx="6">
                  <c:v>Secours</c:v>
                </c:pt>
              </c:strCache>
            </c:strRef>
          </c:cat>
          <c:val>
            <c:numRef>
              <c:f>'pr histogramme (2)'!$H$8:$H$17</c:f>
              <c:numCache>
                <c:formatCode>0.0%</c:formatCode>
                <c:ptCount val="7"/>
                <c:pt idx="0">
                  <c:v>0.245</c:v>
                </c:pt>
                <c:pt idx="1">
                  <c:v>0.188</c:v>
                </c:pt>
                <c:pt idx="2">
                  <c:v>0.24099999999999999</c:v>
                </c:pt>
                <c:pt idx="3">
                  <c:v>5.0999999999999997E-2</c:v>
                </c:pt>
                <c:pt idx="4">
                  <c:v>0.111</c:v>
                </c:pt>
                <c:pt idx="5">
                  <c:v>2.1999999999999999E-2</c:v>
                </c:pt>
                <c:pt idx="6">
                  <c:v>4.3999999999999997E-2</c:v>
                </c:pt>
              </c:numCache>
            </c:numRef>
          </c:val>
          <c:extLst>
            <c:ext xmlns:c14="http://schemas.microsoft.com/office/drawing/2007/8/2/chart" uri="{6F2FDCE9-48DA-4B69-8628-5D25D57E5C99}">
              <c14:invertSolidFillFmt>
                <c14:spPr xmlns:c14="http://schemas.microsoft.com/office/drawing/2007/8/2/chart">
                  <a:solidFill>
                    <a:srgbClr val="FFFFFF"/>
                  </a:solidFill>
                  <a:ln w="12600">
                    <a:solidFill>
                      <a:srgbClr val="000000"/>
                    </a:solidFill>
                    <a:round/>
                  </a:ln>
                  <a:scene3d>
                    <a:camera prst="orthographicFront"/>
                    <a:lightRig rig="threePt" dir="t"/>
                  </a:scene3d>
                  <a:sp3d>
                    <a:bevelT/>
                  </a:sp3d>
                </c14:spPr>
              </c14:invertSolidFillFmt>
            </c:ext>
          </c:extLst>
        </c:ser>
        <c:dLbls>
          <c:showLegendKey val="0"/>
          <c:showVal val="0"/>
          <c:showCatName val="0"/>
          <c:showSerName val="0"/>
          <c:showPercent val="0"/>
          <c:showBubbleSize val="0"/>
        </c:dLbls>
        <c:gapWidth val="150"/>
        <c:axId val="235585408"/>
        <c:axId val="235585968"/>
      </c:barChart>
      <c:catAx>
        <c:axId val="235585408"/>
        <c:scaling>
          <c:orientation val="minMax"/>
        </c:scaling>
        <c:delete val="0"/>
        <c:axPos val="b"/>
        <c:numFmt formatCode="General" sourceLinked="0"/>
        <c:majorTickMark val="out"/>
        <c:minorTickMark val="none"/>
        <c:tickLblPos val="nextTo"/>
        <c:spPr>
          <a:ln>
            <a:solidFill>
              <a:srgbClr val="B3B3B3"/>
            </a:solidFill>
          </a:ln>
        </c:spPr>
        <c:crossAx val="235585968"/>
        <c:crossesAt val="0"/>
        <c:auto val="1"/>
        <c:lblAlgn val="ctr"/>
        <c:lblOffset val="100"/>
        <c:noMultiLvlLbl val="1"/>
      </c:catAx>
      <c:valAx>
        <c:axId val="235585968"/>
        <c:scaling>
          <c:orientation val="minMax"/>
        </c:scaling>
        <c:delete val="0"/>
        <c:axPos val="l"/>
        <c:majorGridlines>
          <c:spPr>
            <a:ln>
              <a:solidFill>
                <a:schemeClr val="bg1">
                  <a:lumMod val="65000"/>
                </a:schemeClr>
              </a:solidFill>
            </a:ln>
          </c:spPr>
        </c:majorGridlines>
        <c:numFmt formatCode="0.0%" sourceLinked="1"/>
        <c:majorTickMark val="out"/>
        <c:minorTickMark val="none"/>
        <c:tickLblPos val="nextTo"/>
        <c:crossAx val="235585408"/>
        <c:crossesAt val="1"/>
        <c:crossBetween val="between"/>
      </c:valAx>
      <c:dTable>
        <c:showHorzBorder val="1"/>
        <c:showVertBorder val="1"/>
        <c:showOutline val="1"/>
        <c:showKeys val="1"/>
        <c:spPr>
          <a:solidFill>
            <a:srgbClr val="FFFFFF"/>
          </a:solidFill>
        </c:spPr>
      </c:dTable>
      <c:spPr>
        <a:noFill/>
        <a:ln w="12600">
          <a:noFill/>
          <a:round/>
        </a:ln>
      </c:spPr>
    </c:plotArea>
    <c:plotVisOnly val="1"/>
    <c:dispBlanksAs val="zero"/>
    <c:showDLblsOverMax val="1"/>
  </c:chart>
  <c:spPr>
    <a:solidFill>
      <a:srgbClr val="FFFFFF"/>
    </a:solidFill>
    <a:ln>
      <a:noFill/>
    </a:ln>
  </c:sp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871030150553728"/>
          <c:y val="0.25166129980021151"/>
          <c:w val="0.31476477472671832"/>
          <c:h val="0.46463039135033501"/>
        </c:manualLayout>
      </c:layout>
      <c:pieChart>
        <c:varyColors val="1"/>
        <c:ser>
          <c:idx val="0"/>
          <c:order val="0"/>
          <c:spPr>
            <a:solidFill>
              <a:srgbClr val="9999FF"/>
            </a:solidFill>
            <a:ln w="12700">
              <a:solidFill>
                <a:srgbClr val="000000"/>
              </a:solidFill>
              <a:prstDash val="solid"/>
            </a:ln>
            <a:scene3d>
              <a:camera prst="orthographicFront"/>
              <a:lightRig rig="threePt" dir="t"/>
            </a:scene3d>
            <a:sp3d>
              <a:bevelT/>
            </a:sp3d>
          </c:spPr>
          <c:dPt>
            <c:idx val="0"/>
            <c:bubble3D val="0"/>
            <c:spPr>
              <a:solidFill>
                <a:srgbClr val="F5B68B"/>
              </a:solidFill>
              <a:ln w="12700">
                <a:solidFill>
                  <a:srgbClr val="000000"/>
                </a:solidFill>
                <a:prstDash val="solid"/>
              </a:ln>
              <a:scene3d>
                <a:camera prst="orthographicFront"/>
                <a:lightRig rig="threePt" dir="t"/>
              </a:scene3d>
              <a:sp3d>
                <a:bevelT/>
              </a:sp3d>
            </c:spPr>
          </c:dPt>
          <c:dPt>
            <c:idx val="1"/>
            <c:bubble3D val="0"/>
            <c:spPr>
              <a:solidFill>
                <a:srgbClr val="800000"/>
              </a:solidFill>
              <a:ln w="12700">
                <a:solidFill>
                  <a:srgbClr val="000000"/>
                </a:solidFill>
                <a:prstDash val="solid"/>
              </a:ln>
              <a:scene3d>
                <a:camera prst="orthographicFront"/>
                <a:lightRig rig="threePt" dir="t"/>
              </a:scene3d>
              <a:sp3d>
                <a:bevelT/>
              </a:sp3d>
            </c:spPr>
          </c:dPt>
          <c:dPt>
            <c:idx val="2"/>
            <c:bubble3D val="0"/>
            <c:spPr>
              <a:solidFill>
                <a:srgbClr val="993300"/>
              </a:solidFill>
              <a:ln w="12700">
                <a:solidFill>
                  <a:srgbClr val="000000"/>
                </a:solidFill>
                <a:prstDash val="solid"/>
              </a:ln>
              <a:scene3d>
                <a:camera prst="orthographicFront"/>
                <a:lightRig rig="threePt" dir="t"/>
              </a:scene3d>
              <a:sp3d>
                <a:bevelT/>
              </a:sp3d>
            </c:spPr>
          </c:dPt>
          <c:dPt>
            <c:idx val="3"/>
            <c:bubble3D val="0"/>
            <c:spPr>
              <a:solidFill>
                <a:srgbClr val="CC3300"/>
              </a:solidFill>
              <a:ln w="12700">
                <a:solidFill>
                  <a:srgbClr val="000000"/>
                </a:solidFill>
                <a:prstDash val="solid"/>
              </a:ln>
              <a:scene3d>
                <a:camera prst="orthographicFront"/>
                <a:lightRig rig="threePt" dir="t"/>
              </a:scene3d>
              <a:sp3d>
                <a:bevelT/>
              </a:sp3d>
            </c:spPr>
          </c:dPt>
          <c:dPt>
            <c:idx val="4"/>
            <c:bubble3D val="0"/>
            <c:spPr>
              <a:solidFill>
                <a:srgbClr val="CC6600"/>
              </a:solidFill>
              <a:ln w="12700">
                <a:solidFill>
                  <a:srgbClr val="D76213"/>
                </a:solidFill>
                <a:prstDash val="solid"/>
              </a:ln>
              <a:scene3d>
                <a:camera prst="orthographicFront"/>
                <a:lightRig rig="threePt" dir="t"/>
              </a:scene3d>
              <a:sp3d>
                <a:bevelT/>
              </a:sp3d>
            </c:spPr>
          </c:dPt>
          <c:dPt>
            <c:idx val="5"/>
            <c:bubble3D val="0"/>
            <c:spPr>
              <a:solidFill>
                <a:srgbClr val="FF9900"/>
              </a:solidFill>
              <a:ln w="12700">
                <a:solidFill>
                  <a:srgbClr val="000000"/>
                </a:solidFill>
                <a:prstDash val="solid"/>
              </a:ln>
              <a:scene3d>
                <a:camera prst="orthographicFront"/>
                <a:lightRig rig="threePt" dir="t"/>
              </a:scene3d>
              <a:sp3d>
                <a:bevelT/>
              </a:sp3d>
            </c:spPr>
          </c:dPt>
          <c:dPt>
            <c:idx val="6"/>
            <c:bubble3D val="0"/>
            <c:spPr>
              <a:solidFill>
                <a:srgbClr val="FF9966"/>
              </a:solidFill>
              <a:ln w="12700">
                <a:solidFill>
                  <a:srgbClr val="000000"/>
                </a:solidFill>
                <a:prstDash val="solid"/>
              </a:ln>
              <a:scene3d>
                <a:camera prst="orthographicFront"/>
                <a:lightRig rig="threePt" dir="t"/>
              </a:scene3d>
              <a:sp3d>
                <a:bevelT/>
              </a:sp3d>
            </c:spPr>
          </c:dPt>
          <c:dPt>
            <c:idx val="7"/>
            <c:bubble3D val="0"/>
            <c:spPr>
              <a:solidFill>
                <a:srgbClr val="FFBA97"/>
              </a:solidFill>
              <a:ln w="12700">
                <a:solidFill>
                  <a:srgbClr val="000000"/>
                </a:solidFill>
                <a:prstDash val="solid"/>
              </a:ln>
              <a:scene3d>
                <a:camera prst="orthographicFront"/>
                <a:lightRig rig="threePt" dir="t"/>
              </a:scene3d>
              <a:sp3d>
                <a:bevelT/>
              </a:sp3d>
            </c:spPr>
          </c:dPt>
          <c:dPt>
            <c:idx val="8"/>
            <c:bubble3D val="0"/>
            <c:spPr>
              <a:solidFill>
                <a:srgbClr val="FBE5D6"/>
              </a:solidFill>
              <a:ln w="12700">
                <a:solidFill>
                  <a:srgbClr val="000000"/>
                </a:solidFill>
                <a:prstDash val="solid"/>
              </a:ln>
              <a:scene3d>
                <a:camera prst="orthographicFront"/>
                <a:lightRig rig="threePt" dir="t"/>
              </a:scene3d>
              <a:sp3d>
                <a:bevelT/>
              </a:sp3d>
            </c:spPr>
          </c:dPt>
          <c:dLbls>
            <c:dLbl>
              <c:idx val="3"/>
              <c:layout>
                <c:manualLayout>
                  <c:x val="8.4381583242438482E-2"/>
                  <c:y val="2.3189563991068279E-2"/>
                </c:manualLayout>
              </c:layout>
              <c:numFmt formatCode="0.0%" sourceLinked="0"/>
              <c:spPr>
                <a:noFill/>
                <a:ln w="25400">
                  <a:noFill/>
                </a:ln>
              </c:spPr>
              <c:txPr>
                <a:bodyPr/>
                <a:lstStyle/>
                <a:p>
                  <a:pPr algn="ctr" rtl="1">
                    <a:defRPr sz="1075" b="0" i="0" u="none" strike="noStrike" baseline="0">
                      <a:solidFill>
                        <a:srgbClr val="000000"/>
                      </a:solidFill>
                      <a:latin typeface="Arial"/>
                      <a:ea typeface="Arial"/>
                      <a:cs typeface="Arial"/>
                    </a:defRPr>
                  </a:pPr>
                  <a:endParaRPr lang="fr-FR"/>
                </a:p>
              </c:txPr>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4.0295693574198141E-2"/>
                  <c:y val="5.9394523445763313E-2"/>
                </c:manualLayout>
              </c:layout>
              <c:numFmt formatCode="0.0%" sourceLinked="0"/>
              <c:spPr>
                <a:noFill/>
                <a:ln w="25400">
                  <a:noFill/>
                </a:ln>
              </c:spPr>
              <c:txPr>
                <a:bodyPr/>
                <a:lstStyle/>
                <a:p>
                  <a:pPr algn="ctr" rtl="1">
                    <a:defRPr sz="1075"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5.573529294682452E-2"/>
                  <c:y val="6.3117405100481846E-2"/>
                </c:manualLayout>
              </c:layout>
              <c:numFmt formatCode="0.0%" sourceLinked="0"/>
              <c:spPr>
                <a:noFill/>
                <a:ln w="25400">
                  <a:noFill/>
                </a:ln>
              </c:spPr>
              <c:txPr>
                <a:bodyPr/>
                <a:lstStyle/>
                <a:p>
                  <a:pPr algn="ctr" rtl="1">
                    <a:defRPr sz="1075" b="0" i="0" u="none" strike="noStrike" baseline="0">
                      <a:solidFill>
                        <a:srgbClr val="000000"/>
                      </a:solidFill>
                      <a:latin typeface="Arial"/>
                      <a:ea typeface="Arial"/>
                      <a:cs typeface="Arial"/>
                    </a:defRPr>
                  </a:pPr>
                  <a:endParaRPr lang="fr-FR"/>
                </a:p>
              </c:txPr>
              <c:dLblPos val="bestFit"/>
              <c:showLegendKey val="0"/>
              <c:showVal val="0"/>
              <c:showCatName val="0"/>
              <c:showSerName val="0"/>
              <c:showPercent val="1"/>
              <c:showBubbleSize val="0"/>
              <c:extLst>
                <c:ext xmlns:c15="http://schemas.microsoft.com/office/drawing/2012/chart" uri="{CE6537A1-D6FC-4f65-9D91-7224C49458BB}">
                  <c15:layout/>
                </c:ext>
              </c:extLst>
            </c:dLbl>
            <c:numFmt formatCode="0.0%" sourceLinked="0"/>
            <c:spPr>
              <a:noFill/>
              <a:ln w="25400">
                <a:noFill/>
              </a:ln>
            </c:spPr>
            <c:txPr>
              <a:bodyPr wrap="square" lIns="38100" tIns="19050" rIns="38100" bIns="19050" anchor="ctr">
                <a:spAutoFit/>
              </a:bodyPr>
              <a:lstStyle/>
              <a:p>
                <a:pPr algn="ctr" rtl="1">
                  <a:defRPr sz="1075"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Feuil1!$D$6:$D$14</c:f>
              <c:strCache>
                <c:ptCount val="9"/>
                <c:pt idx="0">
                  <c:v>Frais médecine de prévention administration centrale (vaccins, etc.)</c:v>
                </c:pt>
                <c:pt idx="1">
                  <c:v>Autres dépenses (abonnements, renouvellement carte culture, …)</c:v>
                </c:pt>
                <c:pt idx="2">
                  <c:v>Honoraires médicaux médecine statutaire</c:v>
                </c:pt>
                <c:pt idx="3">
                  <c:v>Conventions médicales</c:v>
                </c:pt>
                <c:pt idx="4">
                  <c:v>Protection sociale complémentaire</c:v>
                </c:pt>
                <c:pt idx="5">
                  <c:v>Handicap (aménagement de postes, France entière)</c:v>
                </c:pt>
                <c:pt idx="6">
                  <c:v>Restauration Collective</c:v>
                </c:pt>
                <c:pt idx="7">
                  <c:v>Subventions aux associations de personnel</c:v>
                </c:pt>
                <c:pt idx="8">
                  <c:v>Logement (parc MCC)</c:v>
                </c:pt>
              </c:strCache>
            </c:strRef>
          </c:cat>
          <c:val>
            <c:numRef>
              <c:f>Feuil1!$E$6:$E$14</c:f>
              <c:numCache>
                <c:formatCode>General</c:formatCode>
                <c:ptCount val="9"/>
                <c:pt idx="0">
                  <c:v>8416</c:v>
                </c:pt>
                <c:pt idx="1">
                  <c:v>13575</c:v>
                </c:pt>
                <c:pt idx="2">
                  <c:v>44550</c:v>
                </c:pt>
                <c:pt idx="3">
                  <c:v>48342</c:v>
                </c:pt>
                <c:pt idx="4">
                  <c:v>237717</c:v>
                </c:pt>
                <c:pt idx="5">
                  <c:v>249022</c:v>
                </c:pt>
                <c:pt idx="6">
                  <c:v>988346</c:v>
                </c:pt>
                <c:pt idx="7">
                  <c:v>1268994</c:v>
                </c:pt>
                <c:pt idx="8">
                  <c:v>1289500</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5511317404839053"/>
          <c:y val="0.14930849688565048"/>
          <c:w val="0.32538012627086943"/>
          <c:h val="0.77729016335644607"/>
        </c:manualLayout>
      </c:layout>
      <c:overlay val="0"/>
      <c:spPr>
        <a:solidFill>
          <a:srgbClr val="FFFFFF"/>
        </a:solidFill>
        <a:ln w="25400">
          <a:noFill/>
        </a:ln>
      </c:spPr>
      <c:txPr>
        <a:bodyPr/>
        <a:lstStyle/>
        <a:p>
          <a:pPr>
            <a:defRPr sz="900"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6350">
      <a:noFill/>
    </a:ln>
  </c:spPr>
  <c:txPr>
    <a:bodyPr/>
    <a:lstStyle/>
    <a:p>
      <a:pPr>
        <a:defRPr sz="1200" b="0" i="0" u="none" strike="noStrike" baseline="0">
          <a:solidFill>
            <a:srgbClr val="000000"/>
          </a:solidFill>
          <a:latin typeface="Arial"/>
          <a:ea typeface="Arial"/>
          <a:cs typeface="Arial"/>
        </a:defRPr>
      </a:pPr>
      <a:endParaRPr lang="fr-FR"/>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1"/>
              <a:t>Alimentation des CET en 2013</a:t>
            </a:r>
          </a:p>
        </c:rich>
      </c:tx>
      <c:layout/>
      <c:overlay val="0"/>
      <c:spPr>
        <a:noFill/>
        <a:ln>
          <a:noFill/>
        </a:ln>
        <a:effectLst/>
      </c:spPr>
    </c:title>
    <c:autoTitleDeleted val="0"/>
    <c:plotArea>
      <c:layout>
        <c:manualLayout>
          <c:layoutTarget val="inner"/>
          <c:xMode val="edge"/>
          <c:yMode val="edge"/>
          <c:x val="5.4543109856932621E-2"/>
          <c:y val="0.19118556701030928"/>
          <c:w val="0.50447013487475911"/>
          <c:h val="0.67479381443298969"/>
        </c:manualLayout>
      </c:layout>
      <c:pieChart>
        <c:varyColors val="1"/>
        <c:ser>
          <c:idx val="0"/>
          <c:order val="0"/>
          <c:spPr>
            <a:solidFill>
              <a:schemeClr val="bg1">
                <a:lumMod val="75000"/>
              </a:schemeClr>
            </a:solidFill>
          </c:spPr>
          <c:explosion val="6"/>
          <c:dPt>
            <c:idx val="0"/>
            <c:bubble3D val="0"/>
            <c:spPr>
              <a:solidFill>
                <a:srgbClr val="FF00FF"/>
              </a:solidFill>
              <a:ln w="19050">
                <a:solidFill>
                  <a:schemeClr val="lt1"/>
                </a:solidFill>
              </a:ln>
              <a:effectLst/>
              <a:scene3d>
                <a:camera prst="orthographicFront"/>
                <a:lightRig rig="threePt" dir="t"/>
              </a:scene3d>
              <a:sp3d>
                <a:bevelT/>
              </a:sp3d>
            </c:spPr>
          </c:dPt>
          <c:dPt>
            <c:idx val="1"/>
            <c:bubble3D val="0"/>
            <c:spPr>
              <a:solidFill>
                <a:schemeClr val="bg1">
                  <a:lumMod val="75000"/>
                </a:schemeClr>
              </a:solidFill>
              <a:ln w="19050">
                <a:solidFill>
                  <a:schemeClr val="lt1"/>
                </a:solidFill>
              </a:ln>
              <a:effectLst/>
              <a:scene3d>
                <a:camera prst="orthographicFront"/>
                <a:lightRig rig="threePt" dir="t"/>
              </a:scene3d>
              <a:sp3d>
                <a:bevelT/>
              </a:sp3d>
            </c:spPr>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'TB BS'!$A$7:$A$8</c:f>
              <c:strCache>
                <c:ptCount val="2"/>
                <c:pt idx="0">
                  <c:v>Congé annuel</c:v>
                </c:pt>
                <c:pt idx="1">
                  <c:v>RTT</c:v>
                </c:pt>
              </c:strCache>
            </c:strRef>
          </c:cat>
          <c:val>
            <c:numRef>
              <c:f>'TB BS'!$B$7:$B$8</c:f>
              <c:numCache>
                <c:formatCode>#,##0</c:formatCode>
                <c:ptCount val="2"/>
                <c:pt idx="0">
                  <c:v>18579.5</c:v>
                </c:pt>
                <c:pt idx="1">
                  <c:v>7594.5</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fr-FR"/>
              <a:t>Effectifs ventilés par catégorie et filière au 31/12/2013
</a:t>
            </a:r>
          </a:p>
        </c:rich>
      </c:tx>
      <c:layout>
        <c:manualLayout>
          <c:xMode val="edge"/>
          <c:yMode val="edge"/>
          <c:x val="0.23650075339705309"/>
          <c:y val="1.9003051648961128E-2"/>
        </c:manualLayout>
      </c:layout>
      <c:overlay val="0"/>
      <c:spPr>
        <a:noFill/>
        <a:ln w="25400">
          <a:noFill/>
        </a:ln>
      </c:spPr>
    </c:title>
    <c:autoTitleDeleted val="0"/>
    <c:plotArea>
      <c:layout>
        <c:manualLayout>
          <c:layoutTarget val="inner"/>
          <c:xMode val="edge"/>
          <c:yMode val="edge"/>
          <c:x val="9.990118031427242E-2"/>
          <c:y val="0.20665818668245228"/>
          <c:w val="0.8399854344791885"/>
          <c:h val="0.57721769383719435"/>
        </c:manualLayout>
      </c:layout>
      <c:barChart>
        <c:barDir val="col"/>
        <c:grouping val="percentStacked"/>
        <c:varyColors val="0"/>
        <c:ser>
          <c:idx val="0"/>
          <c:order val="0"/>
          <c:tx>
            <c:strRef>
              <c:f>'[1.A.3 Par filière et catégorie en ETP.xls]Graph'!$A$6</c:f>
              <c:strCache>
                <c:ptCount val="1"/>
                <c:pt idx="0">
                  <c:v>A+</c:v>
                </c:pt>
              </c:strCache>
            </c:strRef>
          </c:tx>
          <c:spPr>
            <a:solidFill>
              <a:srgbClr val="CC99FF"/>
            </a:solidFill>
            <a:ln w="25400">
              <a:noFill/>
            </a:ln>
            <a:scene3d>
              <a:camera prst="orthographicFront"/>
              <a:lightRig rig="threePt" dir="t"/>
            </a:scene3d>
            <a:sp3d>
              <a:bevelT/>
            </a:sp3d>
          </c:spPr>
          <c:invertIfNegative val="0"/>
          <c:dLbls>
            <c:dLbl>
              <c:idx val="0"/>
              <c:layout>
                <c:manualLayout>
                  <c:x val="5.1472465024440563E-3"/>
                  <c:y val="-2.0165709690089214E-3"/>
                </c:manualLayout>
              </c:layout>
              <c:spPr>
                <a:noFill/>
                <a:ln w="25400">
                  <a:noFill/>
                </a:ln>
              </c:spPr>
              <c:txPr>
                <a:bodyPr/>
                <a:lstStyle/>
                <a:p>
                  <a:pPr>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5164182458843271E-3"/>
                  <c:y val="-6.7073147923017934E-3"/>
                </c:manualLayout>
              </c:layout>
              <c:spPr>
                <a:noFill/>
                <a:ln w="25400">
                  <a:noFill/>
                </a:ln>
              </c:spPr>
              <c:txPr>
                <a:bodyPr/>
                <a:lstStyle/>
                <a:p>
                  <a:pPr>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9046369203848022E-3"/>
                  <c:y val="-1.4663250229113285E-3"/>
                </c:manualLayout>
              </c:layout>
              <c:spPr>
                <a:noFill/>
                <a:ln w="25400">
                  <a:noFill/>
                </a:ln>
              </c:spPr>
              <c:txPr>
                <a:bodyPr/>
                <a:lstStyle/>
                <a:p>
                  <a:pPr>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([1]Graph!$H$5,[1]Graph!$H$12,[1]Graph!$H$18,[1]Graph!$H$25,[1]Graph!$H$29)</c:f>
              <c:strCache>
                <c:ptCount val="5"/>
                <c:pt idx="0">
                  <c:v>Filière administrative</c:v>
                </c:pt>
                <c:pt idx="1">
                  <c:v>Filière scientifique</c:v>
                </c:pt>
                <c:pt idx="2">
                  <c:v>Filière technique et enseignement</c:v>
                </c:pt>
                <c:pt idx="3">
                  <c:v>Filière accueil, surveillance et magasinage</c:v>
                </c:pt>
                <c:pt idx="4">
                  <c:v>Agents non titulaires</c:v>
                </c:pt>
              </c:strCache>
            </c:strRef>
          </c:cat>
          <c:val>
            <c:numRef>
              <c:f>([1]Graph!$E$6,[1]Graph!$E$13,[1]Graph!$E$19,[1]Graph!$F$25,[1]Graph!$E$30)</c:f>
              <c:numCache>
                <c:formatCode>0%</c:formatCode>
                <c:ptCount val="5"/>
                <c:pt idx="0">
                  <c:v>3.0050308944187462E-2</c:v>
                </c:pt>
                <c:pt idx="1">
                  <c:v>0.12264106546190409</c:v>
                </c:pt>
                <c:pt idx="2">
                  <c:v>1.3797581365148933E-2</c:v>
                </c:pt>
                <c:pt idx="4">
                  <c:v>6.4879794161712953E-2</c:v>
                </c:pt>
              </c:numCache>
            </c:numRef>
          </c:val>
        </c:ser>
        <c:ser>
          <c:idx val="1"/>
          <c:order val="1"/>
          <c:tx>
            <c:strRef>
              <c:f>'[1.A.3 Par filière et catégorie en ETP.xls]Graph'!$A$7</c:f>
              <c:strCache>
                <c:ptCount val="1"/>
                <c:pt idx="0">
                  <c:v>A</c:v>
                </c:pt>
              </c:strCache>
            </c:strRef>
          </c:tx>
          <c:spPr>
            <a:solidFill>
              <a:srgbClr val="C0C0C0"/>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([1]Graph!$H$5,[1]Graph!$H$12,[1]Graph!$H$18,[1]Graph!$H$25,[1]Graph!$H$29)</c:f>
              <c:strCache>
                <c:ptCount val="5"/>
                <c:pt idx="0">
                  <c:v>Filière administrative</c:v>
                </c:pt>
                <c:pt idx="1">
                  <c:v>Filière scientifique</c:v>
                </c:pt>
                <c:pt idx="2">
                  <c:v>Filière technique et enseignement</c:v>
                </c:pt>
                <c:pt idx="3">
                  <c:v>Filière accueil, surveillance et magasinage</c:v>
                </c:pt>
                <c:pt idx="4">
                  <c:v>Agents non titulaires</c:v>
                </c:pt>
              </c:strCache>
            </c:strRef>
          </c:cat>
          <c:val>
            <c:numRef>
              <c:f>([1]Graph!$E$7,[1]Graph!$E$14,[1]Graph!$E$20,[1]Graph!$F$25,[1]Graph!$E$31)</c:f>
              <c:numCache>
                <c:formatCode>0%</c:formatCode>
                <c:ptCount val="5"/>
                <c:pt idx="0">
                  <c:v>0.23641827328898946</c:v>
                </c:pt>
                <c:pt idx="1">
                  <c:v>0.72088098263447697</c:v>
                </c:pt>
                <c:pt idx="2">
                  <c:v>0.45414333252171091</c:v>
                </c:pt>
                <c:pt idx="4">
                  <c:v>0.6643701554599194</c:v>
                </c:pt>
              </c:numCache>
            </c:numRef>
          </c:val>
        </c:ser>
        <c:ser>
          <c:idx val="2"/>
          <c:order val="2"/>
          <c:tx>
            <c:strRef>
              <c:f>'[1.A.3 Par filière et catégorie en ETP.xls]Graph'!$A$8</c:f>
              <c:strCache>
                <c:ptCount val="1"/>
                <c:pt idx="0">
                  <c:v>B</c:v>
                </c:pt>
              </c:strCache>
            </c:strRef>
          </c:tx>
          <c:spPr>
            <a:solidFill>
              <a:srgbClr val="FF99CC"/>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([1]Graph!$H$5,[1]Graph!$H$12,[1]Graph!$H$18,[1]Graph!$H$25,[1]Graph!$H$29)</c:f>
              <c:strCache>
                <c:ptCount val="5"/>
                <c:pt idx="0">
                  <c:v>Filière administrative</c:v>
                </c:pt>
                <c:pt idx="1">
                  <c:v>Filière scientifique</c:v>
                </c:pt>
                <c:pt idx="2">
                  <c:v>Filière technique et enseignement</c:v>
                </c:pt>
                <c:pt idx="3">
                  <c:v>Filière accueil, surveillance et magasinage</c:v>
                </c:pt>
                <c:pt idx="4">
                  <c:v>Agents non titulaires</c:v>
                </c:pt>
              </c:strCache>
            </c:strRef>
          </c:cat>
          <c:val>
            <c:numRef>
              <c:f>([1]Graph!$E$8,[1]Graph!$E$15,[1]Graph!$E$21,[1]Graph!$F$25,[1]Graph!$E$32)</c:f>
              <c:numCache>
                <c:formatCode>0%</c:formatCode>
                <c:ptCount val="5"/>
                <c:pt idx="0">
                  <c:v>0.21771280008103455</c:v>
                </c:pt>
                <c:pt idx="1">
                  <c:v>0.15647795190361899</c:v>
                </c:pt>
                <c:pt idx="2">
                  <c:v>0.36709682655628606</c:v>
                </c:pt>
                <c:pt idx="4">
                  <c:v>0.15034054339669814</c:v>
                </c:pt>
              </c:numCache>
            </c:numRef>
          </c:val>
        </c:ser>
        <c:ser>
          <c:idx val="3"/>
          <c:order val="3"/>
          <c:tx>
            <c:strRef>
              <c:f>'[1.A.3 Par filière et catégorie en ETP.xls]Graph'!$A$9</c:f>
              <c:strCache>
                <c:ptCount val="1"/>
                <c:pt idx="0">
                  <c:v>C</c:v>
                </c:pt>
              </c:strCache>
            </c:strRef>
          </c:tx>
          <c:spPr>
            <a:solidFill>
              <a:srgbClr val="FF00FF"/>
            </a:solidFill>
            <a:ln w="25400">
              <a:noFill/>
            </a:ln>
            <a:scene3d>
              <a:camera prst="orthographicFront"/>
              <a:lightRig rig="threePt" dir="t"/>
            </a:scene3d>
            <a:sp3d>
              <a:bevelT/>
            </a:sp3d>
          </c:spPr>
          <c:invertIfNegative val="0"/>
          <c:dLbls>
            <c:dLbl>
              <c:idx val="4"/>
              <c:layout>
                <c:manualLayout>
                  <c:x val="2.4560638210224806E-3"/>
                  <c:y val="2.0659058422027032E-3"/>
                </c:manualLayout>
              </c:layout>
              <c:spPr>
                <a:noFill/>
                <a:ln w="25400">
                  <a:noFill/>
                </a:ln>
              </c:spPr>
              <c:txPr>
                <a:bodyPr/>
                <a:lstStyle/>
                <a:p>
                  <a:pPr>
                    <a:defRPr sz="9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9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([1]Graph!$E$9,[1]Graph!$F$12,[1]Graph!$E$22,[1]Graph!$E$26,[1]Graph!$E$33)</c:f>
              <c:numCache>
                <c:formatCode>General</c:formatCode>
                <c:ptCount val="5"/>
                <c:pt idx="0" formatCode="0%">
                  <c:v>0.51581861768578852</c:v>
                </c:pt>
                <c:pt idx="2" formatCode="0%">
                  <c:v>0.16496225955685417</c:v>
                </c:pt>
                <c:pt idx="3" formatCode="0%">
                  <c:v>1</c:v>
                </c:pt>
                <c:pt idx="4" formatCode="0%">
                  <c:v>0.12040950698166945</c:v>
                </c:pt>
              </c:numCache>
            </c:numRef>
          </c:val>
        </c:ser>
        <c:dLbls>
          <c:showLegendKey val="0"/>
          <c:showVal val="1"/>
          <c:showCatName val="0"/>
          <c:showSerName val="0"/>
          <c:showPercent val="0"/>
          <c:showBubbleSize val="0"/>
        </c:dLbls>
        <c:gapWidth val="150"/>
        <c:overlap val="100"/>
        <c:axId val="167888544"/>
        <c:axId val="167889104"/>
      </c:barChart>
      <c:catAx>
        <c:axId val="167888544"/>
        <c:scaling>
          <c:orientation val="minMax"/>
        </c:scaling>
        <c:delete val="0"/>
        <c:axPos val="b"/>
        <c:numFmt formatCode="General" sourceLinked="1"/>
        <c:majorTickMark val="out"/>
        <c:minorTickMark val="none"/>
        <c:tickLblPos val="nextTo"/>
        <c:spPr>
          <a:ln w="3175">
            <a:solidFill>
              <a:srgbClr val="C0C0C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167889104"/>
        <c:crosses val="autoZero"/>
        <c:auto val="1"/>
        <c:lblAlgn val="ctr"/>
        <c:lblOffset val="100"/>
        <c:tickLblSkip val="1"/>
        <c:tickMarkSkip val="1"/>
        <c:noMultiLvlLbl val="0"/>
      </c:catAx>
      <c:valAx>
        <c:axId val="167889104"/>
        <c:scaling>
          <c:orientation val="minMax"/>
        </c:scaling>
        <c:delete val="0"/>
        <c:axPos val="l"/>
        <c:majorGridlines>
          <c:spPr>
            <a:ln w="3175">
              <a:solidFill>
                <a:srgbClr val="C0C0C0"/>
              </a:solidFill>
              <a:prstDash val="solid"/>
            </a:ln>
          </c:spPr>
        </c:majorGridlines>
        <c:numFmt formatCode="0%" sourceLinked="1"/>
        <c:majorTickMark val="out"/>
        <c:minorTickMark val="none"/>
        <c:tickLblPos val="nextTo"/>
        <c:spPr>
          <a:ln w="3175">
            <a:solidFill>
              <a:srgbClr val="C0C0C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167888544"/>
        <c:crosses val="autoZero"/>
        <c:crossBetween val="between"/>
        <c:majorUnit val="0.2"/>
      </c:valAx>
      <c:spPr>
        <a:solidFill>
          <a:srgbClr val="FFFFFF"/>
        </a:solidFill>
        <a:ln w="3175">
          <a:solidFill>
            <a:srgbClr val="C0C0C0"/>
          </a:solidFill>
          <a:prstDash val="solid"/>
        </a:ln>
      </c:spPr>
    </c:plotArea>
    <c:legend>
      <c:legendPos val="r"/>
      <c:layout>
        <c:manualLayout>
          <c:xMode val="edge"/>
          <c:yMode val="edge"/>
          <c:x val="0.94600301358821237"/>
          <c:y val="0.3230518780323392"/>
          <c:w val="4.0775991965009153E-2"/>
          <c:h val="0.40619022899654417"/>
        </c:manualLayout>
      </c:layout>
      <c:overlay val="0"/>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a:ea typeface="Arial"/>
          <a:cs typeface="Arial"/>
        </a:defRPr>
      </a:pPr>
      <a:endParaRPr lang="fr-F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75" b="1" i="0" u="none" strike="noStrike" baseline="0">
                <a:solidFill>
                  <a:srgbClr val="000000"/>
                </a:solidFill>
                <a:latin typeface="Arial"/>
                <a:ea typeface="Arial"/>
                <a:cs typeface="Arial"/>
              </a:defRPr>
            </a:pPr>
            <a:r>
              <a:rPr lang="fr-FR"/>
              <a:t>Effectifs ventilés par type de structure et catégorie au 31/12/2013</a:t>
            </a:r>
          </a:p>
        </c:rich>
      </c:tx>
      <c:layout>
        <c:manualLayout>
          <c:xMode val="edge"/>
          <c:yMode val="edge"/>
          <c:x val="0.14819464453047093"/>
          <c:y val="3.522617653508929E-2"/>
        </c:manualLayout>
      </c:layout>
      <c:overlay val="0"/>
      <c:spPr>
        <a:noFill/>
        <a:ln w="25400">
          <a:noFill/>
        </a:ln>
      </c:spPr>
    </c:title>
    <c:autoTitleDeleted val="0"/>
    <c:plotArea>
      <c:layout>
        <c:manualLayout>
          <c:layoutTarget val="inner"/>
          <c:xMode val="edge"/>
          <c:yMode val="edge"/>
          <c:x val="8.2998190208173436E-2"/>
          <c:y val="0.15483603412682465"/>
          <c:w val="0.74473198972872079"/>
          <c:h val="0.68791895792608293"/>
        </c:manualLayout>
      </c:layout>
      <c:barChart>
        <c:barDir val="col"/>
        <c:grouping val="percentStacked"/>
        <c:varyColors val="0"/>
        <c:ser>
          <c:idx val="0"/>
          <c:order val="0"/>
          <c:tx>
            <c:v>Catégorie A+</c:v>
          </c:tx>
          <c:spPr>
            <a:solidFill>
              <a:srgbClr val="CC99FF"/>
            </a:solidFill>
            <a:ln w="25400">
              <a:noFill/>
            </a:ln>
            <a:scene3d>
              <a:camera prst="orthographicFront"/>
              <a:lightRig rig="threePt" dir="t"/>
            </a:scene3d>
            <a:sp3d>
              <a:bevelT/>
            </a:sp3d>
          </c:spPr>
          <c:invertIfNegative val="0"/>
          <c:dLbls>
            <c:dLbl>
              <c:idx val="1"/>
              <c:layout>
                <c:manualLayout>
                  <c:x val="1.977305920683028E-3"/>
                  <c:y val="-3.3650190114068577E-2"/>
                </c:manualLayout>
              </c:layout>
              <c:spPr>
                <a:noFill/>
                <a:ln w="25400">
                  <a:noFill/>
                </a:ln>
              </c:spPr>
              <c:txPr>
                <a:bodyPr/>
                <a:lstStyle/>
                <a:p>
                  <a:pPr algn="ctr" rtl="1">
                    <a:defRPr sz="8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3829933290694578E-3"/>
                  <c:y val="-2.6709978743151404E-2"/>
                </c:manualLayout>
              </c:layout>
              <c:spPr>
                <a:noFill/>
                <a:ln w="25400">
                  <a:noFill/>
                </a:ln>
              </c:spPr>
              <c:txPr>
                <a:bodyPr/>
                <a:lstStyle/>
                <a:p>
                  <a:pPr algn="ctr" rtl="1">
                    <a:defRPr sz="8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7198810714889152E-3"/>
                  <c:y val="-3.12796024071137E-2"/>
                </c:manualLayout>
              </c:layout>
              <c:spPr>
                <a:noFill/>
                <a:ln w="25400">
                  <a:noFill/>
                </a:ln>
              </c:spPr>
              <c:txPr>
                <a:bodyPr/>
                <a:lstStyle/>
                <a:p>
                  <a:pPr algn="ctr" rtl="1">
                    <a:defRPr sz="800" b="0"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lgn="ctr" rtl="1">
                  <a:defRPr sz="8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[1]Graph!$A$4:$A$8</c:f>
              <c:strCache>
                <c:ptCount val="5"/>
                <c:pt idx="0">
                  <c:v>AC</c:v>
                </c:pt>
                <c:pt idx="1">
                  <c:v>EP</c:v>
                </c:pt>
                <c:pt idx="2">
                  <c:v>SCN</c:v>
                </c:pt>
                <c:pt idx="3">
                  <c:v>DRAC</c:v>
                </c:pt>
                <c:pt idx="4">
                  <c:v>AD/BMC</c:v>
                </c:pt>
              </c:strCache>
            </c:strRef>
          </c:cat>
          <c:val>
            <c:numRef>
              <c:f>[1]Graph!$AE$4:$AE$8</c:f>
              <c:numCache>
                <c:formatCode>0%</c:formatCode>
                <c:ptCount val="5"/>
                <c:pt idx="0">
                  <c:v>0.11690064229972595</c:v>
                </c:pt>
                <c:pt idx="1">
                  <c:v>1.8348337063029258E-2</c:v>
                </c:pt>
                <c:pt idx="2">
                  <c:v>3.2771921172487818E-2</c:v>
                </c:pt>
                <c:pt idx="3">
                  <c:v>3.5823215809528637E-2</c:v>
                </c:pt>
                <c:pt idx="4">
                  <c:v>9.3558834112990291E-2</c:v>
                </c:pt>
              </c:numCache>
            </c:numRef>
          </c:val>
        </c:ser>
        <c:ser>
          <c:idx val="1"/>
          <c:order val="1"/>
          <c:tx>
            <c:v>Catégorie A</c:v>
          </c:tx>
          <c:spPr>
            <a:solidFill>
              <a:srgbClr val="FF00FF"/>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lgn="ctr" rtl="1">
                  <a:defRPr sz="8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[1]Graph!$A$4:$A$8</c:f>
              <c:strCache>
                <c:ptCount val="5"/>
                <c:pt idx="0">
                  <c:v>AC</c:v>
                </c:pt>
                <c:pt idx="1">
                  <c:v>EP</c:v>
                </c:pt>
                <c:pt idx="2">
                  <c:v>SCN</c:v>
                </c:pt>
                <c:pt idx="3">
                  <c:v>DRAC</c:v>
                </c:pt>
                <c:pt idx="4">
                  <c:v>AD/BMC</c:v>
                </c:pt>
              </c:strCache>
            </c:strRef>
          </c:cat>
          <c:val>
            <c:numRef>
              <c:f>[1]Graph!$AG$4:$AG$8</c:f>
              <c:numCache>
                <c:formatCode>0%</c:formatCode>
                <c:ptCount val="5"/>
                <c:pt idx="0">
                  <c:v>0.45984057576835374</c:v>
                </c:pt>
                <c:pt idx="1">
                  <c:v>0.40401679076711683</c:v>
                </c:pt>
                <c:pt idx="2">
                  <c:v>0.24298318671085053</c:v>
                </c:pt>
                <c:pt idx="3">
                  <c:v>0.41133331643559007</c:v>
                </c:pt>
                <c:pt idx="4">
                  <c:v>0.73731558114429663</c:v>
                </c:pt>
              </c:numCache>
            </c:numRef>
          </c:val>
        </c:ser>
        <c:ser>
          <c:idx val="2"/>
          <c:order val="2"/>
          <c:tx>
            <c:v>Catégorie B</c:v>
          </c:tx>
          <c:spPr>
            <a:solidFill>
              <a:srgbClr val="FF99CC"/>
            </a:solidFill>
            <a:ln w="25400">
              <a:noFill/>
            </a:ln>
            <a:scene3d>
              <a:camera prst="orthographicFront"/>
              <a:lightRig rig="threePt" dir="t"/>
            </a:scene3d>
            <a:sp3d>
              <a:bevelT/>
            </a:sp3d>
          </c:spPr>
          <c:invertIfNegative val="0"/>
          <c:dLbls>
            <c:dLbl>
              <c:idx val="4"/>
              <c:spPr>
                <a:noFill/>
                <a:ln w="25400">
                  <a:noFill/>
                </a:ln>
              </c:spPr>
              <c:txPr>
                <a:bodyPr/>
                <a:lstStyle/>
                <a:p>
                  <a:pPr algn="ctr" rtl="1">
                    <a:defRPr sz="8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dLbl>
            <c:spPr>
              <a:noFill/>
              <a:ln w="25400">
                <a:noFill/>
              </a:ln>
            </c:spPr>
            <c:txPr>
              <a:bodyPr wrap="square" lIns="38100" tIns="19050" rIns="38100" bIns="19050" anchor="ctr">
                <a:spAutoFit/>
              </a:bodyPr>
              <a:lstStyle/>
              <a:p>
                <a:pPr algn="ctr" rtl="1">
                  <a:defRPr sz="8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[1]Graph!$A$4:$A$8</c:f>
              <c:strCache>
                <c:ptCount val="5"/>
                <c:pt idx="0">
                  <c:v>AC</c:v>
                </c:pt>
                <c:pt idx="1">
                  <c:v>EP</c:v>
                </c:pt>
                <c:pt idx="2">
                  <c:v>SCN</c:v>
                </c:pt>
                <c:pt idx="3">
                  <c:v>DRAC</c:v>
                </c:pt>
                <c:pt idx="4">
                  <c:v>AD/BMC</c:v>
                </c:pt>
              </c:strCache>
            </c:strRef>
          </c:cat>
          <c:val>
            <c:numRef>
              <c:f>[1]Graph!$AI$4:$AI$8</c:f>
              <c:numCache>
                <c:formatCode>0%</c:formatCode>
                <c:ptCount val="5"/>
                <c:pt idx="0">
                  <c:v>0.15407347741490054</c:v>
                </c:pt>
                <c:pt idx="1">
                  <c:v>0.15876748103835281</c:v>
                </c:pt>
                <c:pt idx="2">
                  <c:v>0.2780691402797919</c:v>
                </c:pt>
                <c:pt idx="3">
                  <c:v>0.23335783506112759</c:v>
                </c:pt>
                <c:pt idx="4">
                  <c:v>0.16552716804605974</c:v>
                </c:pt>
              </c:numCache>
            </c:numRef>
          </c:val>
        </c:ser>
        <c:ser>
          <c:idx val="3"/>
          <c:order val="3"/>
          <c:tx>
            <c:v>Catégorie C</c:v>
          </c:tx>
          <c:spPr>
            <a:solidFill>
              <a:srgbClr val="C0C0C0"/>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lgn="ctr" rtl="1">
                  <a:defRPr sz="800" b="0"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[1]Graph!$AK$4:$AK$8</c:f>
              <c:numCache>
                <c:formatCode>0%</c:formatCode>
                <c:ptCount val="5"/>
                <c:pt idx="0">
                  <c:v>0.26918530451701994</c:v>
                </c:pt>
                <c:pt idx="1">
                  <c:v>0.41886739113150123</c:v>
                </c:pt>
                <c:pt idx="2">
                  <c:v>0.44617575183686981</c:v>
                </c:pt>
                <c:pt idx="3">
                  <c:v>0.31948563269375369</c:v>
                </c:pt>
              </c:numCache>
            </c:numRef>
          </c:val>
        </c:ser>
        <c:dLbls>
          <c:showLegendKey val="0"/>
          <c:showVal val="1"/>
          <c:showCatName val="0"/>
          <c:showSerName val="0"/>
          <c:showPercent val="0"/>
          <c:showBubbleSize val="0"/>
        </c:dLbls>
        <c:gapWidth val="150"/>
        <c:overlap val="100"/>
        <c:axId val="168174688"/>
        <c:axId val="168175248"/>
      </c:barChart>
      <c:catAx>
        <c:axId val="168174688"/>
        <c:scaling>
          <c:orientation val="minMax"/>
        </c:scaling>
        <c:delete val="0"/>
        <c:axPos val="b"/>
        <c:numFmt formatCode="General" sourceLinked="1"/>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168175248"/>
        <c:crosses val="autoZero"/>
        <c:auto val="1"/>
        <c:lblAlgn val="ctr"/>
        <c:lblOffset val="100"/>
        <c:tickLblSkip val="1"/>
        <c:tickMarkSkip val="1"/>
        <c:noMultiLvlLbl val="0"/>
      </c:catAx>
      <c:valAx>
        <c:axId val="168175248"/>
        <c:scaling>
          <c:orientation val="minMax"/>
        </c:scaling>
        <c:delete val="1"/>
        <c:axPos val="l"/>
        <c:majorGridlines>
          <c:spPr>
            <a:ln w="3175">
              <a:solidFill>
                <a:srgbClr val="C0C0C0"/>
              </a:solidFill>
              <a:prstDash val="solid"/>
            </a:ln>
          </c:spPr>
        </c:majorGridlines>
        <c:numFmt formatCode="0%" sourceLinked="1"/>
        <c:majorTickMark val="out"/>
        <c:minorTickMark val="none"/>
        <c:tickLblPos val="nextTo"/>
        <c:crossAx val="168174688"/>
        <c:crosses val="autoZero"/>
        <c:crossBetween val="between"/>
      </c:valAx>
      <c:spPr>
        <a:noFill/>
        <a:ln w="25400">
          <a:noFill/>
        </a:ln>
      </c:spPr>
    </c:plotArea>
    <c:legend>
      <c:legendPos val="r"/>
      <c:layout>
        <c:manualLayout>
          <c:xMode val="edge"/>
          <c:yMode val="edge"/>
          <c:x val="0.83373628258745858"/>
          <c:y val="0.34051970650586316"/>
          <c:w val="0.15158841501590156"/>
          <c:h val="0.29550848093324905"/>
        </c:manualLayout>
      </c:layout>
      <c:overlay val="0"/>
      <c:spPr>
        <a:solidFill>
          <a:srgbClr val="FFFFFF"/>
        </a:solidFill>
        <a:ln w="25400">
          <a:noFill/>
        </a:ln>
      </c:spPr>
      <c:txPr>
        <a:bodyPr/>
        <a:lstStyle/>
        <a:p>
          <a:pPr>
            <a:defRPr sz="90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800" b="0" i="0" u="none" strike="noStrike" baseline="0">
          <a:solidFill>
            <a:srgbClr val="000000"/>
          </a:solidFill>
          <a:latin typeface="Arial"/>
          <a:ea typeface="Arial"/>
          <a:cs typeface="Arial"/>
        </a:defRPr>
      </a:pPr>
      <a:endParaRPr lang="fr-F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75" b="1" i="0" u="none" strike="noStrike" baseline="0">
                <a:solidFill>
                  <a:srgbClr val="000000"/>
                </a:solidFill>
                <a:latin typeface="Arial"/>
                <a:ea typeface="Arial"/>
                <a:cs typeface="Arial"/>
              </a:defRPr>
            </a:pPr>
            <a:r>
              <a:rPr lang="fr-FR"/>
              <a:t>Effectifs ventilés par type de structure et filière au 31/12/2013</a:t>
            </a:r>
          </a:p>
        </c:rich>
      </c:tx>
      <c:layout>
        <c:manualLayout>
          <c:xMode val="edge"/>
          <c:yMode val="edge"/>
          <c:x val="0.17412814261161516"/>
          <c:y val="4.687684668100181E-2"/>
        </c:manualLayout>
      </c:layout>
      <c:overlay val="0"/>
      <c:spPr>
        <a:noFill/>
        <a:ln w="25400">
          <a:noFill/>
        </a:ln>
      </c:spPr>
    </c:title>
    <c:autoTitleDeleted val="0"/>
    <c:plotArea>
      <c:layout>
        <c:manualLayout>
          <c:layoutTarget val="inner"/>
          <c:xMode val="edge"/>
          <c:yMode val="edge"/>
          <c:x val="1.9591754568187708E-2"/>
          <c:y val="0.19059591982820329"/>
          <c:w val="0.71708717374795161"/>
          <c:h val="0.61979765790572827"/>
        </c:manualLayout>
      </c:layout>
      <c:barChart>
        <c:barDir val="col"/>
        <c:grouping val="percentStacked"/>
        <c:varyColors val="0"/>
        <c:ser>
          <c:idx val="0"/>
          <c:order val="0"/>
          <c:tx>
            <c:strRef>
              <c:f>'[1.A.4 Par type de structure, filière et cat.xls]Graph'!$B$1</c:f>
              <c:strCache>
                <c:ptCount val="1"/>
                <c:pt idx="0">
                  <c:v>Filière administrative</c:v>
                </c:pt>
              </c:strCache>
            </c:strRef>
          </c:tx>
          <c:spPr>
            <a:solidFill>
              <a:srgbClr val="FF00FF"/>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lgn="ctr" rtl="1">
                  <a:defRPr sz="800" b="1"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[1]Graph!$A$4:$A$8</c:f>
              <c:strCache>
                <c:ptCount val="5"/>
                <c:pt idx="0">
                  <c:v>AC</c:v>
                </c:pt>
                <c:pt idx="1">
                  <c:v>EP</c:v>
                </c:pt>
                <c:pt idx="2">
                  <c:v>SCN</c:v>
                </c:pt>
                <c:pt idx="3">
                  <c:v>DRAC</c:v>
                </c:pt>
                <c:pt idx="4">
                  <c:v>AD/BMC</c:v>
                </c:pt>
              </c:strCache>
            </c:strRef>
          </c:cat>
          <c:val>
            <c:numRef>
              <c:f>[1]Graph!$G$4:$G$8</c:f>
              <c:numCache>
                <c:formatCode>0%</c:formatCode>
                <c:ptCount val="5"/>
                <c:pt idx="0">
                  <c:v>0.44338556813189123</c:v>
                </c:pt>
                <c:pt idx="1">
                  <c:v>0.1514757159758971</c:v>
                </c:pt>
                <c:pt idx="2">
                  <c:v>0.10204443937483944</c:v>
                </c:pt>
                <c:pt idx="3">
                  <c:v>0.53346175618246183</c:v>
                </c:pt>
              </c:numCache>
            </c:numRef>
          </c:val>
        </c:ser>
        <c:ser>
          <c:idx val="1"/>
          <c:order val="1"/>
          <c:tx>
            <c:strRef>
              <c:f>'[1.A.4 Par type de structure, filière et cat.xls]Graph'!$H$1</c:f>
              <c:strCache>
                <c:ptCount val="1"/>
                <c:pt idx="0">
                  <c:v>Filière scientifique</c:v>
                </c:pt>
              </c:strCache>
            </c:strRef>
          </c:tx>
          <c:spPr>
            <a:solidFill>
              <a:srgbClr val="C0C0C0"/>
            </a:solidFill>
            <a:ln w="25400">
              <a:noFill/>
            </a:ln>
            <a:scene3d>
              <a:camera prst="orthographicFront"/>
              <a:lightRig rig="threePt" dir="t"/>
            </a:scene3d>
            <a:sp3d>
              <a:bevelT/>
            </a:sp3d>
          </c:spPr>
          <c:invertIfNegative val="0"/>
          <c:dLbls>
            <c:spPr>
              <a:noFill/>
              <a:ln w="25400">
                <a:noFill/>
              </a:ln>
            </c:spPr>
            <c:txPr>
              <a:bodyPr wrap="square" lIns="38100" tIns="19050" rIns="38100" bIns="19050" anchor="ctr">
                <a:spAutoFit/>
              </a:bodyPr>
              <a:lstStyle/>
              <a:p>
                <a:pPr algn="ctr" rtl="1">
                  <a:defRPr sz="800" b="1"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[1]Graph!$L$4:$L$8</c:f>
              <c:numCache>
                <c:formatCode>0%</c:formatCode>
                <c:ptCount val="5"/>
                <c:pt idx="0">
                  <c:v>0.18777329121074549</c:v>
                </c:pt>
                <c:pt idx="1">
                  <c:v>0.10315842837658672</c:v>
                </c:pt>
                <c:pt idx="2">
                  <c:v>0.21672561480376859</c:v>
                </c:pt>
                <c:pt idx="3">
                  <c:v>0.27374344156337921</c:v>
                </c:pt>
                <c:pt idx="4">
                  <c:v>0.98920474991003959</c:v>
                </c:pt>
              </c:numCache>
            </c:numRef>
          </c:val>
        </c:ser>
        <c:ser>
          <c:idx val="2"/>
          <c:order val="2"/>
          <c:tx>
            <c:strRef>
              <c:f>'[1.A.4 Par type de structure, filière et cat.xls]Graph'!$M$1</c:f>
              <c:strCache>
                <c:ptCount val="1"/>
                <c:pt idx="0">
                  <c:v>Filière technique et enseignement</c:v>
                </c:pt>
              </c:strCache>
            </c:strRef>
          </c:tx>
          <c:spPr>
            <a:solidFill>
              <a:srgbClr val="FF99CC"/>
            </a:solidFill>
            <a:ln w="25400">
              <a:noFill/>
            </a:ln>
            <a:scene3d>
              <a:camera prst="orthographicFront"/>
              <a:lightRig rig="threePt" dir="t"/>
            </a:scene3d>
            <a:sp3d>
              <a:bevelT/>
            </a:sp3d>
          </c:spPr>
          <c:invertIfNegative val="0"/>
          <c:dLbls>
            <c:dLbl>
              <c:idx val="0"/>
              <c:layout>
                <c:manualLayout>
                  <c:x val="1.6648940115883831E-3"/>
                  <c:y val="-5.099053122434194E-3"/>
                </c:manualLayout>
              </c:layout>
              <c:spPr>
                <a:noFill/>
                <a:ln w="25400">
                  <a:noFill/>
                </a:ln>
              </c:spPr>
              <c:txPr>
                <a:bodyPr/>
                <a:lstStyle/>
                <a:p>
                  <a:pPr algn="ctr" rtl="1">
                    <a:defRPr sz="800" b="1"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5347952034214796E-3"/>
                  <c:y val="1.181568093319918E-2"/>
                </c:manualLayout>
              </c:layout>
              <c:spPr>
                <a:noFill/>
                <a:ln w="25400">
                  <a:noFill/>
                </a:ln>
              </c:spPr>
              <c:txPr>
                <a:bodyPr/>
                <a:lstStyle/>
                <a:p>
                  <a:pPr algn="ctr" rtl="1">
                    <a:defRPr sz="800" b="1"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Mode val="edge"/>
                  <c:yMode val="edge"/>
                  <c:x val="0.75726390483125539"/>
                  <c:y val="0.19493818678335989"/>
                </c:manualLayout>
              </c:layout>
              <c:spPr>
                <a:noFill/>
                <a:ln w="25400">
                  <a:noFill/>
                </a:ln>
              </c:spPr>
              <c:txPr>
                <a:bodyPr/>
                <a:lstStyle/>
                <a:p>
                  <a:pPr algn="ctr" rtl="1">
                    <a:defRPr sz="800" b="1"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wrap="square" lIns="38100" tIns="19050" rIns="38100" bIns="19050" anchor="ctr">
                <a:spAutoFit/>
              </a:bodyPr>
              <a:lstStyle/>
              <a:p>
                <a:pPr algn="ctr" rtl="1">
                  <a:defRPr sz="800" b="1"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[1]Graph!$R$4:$R$8</c:f>
              <c:numCache>
                <c:formatCode>0%</c:formatCode>
                <c:ptCount val="5"/>
                <c:pt idx="0">
                  <c:v>5.4553633073205439E-2</c:v>
                </c:pt>
                <c:pt idx="1">
                  <c:v>0.35881192478812773</c:v>
                </c:pt>
                <c:pt idx="2">
                  <c:v>0.27370275656977483</c:v>
                </c:pt>
                <c:pt idx="3">
                  <c:v>0.12056539849103153</c:v>
                </c:pt>
              </c:numCache>
            </c:numRef>
          </c:val>
        </c:ser>
        <c:ser>
          <c:idx val="3"/>
          <c:order val="3"/>
          <c:tx>
            <c:strRef>
              <c:f>'[1.A.4 Par type de structure, filière et cat.xls]Graph'!$S$1</c:f>
              <c:strCache>
                <c:ptCount val="1"/>
                <c:pt idx="0">
                  <c:v>Filière Acc. Surv. Mag.</c:v>
                </c:pt>
              </c:strCache>
            </c:strRef>
          </c:tx>
          <c:spPr>
            <a:solidFill>
              <a:srgbClr val="808080"/>
            </a:solidFill>
            <a:ln w="25400">
              <a:noFill/>
            </a:ln>
            <a:scene3d>
              <a:camera prst="orthographicFront"/>
              <a:lightRig rig="threePt" dir="t"/>
            </a:scene3d>
            <a:sp3d>
              <a:bevelT/>
            </a:sp3d>
          </c:spPr>
          <c:invertIfNegative val="0"/>
          <c:dLbls>
            <c:dLbl>
              <c:idx val="0"/>
              <c:layout>
                <c:manualLayout>
                  <c:x val="8.4794173396536693E-3"/>
                  <c:y val="-5.960834397107484E-3"/>
                </c:manualLayout>
              </c:layout>
              <c:spPr>
                <a:noFill/>
                <a:ln w="25400">
                  <a:noFill/>
                </a:ln>
              </c:spPr>
              <c:txPr>
                <a:bodyPr/>
                <a:lstStyle/>
                <a:p>
                  <a:pPr algn="ctr" rtl="1">
                    <a:defRPr sz="800" b="1"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7.1165229020706544E-3"/>
                  <c:y val="2.4262048664447367E-3"/>
                </c:manualLayout>
              </c:layout>
              <c:spPr>
                <a:noFill/>
                <a:ln w="25400">
                  <a:noFill/>
                </a:ln>
              </c:spPr>
              <c:txPr>
                <a:bodyPr/>
                <a:lstStyle/>
                <a:p>
                  <a:pPr algn="ctr" rtl="1">
                    <a:defRPr sz="800" b="1"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Mode val="edge"/>
                  <c:yMode val="edge"/>
                  <c:x val="0.76833750523936151"/>
                  <c:y val="0.15984931316235512"/>
                </c:manualLayout>
              </c:layout>
              <c:spPr>
                <a:noFill/>
                <a:ln w="25400">
                  <a:noFill/>
                </a:ln>
              </c:spPr>
              <c:txPr>
                <a:bodyPr/>
                <a:lstStyle/>
                <a:p>
                  <a:pPr algn="ctr" rtl="1">
                    <a:defRPr sz="800" b="1"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wrap="square" lIns="38100" tIns="19050" rIns="38100" bIns="19050" anchor="ctr">
                <a:spAutoFit/>
              </a:bodyPr>
              <a:lstStyle/>
              <a:p>
                <a:pPr algn="ctr" rtl="1">
                  <a:defRPr sz="800" b="1"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[1]Graph!$U$4:$U$8</c:f>
              <c:numCache>
                <c:formatCode>0%</c:formatCode>
                <c:ptCount val="5"/>
                <c:pt idx="0">
                  <c:v>3.6927003786848552E-2</c:v>
                </c:pt>
                <c:pt idx="1">
                  <c:v>0.27010564338217397</c:v>
                </c:pt>
                <c:pt idx="2">
                  <c:v>0.29992677962007597</c:v>
                </c:pt>
                <c:pt idx="3">
                  <c:v>7.5194957713397388E-3</c:v>
                </c:pt>
              </c:numCache>
            </c:numRef>
          </c:val>
        </c:ser>
        <c:ser>
          <c:idx val="4"/>
          <c:order val="4"/>
          <c:tx>
            <c:strRef>
              <c:f>'[1.A.4 Par type de structure, filière et cat.xls]Graph'!$V$1</c:f>
              <c:strCache>
                <c:ptCount val="1"/>
                <c:pt idx="0">
                  <c:v>Agents non titulaires</c:v>
                </c:pt>
              </c:strCache>
            </c:strRef>
          </c:tx>
          <c:spPr>
            <a:solidFill>
              <a:srgbClr val="CC99FF"/>
            </a:solidFill>
            <a:ln w="25400">
              <a:noFill/>
            </a:ln>
            <a:scene3d>
              <a:camera prst="orthographicFront"/>
              <a:lightRig rig="threePt" dir="t"/>
            </a:scene3d>
            <a:sp3d>
              <a:bevelT/>
            </a:sp3d>
          </c:spPr>
          <c:invertIfNegative val="0"/>
          <c:dLbls>
            <c:dLbl>
              <c:idx val="3"/>
              <c:layout>
                <c:manualLayout>
                  <c:x val="2.0056304060216412E-3"/>
                  <c:y val="-7.1775082457774808E-3"/>
                </c:manualLayout>
              </c:layout>
              <c:spPr>
                <a:noFill/>
                <a:ln w="25400">
                  <a:noFill/>
                </a:ln>
              </c:spPr>
              <c:txPr>
                <a:bodyPr/>
                <a:lstStyle/>
                <a:p>
                  <a:pPr algn="ctr" rtl="1">
                    <a:defRPr sz="800" b="1"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3150583630894275E-4"/>
                  <c:y val="-2.0033232585259991E-2"/>
                </c:manualLayout>
              </c:layout>
              <c:spPr>
                <a:noFill/>
                <a:ln w="25400">
                  <a:noFill/>
                </a:ln>
              </c:spPr>
              <c:txPr>
                <a:bodyPr/>
                <a:lstStyle/>
                <a:p>
                  <a:pPr algn="ctr" rtl="1">
                    <a:defRPr sz="800" b="1" i="0" u="none" strike="noStrike" baseline="0">
                      <a:solidFill>
                        <a:srgbClr val="000000"/>
                      </a:solidFill>
                      <a:latin typeface="Arial"/>
                      <a:ea typeface="Arial"/>
                      <a:cs typeface="Arial"/>
                    </a:defRPr>
                  </a:pPr>
                  <a:endParaRPr lang="fr-FR"/>
                </a:p>
              </c:txPr>
              <c:dLblPos val="ct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lgn="ctr" rtl="1">
                  <a:defRPr sz="800" b="1" i="0" u="none" strike="noStrike" baseline="0">
                    <a:solidFill>
                      <a:srgbClr val="000000"/>
                    </a:solidFill>
                    <a:latin typeface="Arial"/>
                    <a:ea typeface="Arial"/>
                    <a:cs typeface="Arial"/>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[1]Graph!$AA$4:$AA$8</c:f>
              <c:numCache>
                <c:formatCode>0%</c:formatCode>
                <c:ptCount val="5"/>
                <c:pt idx="0">
                  <c:v>0.27736050379730948</c:v>
                </c:pt>
                <c:pt idx="1">
                  <c:v>0.11644828747721468</c:v>
                </c:pt>
                <c:pt idx="2">
                  <c:v>0.1076004096315413</c:v>
                </c:pt>
                <c:pt idx="3">
                  <c:v>6.4709907991787705E-2</c:v>
                </c:pt>
                <c:pt idx="4">
                  <c:v>7.1968333933069457E-3</c:v>
                </c:pt>
              </c:numCache>
            </c:numRef>
          </c:val>
        </c:ser>
        <c:dLbls>
          <c:showLegendKey val="0"/>
          <c:showVal val="1"/>
          <c:showCatName val="0"/>
          <c:showSerName val="0"/>
          <c:showPercent val="0"/>
          <c:showBubbleSize val="0"/>
        </c:dLbls>
        <c:gapWidth val="150"/>
        <c:overlap val="100"/>
        <c:axId val="168179728"/>
        <c:axId val="168180288"/>
      </c:barChart>
      <c:catAx>
        <c:axId val="168179728"/>
        <c:scaling>
          <c:orientation val="minMax"/>
        </c:scaling>
        <c:delete val="0"/>
        <c:axPos val="b"/>
        <c:numFmt formatCode="General" sourceLinked="1"/>
        <c:majorTickMark val="out"/>
        <c:minorTickMark val="none"/>
        <c:tickLblPos val="nextTo"/>
        <c:spPr>
          <a:ln w="3175">
            <a:solidFill>
              <a:srgbClr val="C0C0C0"/>
            </a:solidFill>
            <a:prstDash val="solid"/>
          </a:ln>
        </c:spPr>
        <c:txPr>
          <a:bodyPr rot="0" vert="horz"/>
          <a:lstStyle/>
          <a:p>
            <a:pPr>
              <a:defRPr sz="900" b="0" i="0" u="none" strike="noStrike" baseline="0">
                <a:solidFill>
                  <a:srgbClr val="000000"/>
                </a:solidFill>
                <a:latin typeface="Arial"/>
                <a:ea typeface="Arial"/>
                <a:cs typeface="Arial"/>
              </a:defRPr>
            </a:pPr>
            <a:endParaRPr lang="fr-FR"/>
          </a:p>
        </c:txPr>
        <c:crossAx val="168180288"/>
        <c:crosses val="autoZero"/>
        <c:auto val="1"/>
        <c:lblAlgn val="ctr"/>
        <c:lblOffset val="100"/>
        <c:tickLblSkip val="1"/>
        <c:tickMarkSkip val="1"/>
        <c:noMultiLvlLbl val="0"/>
      </c:catAx>
      <c:valAx>
        <c:axId val="168180288"/>
        <c:scaling>
          <c:orientation val="minMax"/>
        </c:scaling>
        <c:delete val="1"/>
        <c:axPos val="l"/>
        <c:majorGridlines>
          <c:spPr>
            <a:ln w="3175">
              <a:solidFill>
                <a:srgbClr val="C0C0C0"/>
              </a:solidFill>
              <a:prstDash val="solid"/>
            </a:ln>
          </c:spPr>
        </c:majorGridlines>
        <c:numFmt formatCode="0%" sourceLinked="1"/>
        <c:majorTickMark val="out"/>
        <c:minorTickMark val="none"/>
        <c:tickLblPos val="nextTo"/>
        <c:crossAx val="168179728"/>
        <c:crosses val="autoZero"/>
        <c:crossBetween val="between"/>
      </c:valAx>
      <c:spPr>
        <a:solidFill>
          <a:srgbClr val="FFFFFF"/>
        </a:solidFill>
        <a:ln w="25400">
          <a:noFill/>
        </a:ln>
      </c:spPr>
    </c:plotArea>
    <c:legend>
      <c:legendPos val="r"/>
      <c:layout>
        <c:manualLayout>
          <c:xMode val="edge"/>
          <c:yMode val="edge"/>
          <c:x val="0.78131963707582219"/>
          <c:y val="0.27087263895549396"/>
          <c:w val="0.21274887085814781"/>
          <c:h val="0.48938632179818387"/>
        </c:manualLayout>
      </c:layout>
      <c:overlay val="0"/>
      <c:spPr>
        <a:solidFill>
          <a:srgbClr val="FFFFFF"/>
        </a:solidFill>
        <a:ln w="25400">
          <a:noFill/>
        </a:ln>
      </c:spPr>
      <c:txPr>
        <a:bodyPr/>
        <a:lstStyle/>
        <a:p>
          <a:pPr>
            <a:defRPr sz="900" b="0" i="0" u="none" strike="noStrike" baseline="0">
              <a:solidFill>
                <a:srgbClr val="000000"/>
              </a:solidFill>
              <a:latin typeface="Arial"/>
              <a:ea typeface="Arial"/>
              <a:cs typeface="Arial"/>
            </a:defRPr>
          </a:pPr>
          <a:endParaRPr lang="fr-FR"/>
        </a:p>
      </c:txPr>
    </c:legend>
    <c:plotVisOnly val="1"/>
    <c:dispBlanksAs val="gap"/>
    <c:showDLblsOverMax val="0"/>
  </c:chart>
  <c:spPr>
    <a:solidFill>
      <a:srgbClr val="FFFFFF"/>
    </a:solidFill>
    <a:ln w="6350">
      <a:noFill/>
    </a:ln>
  </c:spPr>
  <c:txPr>
    <a:bodyPr/>
    <a:lstStyle/>
    <a:p>
      <a:pPr>
        <a:defRPr sz="850" b="0" i="0" u="none" strike="noStrike" baseline="0">
          <a:solidFill>
            <a:srgbClr val="000000"/>
          </a:solidFill>
          <a:latin typeface="Arial"/>
          <a:ea typeface="Arial"/>
          <a:cs typeface="Arial"/>
        </a:defRPr>
      </a:pPr>
      <a:endParaRPr lang="fr-F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Arial"/>
                <a:ea typeface="Arial"/>
                <a:cs typeface="Arial"/>
              </a:defRPr>
            </a:pPr>
            <a:r>
              <a:rPr lang="fr-FR"/>
              <a:t>Répartition géographique des effectifs sur budget Etat 2013
</a:t>
            </a:r>
          </a:p>
        </c:rich>
      </c:tx>
      <c:layout>
        <c:manualLayout>
          <c:xMode val="edge"/>
          <c:yMode val="edge"/>
          <c:x val="0.12569847856154909"/>
          <c:y val="7.4370497570782373E-2"/>
        </c:manualLayout>
      </c:layout>
      <c:overlay val="0"/>
      <c:spPr>
        <a:noFill/>
        <a:ln w="25400">
          <a:noFill/>
        </a:ln>
      </c:spPr>
    </c:title>
    <c:autoTitleDeleted val="0"/>
    <c:plotArea>
      <c:layout>
        <c:manualLayout>
          <c:layoutTarget val="inner"/>
          <c:xMode val="edge"/>
          <c:yMode val="edge"/>
          <c:x val="0.33702723278374735"/>
          <c:y val="0.19705764758679775"/>
          <c:w val="0.32321481495657278"/>
          <c:h val="0.62071000461340531"/>
        </c:manualLayout>
      </c:layout>
      <c:doughnutChart>
        <c:varyColors val="1"/>
        <c:ser>
          <c:idx val="0"/>
          <c:order val="0"/>
          <c:spPr>
            <a:solidFill>
              <a:srgbClr val="9999FF"/>
            </a:solidFill>
            <a:ln w="12700">
              <a:solidFill>
                <a:srgbClr val="000000"/>
              </a:solidFill>
              <a:prstDash val="solid"/>
            </a:ln>
            <a:scene3d>
              <a:camera prst="orthographicFront"/>
              <a:lightRig rig="threePt" dir="t"/>
            </a:scene3d>
            <a:sp3d>
              <a:bevelT/>
            </a:sp3d>
          </c:spPr>
          <c:explosion val="18"/>
          <c:dPt>
            <c:idx val="0"/>
            <c:bubble3D val="0"/>
            <c:spPr>
              <a:solidFill>
                <a:srgbClr val="FF00FF"/>
              </a:solidFill>
              <a:ln w="25400">
                <a:noFill/>
              </a:ln>
              <a:scene3d>
                <a:camera prst="orthographicFront"/>
                <a:lightRig rig="threePt" dir="t"/>
              </a:scene3d>
              <a:sp3d>
                <a:bevelT/>
              </a:sp3d>
            </c:spPr>
          </c:dPt>
          <c:dPt>
            <c:idx val="1"/>
            <c:bubble3D val="0"/>
            <c:spPr>
              <a:solidFill>
                <a:srgbClr val="C0C0C0"/>
              </a:solidFill>
              <a:ln w="25400">
                <a:noFill/>
              </a:ln>
              <a:scene3d>
                <a:camera prst="orthographicFront"/>
                <a:lightRig rig="threePt" dir="t"/>
              </a:scene3d>
              <a:sp3d>
                <a:bevelT/>
              </a:sp3d>
            </c:spPr>
          </c:dPt>
          <c:dLbls>
            <c:dLbl>
              <c:idx val="0"/>
              <c:layout>
                <c:manualLayout>
                  <c:x val="0.11049723756906077"/>
                  <c:y val="0"/>
                </c:manualLayout>
              </c:layou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9.1160220994475141E-2"/>
                  <c:y val="-1.5544041450777297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 sourceLinked="0"/>
            <c:spPr>
              <a:noFill/>
              <a:ln w="2540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fr-FR"/>
              </a:p>
            </c:txPr>
            <c:showLegendKey val="0"/>
            <c:showVal val="0"/>
            <c:showCatName val="0"/>
            <c:showSerName val="0"/>
            <c:showPercent val="1"/>
            <c:showBubbleSize val="0"/>
            <c:showLeaderLines val="0"/>
            <c:extLst>
              <c:ext xmlns:c15="http://schemas.microsoft.com/office/drawing/2012/chart" uri="{CE6537A1-D6FC-4f65-9D91-7224C49458BB}"/>
            </c:extLst>
          </c:dLbls>
          <c:cat>
            <c:strRef>
              <c:f>[1]Graph!$E$3:$E$4</c:f>
              <c:strCache>
                <c:ptCount val="2"/>
                <c:pt idx="0">
                  <c:v>Ile-de-France</c:v>
                </c:pt>
                <c:pt idx="1">
                  <c:v>Autres régions</c:v>
                </c:pt>
              </c:strCache>
            </c:strRef>
          </c:cat>
          <c:val>
            <c:numRef>
              <c:f>[1]Graph!$F$3:$F$4</c:f>
              <c:numCache>
                <c:formatCode>General</c:formatCode>
                <c:ptCount val="2"/>
                <c:pt idx="0">
                  <c:v>0.6049785099238062</c:v>
                </c:pt>
                <c:pt idx="1">
                  <c:v>0.39502149007620213</c:v>
                </c:pt>
              </c:numCache>
            </c:numRef>
          </c:val>
        </c:ser>
        <c:dLbls>
          <c:showLegendKey val="0"/>
          <c:showVal val="0"/>
          <c:showCatName val="0"/>
          <c:showSerName val="0"/>
          <c:showPercent val="1"/>
          <c:showBubbleSize val="0"/>
          <c:showLeaderLines val="0"/>
        </c:dLbls>
        <c:firstSliceAng val="0"/>
        <c:holeSize val="50"/>
      </c:doughnutChart>
      <c:spPr>
        <a:noFill/>
        <a:ln w="25400">
          <a:noFill/>
        </a:ln>
      </c:spPr>
    </c:plotArea>
    <c:legend>
      <c:legendPos val="r"/>
      <c:layout>
        <c:manualLayout>
          <c:xMode val="edge"/>
          <c:yMode val="edge"/>
          <c:x val="0.12293622482272588"/>
          <c:y val="0.81811880380237445"/>
          <c:w val="0.74999195197285418"/>
          <c:h val="9.8485169923707719E-2"/>
        </c:manualLayout>
      </c:layout>
      <c:overlay val="0"/>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fr-FR"/>
        </a:p>
      </c:txPr>
    </c:legend>
    <c:plotVisOnly val="1"/>
    <c:dispBlanksAs val="zero"/>
    <c:showDLblsOverMax val="0"/>
  </c:chart>
  <c:spPr>
    <a:solidFill>
      <a:srgbClr val="FFFFFF"/>
    </a:solidFill>
    <a:ln w="6350">
      <a:noFill/>
    </a:ln>
  </c:spPr>
  <c:txPr>
    <a:bodyPr/>
    <a:lstStyle/>
    <a:p>
      <a:pPr>
        <a:defRPr sz="1200" b="0" i="0" u="none" strike="noStrike" baseline="0">
          <a:solidFill>
            <a:srgbClr val="000000"/>
          </a:solidFill>
          <a:latin typeface="Arial"/>
          <a:ea typeface="Arial"/>
          <a:cs typeface="Arial"/>
        </a:defRPr>
      </a:pPr>
      <a:endParaRPr lang="fr-F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b="1">
                <a:latin typeface="Arial" panose="020B0604020202020204" pitchFamily="34" charset="0"/>
                <a:cs typeface="Arial" panose="020B0604020202020204" pitchFamily="34" charset="0"/>
              </a:rPr>
              <a:t>Répartion hommes/femmes des agents non titulaires au</a:t>
            </a:r>
            <a:r>
              <a:rPr lang="fr-FR" sz="1000" b="1" baseline="0">
                <a:latin typeface="Arial" panose="020B0604020202020204" pitchFamily="34" charset="0"/>
                <a:cs typeface="Arial" panose="020B0604020202020204" pitchFamily="34" charset="0"/>
              </a:rPr>
              <a:t> 31/12/2013</a:t>
            </a:r>
            <a:endParaRPr lang="fr-FR" sz="1000"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33936993059310672"/>
          <c:y val="0.26833073322932915"/>
          <c:w val="0.31373426863504716"/>
          <c:h val="0.52028007419509381"/>
        </c:manualLayout>
      </c:layout>
      <c:doughnutChart>
        <c:varyColors val="1"/>
        <c:ser>
          <c:idx val="0"/>
          <c:order val="0"/>
          <c:spPr>
            <a:scene3d>
              <a:camera prst="orthographicFront"/>
              <a:lightRig rig="threePt" dir="t"/>
            </a:scene3d>
            <a:sp3d>
              <a:bevelT/>
            </a:sp3d>
          </c:spPr>
          <c:explosion val="9"/>
          <c:dPt>
            <c:idx val="0"/>
            <c:bubble3D val="0"/>
            <c:spPr>
              <a:solidFill>
                <a:srgbClr val="FF00FF"/>
              </a:solidFill>
              <a:ln w="19050">
                <a:solidFill>
                  <a:schemeClr val="lt1"/>
                </a:solidFill>
              </a:ln>
              <a:effectLst/>
              <a:scene3d>
                <a:camera prst="orthographicFront"/>
                <a:lightRig rig="threePt" dir="t"/>
              </a:scene3d>
              <a:sp3d>
                <a:bevelT/>
              </a:sp3d>
            </c:spPr>
          </c:dPt>
          <c:dPt>
            <c:idx val="1"/>
            <c:bubble3D val="0"/>
            <c:spPr>
              <a:solidFill>
                <a:schemeClr val="bg1">
                  <a:lumMod val="65000"/>
                </a:schemeClr>
              </a:solidFill>
              <a:ln w="19050">
                <a:solidFill>
                  <a:schemeClr val="lt1"/>
                </a:solidFill>
              </a:ln>
              <a:effectLst/>
              <a:scene3d>
                <a:camera prst="orthographicFront"/>
                <a:lightRig rig="threePt" dir="t"/>
              </a:scene3d>
              <a:sp3d>
                <a:bevelT/>
              </a:sp3d>
            </c:spPr>
          </c:dPt>
          <c:cat>
            <c:strRef>
              <c:extLst>
                <c:ext xmlns:c15="http://schemas.microsoft.com/office/drawing/2012/chart" uri="{02D57815-91ED-43cb-92C2-25804820EDAC}">
                  <c15:fullRef>
                    <c15:sqref>'TCD H-F - AE'!$B$16:$G$16</c15:sqref>
                  </c15:fullRef>
                </c:ext>
              </c:extLst>
              <c:f>('TCD H-F - AE'!$B$16,'TCD H-F - AE'!$E$16)</c:f>
              <c:strCache>
                <c:ptCount val="2"/>
                <c:pt idx="0">
                  <c:v>Femmes</c:v>
                </c:pt>
                <c:pt idx="1">
                  <c:v>Hommes</c:v>
                </c:pt>
              </c:strCache>
            </c:strRef>
          </c:cat>
          <c:val>
            <c:numRef>
              <c:extLst>
                <c:ext xmlns:c15="http://schemas.microsoft.com/office/drawing/2012/chart" uri="{02D57815-91ED-43cb-92C2-25804820EDAC}">
                  <c15:fullRef>
                    <c15:sqref>'TCD H-F - AE'!$B$24:$G$24</c15:sqref>
                  </c15:fullRef>
                </c:ext>
              </c:extLst>
              <c:f>('TCD H-F - AE'!$B$24,'TCD H-F - AE'!$E$24)</c:f>
              <c:numCache>
                <c:formatCode>General</c:formatCode>
                <c:ptCount val="2"/>
                <c:pt idx="0" formatCode="0%">
                  <c:v>0.52907056312059231</c:v>
                </c:pt>
                <c:pt idx="1" formatCode="0%">
                  <c:v>0.47092943687940753</c:v>
                </c:pt>
              </c:numCache>
            </c:numRef>
          </c:val>
          <c:extLst>
            <c:ext xmlns:c15="http://schemas.microsoft.com/office/drawing/2012/chart" uri="{02D57815-91ED-43cb-92C2-25804820EDAC}">
              <c15:categoryFilterExceptions/>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2.xml.rels><?xml version="1.0" encoding="UTF-8" standalone="yes"?>
<Relationships xmlns="http://schemas.openxmlformats.org/package/2006/relationships"><Relationship Id="rId1" Type="http://schemas.openxmlformats.org/officeDocument/2006/relationships/image" Target="../media/image96.png"/></Relationships>
</file>

<file path=word/drawings/drawing1.xml><?xml version="1.0" encoding="utf-8"?>
<c:userShapes xmlns:c="http://schemas.openxmlformats.org/drawingml/2006/chart">
  <cdr:relSizeAnchor xmlns:cdr="http://schemas.openxmlformats.org/drawingml/2006/chartDrawing">
    <cdr:from>
      <cdr:x>0.00649</cdr:x>
      <cdr:y>0.01221</cdr:y>
    </cdr:from>
    <cdr:to>
      <cdr:x>0.09162</cdr:x>
      <cdr:y>0.12831</cdr:y>
    </cdr:to>
    <cdr:sp macro="" textlink="">
      <cdr:nvSpPr>
        <cdr:cNvPr id="8193" name="Text Box 1025"/>
        <cdr:cNvSpPr txBox="1">
          <a:spLocks xmlns:a="http://schemas.openxmlformats.org/drawingml/2006/main" noChangeArrowheads="1"/>
        </cdr:cNvSpPr>
      </cdr:nvSpPr>
      <cdr:spPr bwMode="auto">
        <a:xfrm xmlns:a="http://schemas.openxmlformats.org/drawingml/2006/main">
          <a:off x="50800" y="50800"/>
          <a:ext cx="665988" cy="48286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sp>
  </cdr:relSizeAnchor>
  <cdr:relSizeAnchor xmlns:cdr="http://schemas.openxmlformats.org/drawingml/2006/chartDrawing">
    <cdr:from>
      <cdr:x>0.02253</cdr:x>
      <cdr:y>0.64067</cdr:y>
    </cdr:from>
    <cdr:to>
      <cdr:x>0.24979</cdr:x>
      <cdr:y>0.79901</cdr:y>
    </cdr:to>
    <cdr:sp macro="" textlink="">
      <cdr:nvSpPr>
        <cdr:cNvPr id="8196" name="Text Box 1028"/>
        <cdr:cNvSpPr txBox="1">
          <a:spLocks xmlns:a="http://schemas.openxmlformats.org/drawingml/2006/main" noChangeArrowheads="1"/>
        </cdr:cNvSpPr>
      </cdr:nvSpPr>
      <cdr:spPr bwMode="auto">
        <a:xfrm xmlns:a="http://schemas.openxmlformats.org/drawingml/2006/main">
          <a:off x="167548" y="2660650"/>
          <a:ext cx="1689869" cy="657571"/>
        </a:xfrm>
        <a:prstGeom xmlns:a="http://schemas.openxmlformats.org/drawingml/2006/main" prst="rect">
          <a:avLst/>
        </a:prstGeom>
        <a:noFill xmlns:a="http://schemas.openxmlformats.org/drawingml/2006/main"/>
        <a:ln xmlns:a="http://schemas.openxmlformats.org/drawingml/2006/main" w="9525">
          <a:solidFill>
            <a:srgbClr xmlns:mc="http://schemas.openxmlformats.org/markup-compatibility/2006" xmlns:a14="http://schemas.microsoft.com/office/drawing/2010/main" val="C0C0C0" mc:Ignorable="a14" a14:legacySpreadsheetColorIndex="22"/>
          </a:solidFill>
          <a:miter lim="800000"/>
          <a:headEnd/>
          <a:tailEnd/>
        </a:ln>
        <a:extLst xmlns:a="http://schemas.openxmlformats.org/drawingml/2006/main">
          <a:ext uri="{909E8E84-426E-40DD-AFC4-6F175D3DCCD1}">
            <a14:hiddenFill xmlns:a14="http://schemas.microsoft.com/office/drawing/2010/main">
              <a:solidFill>
                <a:srgbClr val="FFFFFF"/>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Filière administrative</a:t>
          </a:r>
        </a:p>
      </cdr:txBody>
    </cdr:sp>
  </cdr:relSizeAnchor>
  <cdr:relSizeAnchor xmlns:cdr="http://schemas.openxmlformats.org/drawingml/2006/chartDrawing">
    <cdr:from>
      <cdr:x>0.26188</cdr:x>
      <cdr:y>0.6417</cdr:y>
    </cdr:from>
    <cdr:to>
      <cdr:x>0.43313</cdr:x>
      <cdr:y>0.79901</cdr:y>
    </cdr:to>
    <cdr:sp macro="" textlink="">
      <cdr:nvSpPr>
        <cdr:cNvPr id="8195" name="Text Box 1027"/>
        <cdr:cNvSpPr txBox="1">
          <a:spLocks xmlns:a="http://schemas.openxmlformats.org/drawingml/2006/main" noChangeArrowheads="1"/>
        </cdr:cNvSpPr>
      </cdr:nvSpPr>
      <cdr:spPr bwMode="auto">
        <a:xfrm xmlns:a="http://schemas.openxmlformats.org/drawingml/2006/main">
          <a:off x="2048764" y="2668999"/>
          <a:ext cx="1339698" cy="654296"/>
        </a:xfrm>
        <a:prstGeom xmlns:a="http://schemas.openxmlformats.org/drawingml/2006/main" prst="rect">
          <a:avLst/>
        </a:prstGeom>
        <a:noFill xmlns:a="http://schemas.openxmlformats.org/drawingml/2006/main"/>
        <a:ln xmlns:a="http://schemas.openxmlformats.org/drawingml/2006/main" w="9525">
          <a:solidFill>
            <a:srgbClr xmlns:mc="http://schemas.openxmlformats.org/markup-compatibility/2006" xmlns:a14="http://schemas.microsoft.com/office/drawing/2010/main" val="C0C0C0" mc:Ignorable="a14" a14:legacySpreadsheetColorIndex="22"/>
          </a:solidFill>
          <a:miter lim="800000"/>
          <a:headEnd/>
          <a:tailEnd/>
        </a:ln>
        <a:extLst xmlns:a="http://schemas.openxmlformats.org/drawingml/2006/main">
          <a:ext uri="{909E8E84-426E-40DD-AFC4-6F175D3DCCD1}">
            <a14:hiddenFill xmlns:a14="http://schemas.microsoft.com/office/drawing/2010/main">
              <a:solidFill>
                <a:srgbClr val="FFFFFF"/>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Filière scientifique</a:t>
          </a:r>
        </a:p>
      </cdr:txBody>
    </cdr:sp>
  </cdr:relSizeAnchor>
  <cdr:relSizeAnchor xmlns:cdr="http://schemas.openxmlformats.org/drawingml/2006/chartDrawing">
    <cdr:from>
      <cdr:x>0.44152</cdr:x>
      <cdr:y>0.6417</cdr:y>
    </cdr:from>
    <cdr:to>
      <cdr:x>0.66557</cdr:x>
      <cdr:y>0.79901</cdr:y>
    </cdr:to>
    <cdr:sp macro="" textlink="">
      <cdr:nvSpPr>
        <cdr:cNvPr id="8194" name="Text Box 1026"/>
        <cdr:cNvSpPr txBox="1">
          <a:spLocks xmlns:a="http://schemas.openxmlformats.org/drawingml/2006/main" noChangeArrowheads="1"/>
        </cdr:cNvSpPr>
      </cdr:nvSpPr>
      <cdr:spPr bwMode="auto">
        <a:xfrm xmlns:a="http://schemas.openxmlformats.org/drawingml/2006/main">
          <a:off x="3454095" y="2668999"/>
          <a:ext cx="1752803" cy="654296"/>
        </a:xfrm>
        <a:prstGeom xmlns:a="http://schemas.openxmlformats.org/drawingml/2006/main" prst="rect">
          <a:avLst/>
        </a:prstGeom>
        <a:noFill xmlns:a="http://schemas.openxmlformats.org/drawingml/2006/main"/>
        <a:ln xmlns:a="http://schemas.openxmlformats.org/drawingml/2006/main" w="9525">
          <a:solidFill>
            <a:srgbClr xmlns:mc="http://schemas.openxmlformats.org/markup-compatibility/2006" xmlns:a14="http://schemas.microsoft.com/office/drawing/2010/main" val="C0C0C0" mc:Ignorable="a14" a14:legacySpreadsheetColorIndex="22"/>
          </a:solidFill>
          <a:miter lim="800000"/>
          <a:headEnd/>
          <a:tailEnd/>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9"/>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Filière technique et enseignement</a:t>
          </a:r>
        </a:p>
      </cdr:txBody>
    </cdr:sp>
  </cdr:relSizeAnchor>
  <cdr:relSizeAnchor xmlns:cdr="http://schemas.openxmlformats.org/drawingml/2006/chartDrawing">
    <cdr:from>
      <cdr:x>0.67559</cdr:x>
      <cdr:y>0.6417</cdr:y>
    </cdr:from>
    <cdr:to>
      <cdr:x>0.73713</cdr:x>
      <cdr:y>0.83413</cdr:y>
    </cdr:to>
    <cdr:sp macro="" textlink="">
      <cdr:nvSpPr>
        <cdr:cNvPr id="8197" name="Text Box 1029"/>
        <cdr:cNvSpPr txBox="1">
          <a:spLocks xmlns:a="http://schemas.openxmlformats.org/drawingml/2006/main" noChangeArrowheads="1"/>
        </cdr:cNvSpPr>
      </cdr:nvSpPr>
      <cdr:spPr bwMode="auto">
        <a:xfrm xmlns:a="http://schemas.openxmlformats.org/drawingml/2006/main">
          <a:off x="3943350" y="2438357"/>
          <a:ext cx="359219" cy="731204"/>
        </a:xfrm>
        <a:prstGeom xmlns:a="http://schemas.openxmlformats.org/drawingml/2006/main" prst="rect">
          <a:avLst/>
        </a:prstGeom>
        <a:noFill xmlns:a="http://schemas.openxmlformats.org/drawingml/2006/main"/>
        <a:ln xmlns:a="http://schemas.openxmlformats.org/drawingml/2006/main" w="9525">
          <a:solidFill>
            <a:srgbClr xmlns:mc="http://schemas.openxmlformats.org/markup-compatibility/2006" xmlns:a14="http://schemas.microsoft.com/office/drawing/2010/main" val="C0C0C0" mc:Ignorable="a14" a14:legacySpreadsheetColorIndex="22"/>
          </a:solidFill>
          <a:miter lim="800000"/>
          <a:headEnd/>
          <a:tailEnd/>
        </a:ln>
        <a:extLst xmlns:a="http://schemas.openxmlformats.org/drawingml/2006/main">
          <a:ext uri="{909E8E84-426E-40DD-AFC4-6F175D3DCCD1}">
            <a14:hiddenFill xmlns:a14="http://schemas.microsoft.com/office/drawing/2010/main">
              <a:solidFill>
                <a:srgbClr val="FFFFFF"/>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Filière</a:t>
          </a:r>
        </a:p>
        <a:p xmlns:a="http://schemas.openxmlformats.org/drawingml/2006/main">
          <a:pPr algn="ctr" rtl="0">
            <a:defRPr sz="1000"/>
          </a:pPr>
          <a:r>
            <a:rPr lang="fr-FR" sz="800" b="0" i="0" u="none" strike="noStrike" baseline="0">
              <a:solidFill>
                <a:srgbClr val="000000"/>
              </a:solidFill>
              <a:latin typeface="Arial"/>
              <a:cs typeface="Arial"/>
            </a:rPr>
            <a:t>acc</a:t>
          </a:r>
        </a:p>
        <a:p xmlns:a="http://schemas.openxmlformats.org/drawingml/2006/main">
          <a:pPr algn="ctr" rtl="0">
            <a:defRPr sz="1000"/>
          </a:pPr>
          <a:r>
            <a:rPr lang="fr-FR" sz="800" b="0" i="0" u="none" strike="noStrike" baseline="0">
              <a:solidFill>
                <a:srgbClr val="000000"/>
              </a:solidFill>
              <a:latin typeface="Arial"/>
              <a:cs typeface="Arial"/>
            </a:rPr>
            <a:t>surv</a:t>
          </a:r>
        </a:p>
        <a:p xmlns:a="http://schemas.openxmlformats.org/drawingml/2006/main">
          <a:pPr algn="ctr" rtl="0">
            <a:defRPr sz="1000"/>
          </a:pPr>
          <a:r>
            <a:rPr lang="fr-FR" sz="800" b="0" i="0" u="none" strike="noStrike" baseline="0">
              <a:solidFill>
                <a:srgbClr val="000000"/>
              </a:solidFill>
              <a:latin typeface="Arial"/>
              <a:cs typeface="Arial"/>
            </a:rPr>
            <a:t>mag</a:t>
          </a:r>
        </a:p>
      </cdr:txBody>
    </cdr:sp>
  </cdr:relSizeAnchor>
  <cdr:relSizeAnchor xmlns:cdr="http://schemas.openxmlformats.org/drawingml/2006/chartDrawing">
    <cdr:from>
      <cdr:x>0.74034</cdr:x>
      <cdr:y>0.6417</cdr:y>
    </cdr:from>
    <cdr:to>
      <cdr:x>0.9676</cdr:x>
      <cdr:y>0.79901</cdr:y>
    </cdr:to>
    <cdr:sp macro="" textlink="">
      <cdr:nvSpPr>
        <cdr:cNvPr id="8198" name="Text Box 1030"/>
        <cdr:cNvSpPr txBox="1">
          <a:spLocks xmlns:a="http://schemas.openxmlformats.org/drawingml/2006/main" noChangeArrowheads="1"/>
        </cdr:cNvSpPr>
      </cdr:nvSpPr>
      <cdr:spPr bwMode="auto">
        <a:xfrm xmlns:a="http://schemas.openxmlformats.org/drawingml/2006/main">
          <a:off x="5791810" y="2668999"/>
          <a:ext cx="1777898" cy="654296"/>
        </a:xfrm>
        <a:prstGeom xmlns:a="http://schemas.openxmlformats.org/drawingml/2006/main" prst="rect">
          <a:avLst/>
        </a:prstGeom>
        <a:noFill xmlns:a="http://schemas.openxmlformats.org/drawingml/2006/main"/>
        <a:ln xmlns:a="http://schemas.openxmlformats.org/drawingml/2006/main" w="9525">
          <a:solidFill>
            <a:srgbClr xmlns:mc="http://schemas.openxmlformats.org/markup-compatibility/2006" xmlns:a14="http://schemas.microsoft.com/office/drawing/2010/main" val="C0C0C0" mc:Ignorable="a14" a14:legacySpreadsheetColorIndex="22"/>
          </a:solidFill>
          <a:miter lim="800000"/>
          <a:headEnd/>
          <a:tailEnd/>
        </a:ln>
        <a:extLst xmlns:a="http://schemas.openxmlformats.org/drawingml/2006/main">
          <a:ext uri="{909E8E84-426E-40DD-AFC4-6F175D3DCCD1}">
            <a14:hiddenFill xmlns:a14="http://schemas.microsoft.com/office/drawing/2010/main">
              <a:solidFill>
                <a:srgbClr val="FFFFFF"/>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Agents non titulaires</a:t>
          </a:r>
        </a:p>
      </cdr:txBody>
    </cdr:sp>
  </cdr:relSizeAnchor>
</c:userShapes>
</file>

<file path=word/drawings/drawing2.xml><?xml version="1.0" encoding="utf-8"?>
<c:userShapes xmlns:c="http://schemas.openxmlformats.org/drawingml/2006/chart">
  <cdr:relSizeAnchor xmlns:cdr="http://schemas.openxmlformats.org/drawingml/2006/chartDrawing">
    <cdr:from>
      <cdr:x>0.28886</cdr:x>
      <cdr:y>0.72285</cdr:y>
    </cdr:from>
    <cdr:to>
      <cdr:x>0.45116</cdr:x>
      <cdr:y>0.90149</cdr:y>
    </cdr:to>
    <cdr:sp macro="" textlink="">
      <cdr:nvSpPr>
        <cdr:cNvPr id="3" name="ZoneTexte 6"/>
        <cdr:cNvSpPr txBox="1"/>
      </cdr:nvSpPr>
      <cdr:spPr>
        <a:xfrm xmlns:a="http://schemas.openxmlformats.org/drawingml/2006/main">
          <a:off x="1617839" y="1757997"/>
          <a:ext cx="908994" cy="43446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fr-FR" sz="700">
              <a:latin typeface="Arial" panose="020B0604020202020204" pitchFamily="34" charset="0"/>
              <a:cs typeface="Arial" panose="020B0604020202020204" pitchFamily="34" charset="0"/>
            </a:rPr>
            <a:t>Filière scientifique</a:t>
          </a:r>
        </a:p>
      </cdr:txBody>
    </cdr:sp>
  </cdr:relSizeAnchor>
  <cdr:relSizeAnchor xmlns:cdr="http://schemas.openxmlformats.org/drawingml/2006/chartDrawing">
    <cdr:from>
      <cdr:x>0.45138</cdr:x>
      <cdr:y>0.73329</cdr:y>
    </cdr:from>
    <cdr:to>
      <cdr:x>0.67136</cdr:x>
      <cdr:y>0.91193</cdr:y>
    </cdr:to>
    <cdr:sp macro="" textlink="">
      <cdr:nvSpPr>
        <cdr:cNvPr id="4" name="ZoneTexte 6"/>
        <cdr:cNvSpPr txBox="1"/>
      </cdr:nvSpPr>
      <cdr:spPr>
        <a:xfrm xmlns:a="http://schemas.openxmlformats.org/drawingml/2006/main">
          <a:off x="2528044" y="1783397"/>
          <a:ext cx="1232042" cy="43446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fr-FR" sz="700">
              <a:latin typeface="Arial" panose="020B0604020202020204" pitchFamily="34" charset="0"/>
              <a:cs typeface="Arial" panose="020B0604020202020204" pitchFamily="34" charset="0"/>
            </a:rPr>
            <a:t>Filière technique et enseignement</a:t>
          </a:r>
        </a:p>
      </cdr:txBody>
    </cdr:sp>
  </cdr:relSizeAnchor>
  <cdr:relSizeAnchor xmlns:cdr="http://schemas.openxmlformats.org/drawingml/2006/chartDrawing">
    <cdr:from>
      <cdr:x>0.66985</cdr:x>
      <cdr:y>0.76907</cdr:y>
    </cdr:from>
    <cdr:to>
      <cdr:x>0.75927</cdr:x>
      <cdr:y>0.96345</cdr:y>
    </cdr:to>
    <cdr:sp macro="" textlink="">
      <cdr:nvSpPr>
        <cdr:cNvPr id="5" name="ZoneTexte 6"/>
        <cdr:cNvSpPr txBox="1"/>
      </cdr:nvSpPr>
      <cdr:spPr>
        <a:xfrm xmlns:a="http://schemas.openxmlformats.org/drawingml/2006/main">
          <a:off x="3751637" y="1870422"/>
          <a:ext cx="500814" cy="47274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fr-FR" sz="700">
              <a:latin typeface="Arial" panose="020B0604020202020204" pitchFamily="34" charset="0"/>
              <a:cs typeface="Arial" panose="020B0604020202020204" pitchFamily="34" charset="0"/>
            </a:rPr>
            <a:t>Filière acc surv m</a:t>
          </a:r>
          <a:r>
            <a:rPr lang="fr-FR" sz="700" baseline="0">
              <a:latin typeface="Arial" panose="020B0604020202020204" pitchFamily="34" charset="0"/>
              <a:cs typeface="Arial" panose="020B0604020202020204" pitchFamily="34" charset="0"/>
            </a:rPr>
            <a:t>ag</a:t>
          </a:r>
          <a:endParaRPr lang="fr-FR" sz="700"/>
        </a:p>
      </cdr:txBody>
    </cdr:sp>
  </cdr:relSizeAnchor>
  <cdr:relSizeAnchor xmlns:cdr="http://schemas.openxmlformats.org/drawingml/2006/chartDrawing">
    <cdr:from>
      <cdr:x>0.75319</cdr:x>
      <cdr:y>0.71087</cdr:y>
    </cdr:from>
    <cdr:to>
      <cdr:x>0.98256</cdr:x>
      <cdr:y>0.8895</cdr:y>
    </cdr:to>
    <cdr:sp macro="" textlink="">
      <cdr:nvSpPr>
        <cdr:cNvPr id="6" name="ZoneTexte 6"/>
        <cdr:cNvSpPr txBox="1"/>
      </cdr:nvSpPr>
      <cdr:spPr>
        <a:xfrm xmlns:a="http://schemas.openxmlformats.org/drawingml/2006/main">
          <a:off x="3565526" y="2451115"/>
          <a:ext cx="1085838" cy="615925"/>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fr-FR" sz="700">
              <a:latin typeface="Arial" panose="020B0604020202020204" pitchFamily="34" charset="0"/>
              <a:cs typeface="Arial" panose="020B0604020202020204" pitchFamily="34" charset="0"/>
            </a:rPr>
            <a:t>Agents non titulaires</a:t>
          </a:r>
          <a:endParaRPr lang="fr-FR" sz="700"/>
        </a:p>
      </cdr:txBody>
    </cdr:sp>
  </cdr:relSizeAnchor>
  <cdr:relSizeAnchor xmlns:cdr="http://schemas.openxmlformats.org/drawingml/2006/chartDrawing">
    <cdr:from>
      <cdr:x>0.07143</cdr:x>
      <cdr:y>0.67624</cdr:y>
    </cdr:from>
    <cdr:to>
      <cdr:x>0.25974</cdr:x>
      <cdr:y>0.93945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00050" y="1644650"/>
          <a:ext cx="1054699" cy="640135"/>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0.00649</cdr:x>
      <cdr:y>0.01221</cdr:y>
    </cdr:from>
    <cdr:to>
      <cdr:x>0.09162</cdr:x>
      <cdr:y>0.12831</cdr:y>
    </cdr:to>
    <cdr:sp macro="" textlink="">
      <cdr:nvSpPr>
        <cdr:cNvPr id="8193" name="Text Box 1025"/>
        <cdr:cNvSpPr txBox="1">
          <a:spLocks xmlns:a="http://schemas.openxmlformats.org/drawingml/2006/main" noChangeArrowheads="1"/>
        </cdr:cNvSpPr>
      </cdr:nvSpPr>
      <cdr:spPr bwMode="auto">
        <a:xfrm xmlns:a="http://schemas.openxmlformats.org/drawingml/2006/main">
          <a:off x="50800" y="50800"/>
          <a:ext cx="665988" cy="48286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a:lstStyle xmlns:a="http://schemas.openxmlformats.org/drawingml/2006/main"/>
        <a:p xmlns:a="http://schemas.openxmlformats.org/drawingml/2006/main">
          <a:endParaRPr lang="fr-FR"/>
        </a:p>
      </cdr:txBody>
    </cdr:sp>
  </cdr:relSizeAnchor>
  <cdr:relSizeAnchor xmlns:cdr="http://schemas.openxmlformats.org/drawingml/2006/chartDrawing">
    <cdr:from>
      <cdr:x>0.01964</cdr:x>
      <cdr:y>0.64223</cdr:y>
    </cdr:from>
    <cdr:to>
      <cdr:x>0.25833</cdr:x>
      <cdr:y>0.80057</cdr:y>
    </cdr:to>
    <cdr:sp macro="" textlink="">
      <cdr:nvSpPr>
        <cdr:cNvPr id="8196" name="Text Box 1028"/>
        <cdr:cNvSpPr txBox="1">
          <a:spLocks xmlns:a="http://schemas.openxmlformats.org/drawingml/2006/main" noChangeArrowheads="1"/>
        </cdr:cNvSpPr>
      </cdr:nvSpPr>
      <cdr:spPr bwMode="auto">
        <a:xfrm xmlns:a="http://schemas.openxmlformats.org/drawingml/2006/main">
          <a:off x="146050" y="2618169"/>
          <a:ext cx="1774851" cy="645505"/>
        </a:xfrm>
        <a:prstGeom xmlns:a="http://schemas.openxmlformats.org/drawingml/2006/main" prst="rect">
          <a:avLst/>
        </a:prstGeom>
        <a:noFill xmlns:a="http://schemas.openxmlformats.org/drawingml/2006/main"/>
        <a:ln xmlns:a="http://schemas.openxmlformats.org/drawingml/2006/main" w="9525">
          <a:noFill/>
          <a:miter lim="800000"/>
          <a:headEnd/>
          <a:tailEnd/>
        </a:ln>
        <a:extLst xmlns:a="http://schemas.openxmlformats.org/drawingml/2006/main">
          <a:ext uri="{909E8E84-426E-40DD-AFC4-6F175D3DCCD1}">
            <a14:hiddenFill xmlns:a14="http://schemas.microsoft.com/office/drawing/2010/main">
              <a:solidFill>
                <a:srgbClr val="FFFFFF"/>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Filière administrative</a:t>
          </a:r>
        </a:p>
      </cdr:txBody>
    </cdr:sp>
  </cdr:relSizeAnchor>
  <cdr:relSizeAnchor xmlns:cdr="http://schemas.openxmlformats.org/drawingml/2006/chartDrawing">
    <cdr:from>
      <cdr:x>0.25705</cdr:x>
      <cdr:y>0.6417</cdr:y>
    </cdr:from>
    <cdr:to>
      <cdr:x>0.4398</cdr:x>
      <cdr:y>0.79901</cdr:y>
    </cdr:to>
    <cdr:sp macro="" textlink="">
      <cdr:nvSpPr>
        <cdr:cNvPr id="8195" name="Text Box 1027"/>
        <cdr:cNvSpPr txBox="1">
          <a:spLocks xmlns:a="http://schemas.openxmlformats.org/drawingml/2006/main" noChangeArrowheads="1"/>
        </cdr:cNvSpPr>
      </cdr:nvSpPr>
      <cdr:spPr bwMode="auto">
        <a:xfrm xmlns:a="http://schemas.openxmlformats.org/drawingml/2006/main">
          <a:off x="1911350" y="2616018"/>
          <a:ext cx="1358900" cy="641306"/>
        </a:xfrm>
        <a:prstGeom xmlns:a="http://schemas.openxmlformats.org/drawingml/2006/main" prst="rect">
          <a:avLst/>
        </a:prstGeom>
        <a:noFill xmlns:a="http://schemas.openxmlformats.org/drawingml/2006/main"/>
        <a:ln xmlns:a="http://schemas.openxmlformats.org/drawingml/2006/main" w="9525">
          <a:noFill/>
          <a:miter lim="800000"/>
          <a:headEnd/>
          <a:tailEnd/>
        </a:ln>
        <a:extLst xmlns:a="http://schemas.openxmlformats.org/drawingml/2006/main">
          <a:ext uri="{909E8E84-426E-40DD-AFC4-6F175D3DCCD1}">
            <a14:hiddenFill xmlns:a14="http://schemas.microsoft.com/office/drawing/2010/main">
              <a:solidFill>
                <a:srgbClr val="FFFFFF"/>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Filière scientifique</a:t>
          </a:r>
        </a:p>
      </cdr:txBody>
    </cdr:sp>
  </cdr:relSizeAnchor>
  <cdr:relSizeAnchor xmlns:cdr="http://schemas.openxmlformats.org/drawingml/2006/chartDrawing">
    <cdr:from>
      <cdr:x>0.44152</cdr:x>
      <cdr:y>0.6417</cdr:y>
    </cdr:from>
    <cdr:to>
      <cdr:x>0.6772</cdr:x>
      <cdr:y>0.79901</cdr:y>
    </cdr:to>
    <cdr:sp macro="" textlink="">
      <cdr:nvSpPr>
        <cdr:cNvPr id="8194" name="Text Box 1026"/>
        <cdr:cNvSpPr txBox="1">
          <a:spLocks xmlns:a="http://schemas.openxmlformats.org/drawingml/2006/main" noChangeArrowheads="1"/>
        </cdr:cNvSpPr>
      </cdr:nvSpPr>
      <cdr:spPr bwMode="auto">
        <a:xfrm xmlns:a="http://schemas.openxmlformats.org/drawingml/2006/main">
          <a:off x="3283076" y="2616018"/>
          <a:ext cx="1752474" cy="641306"/>
        </a:xfrm>
        <a:prstGeom xmlns:a="http://schemas.openxmlformats.org/drawingml/2006/main" prst="rect">
          <a:avLst/>
        </a:prstGeom>
        <a:noFill xmlns:a="http://schemas.openxmlformats.org/drawingml/2006/main"/>
        <a:ln xmlns:a="http://schemas.openxmlformats.org/drawingml/2006/main" w="9525">
          <a:noFill/>
          <a:miter lim="800000"/>
          <a:headEnd/>
          <a:tailEnd/>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9"/>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Filière technique et enseignement</a:t>
          </a:r>
        </a:p>
      </cdr:txBody>
    </cdr:sp>
  </cdr:relSizeAnchor>
  <cdr:relSizeAnchor xmlns:cdr="http://schemas.openxmlformats.org/drawingml/2006/chartDrawing">
    <cdr:from>
      <cdr:x>0.67791</cdr:x>
      <cdr:y>0.6417</cdr:y>
    </cdr:from>
    <cdr:to>
      <cdr:x>0.74125</cdr:x>
      <cdr:y>0.83413</cdr:y>
    </cdr:to>
    <cdr:sp macro="" textlink="">
      <cdr:nvSpPr>
        <cdr:cNvPr id="8197" name="Text Box 1029"/>
        <cdr:cNvSpPr txBox="1">
          <a:spLocks xmlns:a="http://schemas.openxmlformats.org/drawingml/2006/main" noChangeArrowheads="1"/>
        </cdr:cNvSpPr>
      </cdr:nvSpPr>
      <cdr:spPr bwMode="auto">
        <a:xfrm xmlns:a="http://schemas.openxmlformats.org/drawingml/2006/main">
          <a:off x="5040837" y="2616018"/>
          <a:ext cx="470963" cy="784480"/>
        </a:xfrm>
        <a:prstGeom xmlns:a="http://schemas.openxmlformats.org/drawingml/2006/main" prst="rect">
          <a:avLst/>
        </a:prstGeom>
        <a:noFill xmlns:a="http://schemas.openxmlformats.org/drawingml/2006/main"/>
        <a:ln xmlns:a="http://schemas.openxmlformats.org/drawingml/2006/main" w="9525">
          <a:noFill/>
          <a:miter lim="800000"/>
          <a:headEnd/>
          <a:tailEnd/>
        </a:ln>
        <a:extLst xmlns:a="http://schemas.openxmlformats.org/drawingml/2006/main">
          <a:ext uri="{909E8E84-426E-40DD-AFC4-6F175D3DCCD1}">
            <a14:hiddenFill xmlns:a14="http://schemas.microsoft.com/office/drawing/2010/main">
              <a:solidFill>
                <a:srgbClr val="FFFFFF"/>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Filière</a:t>
          </a:r>
        </a:p>
        <a:p xmlns:a="http://schemas.openxmlformats.org/drawingml/2006/main">
          <a:pPr algn="ctr" rtl="0">
            <a:defRPr sz="1000"/>
          </a:pPr>
          <a:r>
            <a:rPr lang="fr-FR" sz="800" b="0" i="0" u="none" strike="noStrike" baseline="0">
              <a:solidFill>
                <a:srgbClr val="000000"/>
              </a:solidFill>
              <a:latin typeface="Arial"/>
              <a:cs typeface="Arial"/>
            </a:rPr>
            <a:t>acc</a:t>
          </a:r>
        </a:p>
        <a:p xmlns:a="http://schemas.openxmlformats.org/drawingml/2006/main">
          <a:pPr algn="ctr" rtl="0">
            <a:defRPr sz="1000"/>
          </a:pPr>
          <a:r>
            <a:rPr lang="fr-FR" sz="800" b="0" i="0" u="none" strike="noStrike" baseline="0">
              <a:solidFill>
                <a:srgbClr val="000000"/>
              </a:solidFill>
              <a:latin typeface="Arial"/>
              <a:cs typeface="Arial"/>
            </a:rPr>
            <a:t>surv</a:t>
          </a:r>
        </a:p>
        <a:p xmlns:a="http://schemas.openxmlformats.org/drawingml/2006/main">
          <a:pPr algn="ctr" rtl="0">
            <a:defRPr sz="1000"/>
          </a:pPr>
          <a:r>
            <a:rPr lang="fr-FR" sz="800" b="0" i="0" u="none" strike="noStrike" baseline="0">
              <a:solidFill>
                <a:srgbClr val="000000"/>
              </a:solidFill>
              <a:latin typeface="Arial"/>
              <a:cs typeface="Arial"/>
            </a:rPr>
            <a:t>mag</a:t>
          </a:r>
        </a:p>
      </cdr:txBody>
    </cdr:sp>
  </cdr:relSizeAnchor>
  <cdr:relSizeAnchor xmlns:cdr="http://schemas.openxmlformats.org/drawingml/2006/chartDrawing">
    <cdr:from>
      <cdr:x>0.74034</cdr:x>
      <cdr:y>0.6417</cdr:y>
    </cdr:from>
    <cdr:to>
      <cdr:x>0.9676</cdr:x>
      <cdr:y>0.79901</cdr:y>
    </cdr:to>
    <cdr:sp macro="" textlink="">
      <cdr:nvSpPr>
        <cdr:cNvPr id="8198" name="Text Box 1030"/>
        <cdr:cNvSpPr txBox="1">
          <a:spLocks xmlns:a="http://schemas.openxmlformats.org/drawingml/2006/main" noChangeArrowheads="1"/>
        </cdr:cNvSpPr>
      </cdr:nvSpPr>
      <cdr:spPr bwMode="auto">
        <a:xfrm xmlns:a="http://schemas.openxmlformats.org/drawingml/2006/main">
          <a:off x="5791810" y="2668999"/>
          <a:ext cx="1777898" cy="654296"/>
        </a:xfrm>
        <a:prstGeom xmlns:a="http://schemas.openxmlformats.org/drawingml/2006/main" prst="rect">
          <a:avLst/>
        </a:prstGeom>
        <a:noFill xmlns:a="http://schemas.openxmlformats.org/drawingml/2006/main"/>
        <a:ln xmlns:a="http://schemas.openxmlformats.org/drawingml/2006/main" w="9525">
          <a:noFill/>
          <a:miter lim="800000"/>
          <a:headEnd/>
          <a:tailEnd/>
        </a:ln>
        <a:extLst xmlns:a="http://schemas.openxmlformats.org/drawingml/2006/main">
          <a:ext uri="{909E8E84-426E-40DD-AFC4-6F175D3DCCD1}">
            <a14:hiddenFill xmlns:a14="http://schemas.microsoft.com/office/drawing/2010/main">
              <a:solidFill>
                <a:srgbClr val="FFFFFF"/>
              </a:solidFill>
            </a14:hiddenFill>
          </a:ext>
        </a:extLst>
      </cdr:spPr>
      <cdr:txBody>
        <a:bodyPr xmlns:a="http://schemas.openxmlformats.org/drawingml/2006/main" vertOverflow="clip" wrap="square" lIns="36576" tIns="0" rIns="36576" bIns="27432" anchor="b" upright="1"/>
        <a:lstStyle xmlns:a="http://schemas.openxmlformats.org/drawingml/2006/main"/>
        <a:p xmlns:a="http://schemas.openxmlformats.org/drawingml/2006/main">
          <a:pPr algn="ctr" rtl="0">
            <a:defRPr sz="1000"/>
          </a:pPr>
          <a:r>
            <a:rPr lang="fr-FR" sz="800" b="0" i="0" u="none" strike="noStrike" baseline="0">
              <a:solidFill>
                <a:srgbClr val="000000"/>
              </a:solidFill>
              <a:latin typeface="Arial"/>
              <a:cs typeface="Arial"/>
            </a:rPr>
            <a:t>Agents non titulaires</a:t>
          </a: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mbre extrême">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99208F-E57B-42E2-A4C2-0C0967A9D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190</Pages>
  <Words>34186</Words>
  <Characters>188027</Characters>
  <Application>Microsoft Office Word</Application>
  <DocSecurity>0</DocSecurity>
  <Lines>1566</Lines>
  <Paragraphs>443</Paragraphs>
  <ScaleCrop>false</ScaleCrop>
  <HeadingPairs>
    <vt:vector size="2" baseType="variant">
      <vt:variant>
        <vt:lpstr>Titre</vt:lpstr>
      </vt:variant>
      <vt:variant>
        <vt:i4>1</vt:i4>
      </vt:variant>
    </vt:vector>
  </HeadingPairs>
  <TitlesOfParts>
    <vt:vector size="1" baseType="lpstr">
      <vt:lpstr/>
    </vt:vector>
  </TitlesOfParts>
  <Company>Ministere de la Culture et de la Communication</Company>
  <LinksUpToDate>false</LinksUpToDate>
  <CharactersWithSpaces>221770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isabelle.harasse</dc:creator>
  <cp:keywords/>
  <dc:description/>
  <cp:lastModifiedBy>Utilisateur</cp:lastModifiedBy>
  <cp:revision>2</cp:revision>
  <cp:lastPrinted>2015-02-20T10:00:00Z</cp:lastPrinted>
  <dcterms:created xsi:type="dcterms:W3CDTF">2015-02-25T14:04:00Z</dcterms:created>
  <dcterms:modified xsi:type="dcterms:W3CDTF">2015-02-25T14:04:00Z</dcterms:modified>
</cp:coreProperties>
</file>