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91C99" w:rsidRDefault="00FA79DB">
      <w:pPr>
        <w:pStyle w:val="En-tte1"/>
        <w:tabs>
          <w:tab w:val="left" w:pos="3686"/>
        </w:tabs>
      </w:pPr>
      <w:bookmarkStart w:id="0" w:name="_GoBack"/>
      <w:bookmarkEnd w:id="0"/>
      <w:r>
        <w:rPr>
          <w:sz w:val="20"/>
        </w:rPr>
        <w:t>1</w:t>
      </w:r>
      <w:r w:rsidR="00E2753F">
        <w:rPr>
          <w:noProof/>
          <w:sz w:val="20"/>
          <w:lang w:eastAsia="fr-FR"/>
        </w:rPr>
        <w:drawing>
          <wp:inline distT="0" distB="0" distL="0" distR="0">
            <wp:extent cx="714375" cy="9715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971550"/>
                    </a:xfrm>
                    <a:prstGeom prst="rect">
                      <a:avLst/>
                    </a:prstGeom>
                    <a:solidFill>
                      <a:srgbClr val="FFFFFF">
                        <a:alpha val="0"/>
                      </a:srgbClr>
                    </a:solidFill>
                    <a:ln>
                      <a:noFill/>
                    </a:ln>
                  </pic:spPr>
                </pic:pic>
              </a:graphicData>
            </a:graphic>
          </wp:inline>
        </w:drawing>
      </w:r>
      <w:r w:rsidR="00991C99">
        <w:rPr>
          <w:sz w:val="20"/>
        </w:rPr>
        <w:tab/>
      </w:r>
      <w:r w:rsidR="00991C99">
        <w:rPr>
          <w:b/>
          <w:bCs/>
          <w:sz w:val="20"/>
        </w:rPr>
        <w:t>FICHE DE POSTE</w:t>
      </w:r>
    </w:p>
    <w:p w:rsidR="00991C99" w:rsidRDefault="00991C99">
      <w:pPr>
        <w:rPr>
          <w:rFonts w:ascii="Times New Roman" w:hAnsi="Times New Roman" w:cs="Times New Roman"/>
        </w:rPr>
      </w:pPr>
    </w:p>
    <w:tbl>
      <w:tblPr>
        <w:tblW w:w="0" w:type="auto"/>
        <w:tblInd w:w="1" w:type="dxa"/>
        <w:tblLayout w:type="fixed"/>
        <w:tblCellMar>
          <w:left w:w="0" w:type="dxa"/>
          <w:right w:w="0" w:type="dxa"/>
        </w:tblCellMar>
        <w:tblLook w:val="0000" w:firstRow="0" w:lastRow="0" w:firstColumn="0" w:lastColumn="0" w:noHBand="0" w:noVBand="0"/>
      </w:tblPr>
      <w:tblGrid>
        <w:gridCol w:w="6379"/>
        <w:gridCol w:w="142"/>
        <w:gridCol w:w="4011"/>
      </w:tblGrid>
      <w:tr w:rsidR="00991C99">
        <w:tc>
          <w:tcPr>
            <w:tcW w:w="6379" w:type="dxa"/>
            <w:tcBorders>
              <w:top w:val="single" w:sz="1" w:space="0" w:color="000000"/>
              <w:left w:val="single" w:sz="1" w:space="0" w:color="000000"/>
              <w:bottom w:val="single" w:sz="1" w:space="0" w:color="000000"/>
            </w:tcBorders>
            <w:shd w:val="clear" w:color="auto" w:fill="auto"/>
          </w:tcPr>
          <w:p w:rsidR="00991C99" w:rsidRPr="00C415F9" w:rsidRDefault="001C3E1C" w:rsidP="0055768B">
            <w:pPr>
              <w:pStyle w:val="TableContents"/>
              <w:snapToGrid w:val="0"/>
              <w:rPr>
                <w:b/>
                <w:bCs/>
                <w:sz w:val="20"/>
              </w:rPr>
            </w:pPr>
            <w:r>
              <w:rPr>
                <w:b/>
                <w:bCs/>
                <w:sz w:val="20"/>
              </w:rPr>
              <w:t xml:space="preserve">Intitulé du poste : </w:t>
            </w:r>
            <w:r w:rsidR="0055768B">
              <w:rPr>
                <w:b/>
                <w:bCs/>
                <w:sz w:val="20"/>
              </w:rPr>
              <w:t>C</w:t>
            </w:r>
            <w:r>
              <w:rPr>
                <w:b/>
                <w:bCs/>
                <w:sz w:val="20"/>
              </w:rPr>
              <w:t>hargé</w:t>
            </w:r>
            <w:r w:rsidR="0055768B">
              <w:rPr>
                <w:b/>
                <w:bCs/>
                <w:sz w:val="20"/>
              </w:rPr>
              <w:t>/ée</w:t>
            </w:r>
            <w:r>
              <w:rPr>
                <w:b/>
                <w:bCs/>
                <w:sz w:val="20"/>
              </w:rPr>
              <w:t xml:space="preserve"> </w:t>
            </w:r>
            <w:r w:rsidR="00B1425A">
              <w:rPr>
                <w:b/>
                <w:bCs/>
                <w:sz w:val="20"/>
              </w:rPr>
              <w:t xml:space="preserve">de tutelle de l’OPPIC et </w:t>
            </w:r>
            <w:r>
              <w:rPr>
                <w:b/>
                <w:bCs/>
                <w:sz w:val="20"/>
              </w:rPr>
              <w:t>d</w:t>
            </w:r>
            <w:r w:rsidR="005A18EA">
              <w:rPr>
                <w:b/>
                <w:bCs/>
                <w:sz w:val="20"/>
              </w:rPr>
              <w:t>e synthèse</w:t>
            </w:r>
            <w:r w:rsidR="00C01CA6">
              <w:rPr>
                <w:b/>
                <w:bCs/>
                <w:sz w:val="20"/>
              </w:rPr>
              <w:t xml:space="preserve"> </w:t>
            </w:r>
            <w:r w:rsidR="005A18EA">
              <w:rPr>
                <w:b/>
                <w:bCs/>
                <w:sz w:val="20"/>
              </w:rPr>
              <w:t>sur les</w:t>
            </w:r>
            <w:r w:rsidR="00C01CA6">
              <w:rPr>
                <w:b/>
                <w:bCs/>
                <w:sz w:val="20"/>
              </w:rPr>
              <w:t xml:space="preserve"> </w:t>
            </w:r>
            <w:r w:rsidR="005A18EA">
              <w:rPr>
                <w:b/>
                <w:bCs/>
                <w:sz w:val="20"/>
              </w:rPr>
              <w:t>investissements</w:t>
            </w:r>
            <w:r w:rsidR="00E94BDA">
              <w:rPr>
                <w:b/>
                <w:bCs/>
                <w:sz w:val="20"/>
              </w:rPr>
              <w:t xml:space="preserve"> des</w:t>
            </w:r>
            <w:r w:rsidR="005A18EA">
              <w:rPr>
                <w:b/>
                <w:bCs/>
                <w:sz w:val="20"/>
              </w:rPr>
              <w:t xml:space="preserve"> opérateurs</w:t>
            </w:r>
          </w:p>
        </w:tc>
        <w:tc>
          <w:tcPr>
            <w:tcW w:w="142" w:type="dxa"/>
            <w:tcBorders>
              <w:left w:val="single" w:sz="1" w:space="0" w:color="000000"/>
            </w:tcBorders>
            <w:shd w:val="clear" w:color="auto" w:fill="auto"/>
          </w:tcPr>
          <w:p w:rsidR="00991C99" w:rsidRDefault="00991C99">
            <w:pPr>
              <w:pStyle w:val="TableContents"/>
              <w:snapToGrid w:val="0"/>
              <w:rPr>
                <w:sz w:val="20"/>
              </w:rPr>
            </w:pPr>
          </w:p>
        </w:tc>
        <w:tc>
          <w:tcPr>
            <w:tcW w:w="4011"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991C99" w:rsidP="006E29A6">
            <w:pPr>
              <w:pStyle w:val="TableContents"/>
              <w:snapToGrid w:val="0"/>
              <w:rPr>
                <w:i/>
                <w:sz w:val="20"/>
              </w:rPr>
            </w:pPr>
            <w:r>
              <w:rPr>
                <w:b/>
                <w:sz w:val="20"/>
              </w:rPr>
              <w:t>Catégorie A – Attaché d’administration</w:t>
            </w:r>
            <w:r>
              <w:rPr>
                <w:b/>
                <w:sz w:val="20"/>
              </w:rPr>
              <w:br/>
            </w:r>
            <w:r>
              <w:rPr>
                <w:b/>
                <w:i/>
                <w:sz w:val="20"/>
              </w:rPr>
              <w:t xml:space="preserve">Ouvert aux contractuels </w:t>
            </w:r>
          </w:p>
        </w:tc>
      </w:tr>
    </w:tbl>
    <w:p w:rsidR="00991C99" w:rsidRDefault="00991C99">
      <w:pPr>
        <w:pStyle w:val="TableContents"/>
      </w:pPr>
    </w:p>
    <w:tbl>
      <w:tblPr>
        <w:tblW w:w="0" w:type="auto"/>
        <w:tblInd w:w="1" w:type="dxa"/>
        <w:tblLayout w:type="fixed"/>
        <w:tblCellMar>
          <w:left w:w="0" w:type="dxa"/>
          <w:right w:w="0" w:type="dxa"/>
        </w:tblCellMar>
        <w:tblLook w:val="0000" w:firstRow="0" w:lastRow="0" w:firstColumn="0" w:lastColumn="0" w:noHBand="0" w:noVBand="0"/>
      </w:tblPr>
      <w:tblGrid>
        <w:gridCol w:w="10532"/>
      </w:tblGrid>
      <w:tr w:rsidR="00991C99">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991C99">
            <w:pPr>
              <w:pStyle w:val="TableContents"/>
              <w:snapToGrid w:val="0"/>
            </w:pPr>
            <w:r>
              <w:rPr>
                <w:sz w:val="20"/>
              </w:rPr>
              <w:t>Domaine(s) Fonctionnel(s) :</w:t>
            </w:r>
            <w:r>
              <w:rPr>
                <w:b/>
                <w:sz w:val="20"/>
              </w:rPr>
              <w:t xml:space="preserve"> administration générale</w:t>
            </w:r>
          </w:p>
        </w:tc>
      </w:tr>
    </w:tbl>
    <w:p w:rsidR="00991C99" w:rsidRDefault="00991C99">
      <w:pPr>
        <w:pStyle w:val="TableContents"/>
      </w:pPr>
    </w:p>
    <w:tbl>
      <w:tblPr>
        <w:tblW w:w="0" w:type="auto"/>
        <w:tblInd w:w="1" w:type="dxa"/>
        <w:tblLayout w:type="fixed"/>
        <w:tblCellMar>
          <w:left w:w="0" w:type="dxa"/>
          <w:right w:w="0" w:type="dxa"/>
        </w:tblCellMar>
        <w:tblLook w:val="0000" w:firstRow="0" w:lastRow="0" w:firstColumn="0" w:lastColumn="0" w:noHBand="0" w:noVBand="0"/>
      </w:tblPr>
      <w:tblGrid>
        <w:gridCol w:w="10532"/>
      </w:tblGrid>
      <w:tr w:rsidR="00991C99">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991C99" w:rsidP="001C3E1C">
            <w:pPr>
              <w:pStyle w:val="TableContents"/>
              <w:snapToGrid w:val="0"/>
            </w:pPr>
            <w:r>
              <w:rPr>
                <w:sz w:val="20"/>
              </w:rPr>
              <w:t>Emploi(s) Type :</w:t>
            </w:r>
            <w:r w:rsidR="0023451C">
              <w:rPr>
                <w:sz w:val="20"/>
              </w:rPr>
              <w:t xml:space="preserve"> gestion budgétaire et financière</w:t>
            </w:r>
            <w:r>
              <w:rPr>
                <w:sz w:val="20"/>
              </w:rPr>
              <w:t xml:space="preserve"> </w:t>
            </w:r>
            <w:r w:rsidRPr="00B63B4D">
              <w:rPr>
                <w:sz w:val="20"/>
                <w:highlight w:val="yellow"/>
              </w:rPr>
              <w:t>(FPEGB03)</w:t>
            </w:r>
          </w:p>
        </w:tc>
      </w:tr>
    </w:tbl>
    <w:p w:rsidR="00991C99" w:rsidRDefault="00991C99">
      <w:pPr>
        <w:pStyle w:val="TableContents"/>
      </w:pPr>
    </w:p>
    <w:tbl>
      <w:tblPr>
        <w:tblW w:w="0" w:type="auto"/>
        <w:tblInd w:w="1" w:type="dxa"/>
        <w:tblLayout w:type="fixed"/>
        <w:tblCellMar>
          <w:left w:w="0" w:type="dxa"/>
          <w:right w:w="0" w:type="dxa"/>
        </w:tblCellMar>
        <w:tblLook w:val="0000" w:firstRow="0" w:lastRow="0" w:firstColumn="0" w:lastColumn="0" w:noHBand="0" w:noVBand="0"/>
      </w:tblPr>
      <w:tblGrid>
        <w:gridCol w:w="10532"/>
      </w:tblGrid>
      <w:tr w:rsidR="00991C99">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991C99">
            <w:pPr>
              <w:pStyle w:val="TableContents"/>
              <w:snapToGrid w:val="0"/>
              <w:rPr>
                <w:sz w:val="20"/>
              </w:rPr>
            </w:pPr>
            <w:r>
              <w:rPr>
                <w:b/>
                <w:sz w:val="20"/>
              </w:rPr>
              <w:t>Localisation administrative et géographique / Affectation :</w:t>
            </w:r>
          </w:p>
          <w:p w:rsidR="00991C99" w:rsidRDefault="00991C99">
            <w:pPr>
              <w:pStyle w:val="TableContents"/>
              <w:rPr>
                <w:sz w:val="20"/>
              </w:rPr>
            </w:pPr>
            <w:r>
              <w:rPr>
                <w:sz w:val="20"/>
              </w:rPr>
              <w:t>Ministère de la culture et de la communication</w:t>
            </w:r>
          </w:p>
          <w:p w:rsidR="00C415F9" w:rsidRDefault="00991C99" w:rsidP="00C415F9">
            <w:pPr>
              <w:pStyle w:val="TableContents"/>
              <w:rPr>
                <w:sz w:val="20"/>
              </w:rPr>
            </w:pPr>
            <w:r>
              <w:rPr>
                <w:sz w:val="20"/>
              </w:rPr>
              <w:t>Secrétariat général – Service des aff</w:t>
            </w:r>
            <w:r w:rsidR="007034C5">
              <w:rPr>
                <w:sz w:val="20"/>
              </w:rPr>
              <w:t>aires financières et générales</w:t>
            </w:r>
            <w:r>
              <w:rPr>
                <w:sz w:val="20"/>
              </w:rPr>
              <w:t xml:space="preserve"> / </w:t>
            </w:r>
            <w:r w:rsidR="00EC5E56" w:rsidRPr="00E136D1">
              <w:rPr>
                <w:bCs/>
                <w:sz w:val="20"/>
              </w:rPr>
              <w:t>département des affaires budgétaires et de la synthèse</w:t>
            </w:r>
          </w:p>
          <w:p w:rsidR="00991C99" w:rsidRDefault="00991C99" w:rsidP="00C415F9">
            <w:pPr>
              <w:pStyle w:val="TableContents"/>
            </w:pPr>
            <w:r>
              <w:rPr>
                <w:sz w:val="20"/>
              </w:rPr>
              <w:t>182, rue Saint-Honoré</w:t>
            </w:r>
            <w:r>
              <w:rPr>
                <w:sz w:val="20"/>
              </w:rPr>
              <w:br/>
              <w:t>75033 PARIS CEDEX 1</w:t>
            </w:r>
          </w:p>
        </w:tc>
      </w:tr>
    </w:tbl>
    <w:p w:rsidR="00991C99" w:rsidRDefault="00991C99">
      <w:pPr>
        <w:pStyle w:val="TableContents"/>
      </w:pPr>
    </w:p>
    <w:tbl>
      <w:tblPr>
        <w:tblW w:w="0" w:type="auto"/>
        <w:tblInd w:w="1" w:type="dxa"/>
        <w:tblLayout w:type="fixed"/>
        <w:tblCellMar>
          <w:left w:w="0" w:type="dxa"/>
          <w:right w:w="0" w:type="dxa"/>
        </w:tblCellMar>
        <w:tblLook w:val="0000" w:firstRow="0" w:lastRow="0" w:firstColumn="0" w:lastColumn="0" w:noHBand="0" w:noVBand="0"/>
      </w:tblPr>
      <w:tblGrid>
        <w:gridCol w:w="10532"/>
      </w:tblGrid>
      <w:tr w:rsidR="00991C99">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991C99">
            <w:pPr>
              <w:pStyle w:val="TableContents"/>
              <w:snapToGrid w:val="0"/>
              <w:ind w:right="-356"/>
            </w:pPr>
            <w:r>
              <w:rPr>
                <w:b/>
                <w:sz w:val="20"/>
              </w:rPr>
              <w:t>Missions et activités principales :</w:t>
            </w:r>
          </w:p>
          <w:p w:rsidR="00653D14" w:rsidRPr="00B11BA7" w:rsidRDefault="00653D14" w:rsidP="00653D14">
            <w:pPr>
              <w:ind w:left="72" w:firstLine="30"/>
              <w:jc w:val="both"/>
              <w:rPr>
                <w:rFonts w:ascii="Times New Roman" w:hAnsi="Times New Roman"/>
              </w:rPr>
            </w:pPr>
          </w:p>
          <w:p w:rsidR="00EC5E56" w:rsidRPr="00CB7020" w:rsidRDefault="00EC5E56" w:rsidP="00EC5E56">
            <w:pPr>
              <w:pStyle w:val="Contenudetableau"/>
              <w:jc w:val="both"/>
              <w:rPr>
                <w:rFonts w:ascii="Times New Roman" w:hAnsi="Times New Roman" w:cs="Times New Roman"/>
              </w:rPr>
            </w:pPr>
            <w:r w:rsidRPr="00CB7020">
              <w:rPr>
                <w:rFonts w:ascii="Times New Roman" w:hAnsi="Times New Roman" w:cs="Times New Roman"/>
              </w:rPr>
              <w:t>Au sein du service des affaires financières et générales, le département des affaires budgétaires et de la synthèse assume à titre principal les missions suivantes :</w:t>
            </w:r>
          </w:p>
          <w:p w:rsidR="00EC5E56" w:rsidRDefault="00EC5E56" w:rsidP="00EC5E56">
            <w:pPr>
              <w:pStyle w:val="Standard"/>
              <w:ind w:left="72" w:firstLine="30"/>
              <w:jc w:val="both"/>
            </w:pPr>
            <w:r>
              <w:rPr>
                <w:rFonts w:ascii="Times New Roman" w:hAnsi="Times New Roman"/>
                <w:b/>
              </w:rPr>
              <w:t xml:space="preserve">- Proposer et mettre en œuvre la stratégie budgétaire ministérielle </w:t>
            </w:r>
            <w:r>
              <w:rPr>
                <w:rFonts w:ascii="Times New Roman" w:hAnsi="Times New Roman"/>
              </w:rPr>
              <w:t>en liaison avec les équipes des responsables de programme et au regard des orientations ministérielles : élaboration et proposition de la stratégie budgétaire ministérielle et suivi de sa mise en œuvre pour le compte du responsable de la fonction financière ministérielle (RFFIM) ; production d’analyses budgétaires et financières rétrospectives par grandes natures de dépenses (et de recettes, pour ce qui concerne les opérateurs) ; pilotage des projections pluriannuelles ministérielles et identification des risques financiers et des mesures de couverture à l’échelle ministérielle ; coordination du processus budgétaire (crédits budgétaires, emplois, dépenses fiscales) et de la rédaction des documents afférents aux lois de finances (PAP, RAP, jaunes, etc.), depuis l’élaboration et la négociation des projets de lois de finances jusqu’à la programmation des crédits, en liaison avec les équipes des responsables de programme, le service des ressources humaines et la direction du budget sur le périmètre des deux missions, « Culture » et « médias, livre et industries culturelles » ; production des documents de synthèses transversaux ; proposition et préparation des arbitrages budgétaires à l’échelle ministérielle.</w:t>
            </w:r>
          </w:p>
          <w:p w:rsidR="00EC5E56" w:rsidRDefault="00EC5E56" w:rsidP="00EC5E56">
            <w:pPr>
              <w:pStyle w:val="Standard"/>
              <w:tabs>
                <w:tab w:val="left" w:pos="762"/>
              </w:tabs>
              <w:suppressAutoHyphens w:val="0"/>
              <w:ind w:left="72" w:firstLine="72"/>
              <w:jc w:val="both"/>
              <w:textAlignment w:val="baseline"/>
            </w:pPr>
            <w:r>
              <w:rPr>
                <w:rFonts w:ascii="Times New Roman" w:hAnsi="Times New Roman"/>
                <w:b/>
              </w:rPr>
              <w:t xml:space="preserve">- Produire les documents de référence en matière de règles et d’organisation budgétaires du ministère et de ses opérateurs et suivre leur mise en œuvre : </w:t>
            </w:r>
            <w:r>
              <w:rPr>
                <w:rFonts w:ascii="Times New Roman" w:hAnsi="Times New Roman"/>
              </w:rPr>
              <w:t>déclinaison des macro-processus budgétaires et administration des référentiels ; organisation des fonctions et réseaux financiers ministériels dans le cadre du décret relatif à la gestion budgétaire et comptable publique du 7 novembre 2012 ; élaboration de la doctrine et expertise sur les outils de budgétisation et de programmation ; mise en œuvre du contrôle interne budgétaire ministériel ; déclinaison et diffusion aux réseaux financiers ministériels et aux opérateurs des circulaires de la direction du Budget.</w:t>
            </w:r>
          </w:p>
          <w:p w:rsidR="00EC5E56" w:rsidRDefault="00EC5E56" w:rsidP="00EC5E56">
            <w:pPr>
              <w:pStyle w:val="Standard"/>
              <w:tabs>
                <w:tab w:val="left" w:pos="762"/>
              </w:tabs>
              <w:suppressAutoHyphens w:val="0"/>
              <w:ind w:left="72" w:firstLine="72"/>
              <w:jc w:val="both"/>
              <w:textAlignment w:val="baseline"/>
            </w:pPr>
            <w:r>
              <w:rPr>
                <w:rFonts w:ascii="Times New Roman" w:hAnsi="Times New Roman"/>
                <w:b/>
              </w:rPr>
              <w:t xml:space="preserve">- Procéder à la validation de la programmation, au suivi de l’exécution budgétaire et à la production de la synthèse analytique : </w:t>
            </w:r>
            <w:r>
              <w:rPr>
                <w:rFonts w:ascii="Times New Roman" w:hAnsi="Times New Roman"/>
              </w:rPr>
              <w:t>suivi de la mise en œuvre de la réforme du contrôle financier et coordination des relations avec les services du CBCM ; suivi de l’exécution budgétaire et examen de la soutenabilité budgétaire infra-annuelle au niveau de chaque mission ; cadrage et contrôle de la mise en œuvre des procédures de programmation ministérielle (mises à disposition, mise en réserve, recyclages des crédits) et des compte-rendus de gestion ; coordination des relations avec le Parlement et les instances de contrôle (Cour des comptes, IGF, etc.).</w:t>
            </w:r>
          </w:p>
          <w:p w:rsidR="00EC5E56" w:rsidRDefault="00EC5E56" w:rsidP="00EC5E56">
            <w:pPr>
              <w:pStyle w:val="Standard"/>
              <w:tabs>
                <w:tab w:val="left" w:pos="762"/>
              </w:tabs>
              <w:suppressAutoHyphens w:val="0"/>
              <w:ind w:left="72" w:firstLine="72"/>
              <w:jc w:val="both"/>
              <w:textAlignment w:val="baseline"/>
            </w:pPr>
            <w:r>
              <w:rPr>
                <w:rFonts w:ascii="Times New Roman" w:hAnsi="Times New Roman"/>
                <w:b/>
              </w:rPr>
              <w:t xml:space="preserve">- Concevoir et diffuser la doctrine de la tutelle et du pilotage stratégique des opérateurs en liaison avec les services et directions compétents : </w:t>
            </w:r>
            <w:r>
              <w:rPr>
                <w:rFonts w:ascii="Times New Roman" w:hAnsi="Times New Roman"/>
              </w:rPr>
              <w:t xml:space="preserve">élaboration et diffusion des cadres, outils et éléments de doctrine relatifs au pilotage stratégique (lettres de mission, contrats de performance, etc.) et à la tutelle administrative et financière, notamment sous la forme de « guide de la tutelle » ; définition des grilles d’indicateurs de suivi des opérateurs (cahier de suivi, fiches d’identité, etc.) ; animation et coordination des services et directions de tutelle en termes de méthodologie de la tutelle et suivi de sa mise en œuvre ; définition des modalités et outils de </w:t>
            </w:r>
            <w:r>
              <w:rPr>
                <w:rFonts w:ascii="Times New Roman" w:hAnsi="Times New Roman"/>
                <w:i/>
                <w:iCs/>
              </w:rPr>
              <w:t>reporting</w:t>
            </w:r>
            <w:r>
              <w:rPr>
                <w:rFonts w:ascii="Times New Roman" w:hAnsi="Times New Roman"/>
              </w:rPr>
              <w:t xml:space="preserve"> sur le champ des opérateurs.</w:t>
            </w:r>
          </w:p>
          <w:p w:rsidR="00EC5E56" w:rsidRDefault="00EC5E56" w:rsidP="00EC5E56">
            <w:pPr>
              <w:pStyle w:val="Standard"/>
              <w:tabs>
                <w:tab w:val="left" w:pos="762"/>
              </w:tabs>
              <w:suppressAutoHyphens w:val="0"/>
              <w:ind w:left="72" w:firstLine="72"/>
              <w:jc w:val="both"/>
              <w:textAlignment w:val="baseline"/>
            </w:pPr>
            <w:r>
              <w:rPr>
                <w:rFonts w:ascii="Times New Roman" w:hAnsi="Times New Roman"/>
                <w:b/>
              </w:rPr>
              <w:t xml:space="preserve">- Soutenir les services et directions générales dans la mise en œuvre de la tutelle administrative et financière opérationnelle : </w:t>
            </w:r>
            <w:r>
              <w:rPr>
                <w:rFonts w:ascii="Times New Roman" w:hAnsi="Times New Roman"/>
              </w:rPr>
              <w:t>mise en œuvre d’analyses comparatives et historiques en liaison avec les services et directions de tutelle ; définition de cadrages transversaux sur les sujets communs aux opérateurs en liaison avec les services spécialisés du secrétariat général (RH, immobilier, achat, juridique, etc.) ;expertise administrative et financière à la demande des DG ; identification et diffusion des bonnes pratiques ; animation du réseau des opérateurs sur les questions administratives et financières en liaison avec les services et directions de tutelle et coordination des autres réseaux thématiques opérateurs.</w:t>
            </w:r>
          </w:p>
          <w:p w:rsidR="00EC5E56" w:rsidRDefault="00EC5E56" w:rsidP="00EC5E56">
            <w:pPr>
              <w:tabs>
                <w:tab w:val="left" w:pos="7655"/>
              </w:tabs>
              <w:jc w:val="both"/>
              <w:rPr>
                <w:rFonts w:ascii="Times New Roman" w:hAnsi="Times New Roman"/>
              </w:rPr>
            </w:pPr>
            <w:r w:rsidRPr="00B11BA7">
              <w:rPr>
                <w:rFonts w:ascii="Times New Roman" w:hAnsi="Times New Roman"/>
              </w:rPr>
              <w:t xml:space="preserve">Du fait de ses fonctions transverses, le département participe aux instances de </w:t>
            </w:r>
            <w:r>
              <w:rPr>
                <w:rFonts w:ascii="Times New Roman" w:hAnsi="Times New Roman"/>
              </w:rPr>
              <w:t xml:space="preserve">gouvernance et </w:t>
            </w:r>
            <w:r w:rsidRPr="00B11BA7">
              <w:rPr>
                <w:rFonts w:ascii="Times New Roman" w:hAnsi="Times New Roman"/>
              </w:rPr>
              <w:t xml:space="preserve">dialogue de gestion du ministère, en relation avec une pluralité d’acteurs, internes et externes : </w:t>
            </w:r>
            <w:r>
              <w:rPr>
                <w:rFonts w:ascii="Times New Roman" w:hAnsi="Times New Roman"/>
              </w:rPr>
              <w:t xml:space="preserve">secrétariat du comité </w:t>
            </w:r>
            <w:r w:rsidRPr="00B11BA7">
              <w:rPr>
                <w:rFonts w:ascii="Times New Roman" w:hAnsi="Times New Roman"/>
              </w:rPr>
              <w:t>des responsables financiers</w:t>
            </w:r>
            <w:r>
              <w:rPr>
                <w:rFonts w:ascii="Times New Roman" w:hAnsi="Times New Roman"/>
              </w:rPr>
              <w:t xml:space="preserve"> et</w:t>
            </w:r>
            <w:r w:rsidRPr="00B11BA7">
              <w:rPr>
                <w:rFonts w:ascii="Times New Roman" w:hAnsi="Times New Roman"/>
              </w:rPr>
              <w:t xml:space="preserve"> du collège des </w:t>
            </w:r>
            <w:r w:rsidRPr="00B11BA7">
              <w:rPr>
                <w:rFonts w:ascii="Times New Roman" w:hAnsi="Times New Roman"/>
              </w:rPr>
              <w:lastRenderedPageBreak/>
              <w:t>responsables de programme</w:t>
            </w:r>
            <w:r>
              <w:rPr>
                <w:rFonts w:ascii="Times New Roman" w:hAnsi="Times New Roman"/>
              </w:rPr>
              <w:t xml:space="preserve">, </w:t>
            </w:r>
            <w:r w:rsidRPr="00B11BA7">
              <w:rPr>
                <w:rFonts w:ascii="Times New Roman" w:hAnsi="Times New Roman"/>
              </w:rPr>
              <w:t>animation des réseaux financ</w:t>
            </w:r>
            <w:r>
              <w:rPr>
                <w:rFonts w:ascii="Times New Roman" w:hAnsi="Times New Roman"/>
              </w:rPr>
              <w:t>iers locaux et centraux, en liaison</w:t>
            </w:r>
            <w:r w:rsidRPr="00B11BA7">
              <w:rPr>
                <w:rFonts w:ascii="Times New Roman" w:hAnsi="Times New Roman"/>
              </w:rPr>
              <w:t xml:space="preserve"> avec les autres services concernés du SAFIG, du SG, des DG, des SCN et des DRAC</w:t>
            </w:r>
            <w:r>
              <w:rPr>
                <w:rFonts w:ascii="Times New Roman" w:hAnsi="Times New Roman"/>
              </w:rPr>
              <w:t> ;</w:t>
            </w:r>
            <w:r w:rsidRPr="00B11BA7">
              <w:rPr>
                <w:rFonts w:ascii="Times New Roman" w:hAnsi="Times New Roman"/>
              </w:rPr>
              <w:t xml:space="preserve"> </w:t>
            </w:r>
            <w:r>
              <w:rPr>
                <w:rFonts w:ascii="Times New Roman" w:hAnsi="Times New Roman"/>
              </w:rPr>
              <w:t xml:space="preserve">co-secrétariat </w:t>
            </w:r>
            <w:r w:rsidRPr="00B11BA7">
              <w:rPr>
                <w:rFonts w:ascii="Times New Roman" w:hAnsi="Times New Roman"/>
              </w:rPr>
              <w:t>de la commission ministérielle des projets immobiliers</w:t>
            </w:r>
            <w:r>
              <w:rPr>
                <w:rFonts w:ascii="Times New Roman" w:hAnsi="Times New Roman"/>
              </w:rPr>
              <w:t> ;</w:t>
            </w:r>
            <w:r w:rsidRPr="00B11BA7">
              <w:rPr>
                <w:rFonts w:ascii="Times New Roman" w:hAnsi="Times New Roman"/>
              </w:rPr>
              <w:t xml:space="preserve"> animation du réseau des </w:t>
            </w:r>
            <w:r>
              <w:rPr>
                <w:rFonts w:ascii="Times New Roman" w:hAnsi="Times New Roman"/>
              </w:rPr>
              <w:t xml:space="preserve">DAF et SG des </w:t>
            </w:r>
            <w:r w:rsidRPr="00B11BA7">
              <w:rPr>
                <w:rFonts w:ascii="Times New Roman" w:hAnsi="Times New Roman"/>
              </w:rPr>
              <w:t>opérateurs et coordination de la tutelle au niveau ministériel ; représentation du ministère aux réunions interministérielles ayant une dimension budgétaire.</w:t>
            </w:r>
            <w:r>
              <w:rPr>
                <w:rFonts w:ascii="Times New Roman" w:hAnsi="Times New Roman"/>
              </w:rPr>
              <w:t xml:space="preserve"> </w:t>
            </w:r>
          </w:p>
          <w:p w:rsidR="006A5170" w:rsidRDefault="006A5170">
            <w:pPr>
              <w:jc w:val="both"/>
              <w:rPr>
                <w:rFonts w:ascii="Times New Roman" w:hAnsi="Times New Roman" w:cs="Times New Roman"/>
              </w:rPr>
            </w:pPr>
          </w:p>
          <w:p w:rsidR="00E61711" w:rsidRDefault="00E61711" w:rsidP="00E61711">
            <w:pPr>
              <w:pStyle w:val="Standard"/>
              <w:spacing w:after="0"/>
              <w:jc w:val="both"/>
              <w:rPr>
                <w:rFonts w:ascii="Times New Roman" w:hAnsi="Times New Roman" w:cs="Times New Roman"/>
              </w:rPr>
            </w:pPr>
            <w:r>
              <w:rPr>
                <w:rFonts w:ascii="Times New Roman" w:hAnsi="Times New Roman" w:cs="Times New Roman"/>
              </w:rPr>
              <w:t xml:space="preserve">Au sein du </w:t>
            </w:r>
            <w:r w:rsidRPr="00275F3A">
              <w:rPr>
                <w:rFonts w:ascii="Times New Roman" w:hAnsi="Times New Roman" w:cs="Times New Roman"/>
              </w:rPr>
              <w:t>département</w:t>
            </w:r>
            <w:r>
              <w:rPr>
                <w:rFonts w:ascii="Times New Roman" w:hAnsi="Times New Roman" w:cs="Times New Roman"/>
              </w:rPr>
              <w:t xml:space="preserve"> composé de </w:t>
            </w:r>
            <w:r w:rsidR="004E50B2" w:rsidRPr="004E50B2">
              <w:rPr>
                <w:rFonts w:ascii="Times New Roman" w:hAnsi="Times New Roman" w:cs="Times New Roman"/>
              </w:rPr>
              <w:t>13</w:t>
            </w:r>
            <w:r>
              <w:rPr>
                <w:rFonts w:ascii="Times New Roman" w:hAnsi="Times New Roman" w:cs="Times New Roman"/>
              </w:rPr>
              <w:t xml:space="preserve"> personnes, dont le chef de département et le chef </w:t>
            </w:r>
            <w:r w:rsidR="00426997">
              <w:rPr>
                <w:rFonts w:ascii="Times New Roman" w:hAnsi="Times New Roman" w:cs="Times New Roman"/>
              </w:rPr>
              <w:t xml:space="preserve">adjoint </w:t>
            </w:r>
            <w:r>
              <w:rPr>
                <w:rFonts w:ascii="Times New Roman" w:hAnsi="Times New Roman" w:cs="Times New Roman"/>
              </w:rPr>
              <w:t>de département, le titulaire du poste est chargé des missions suivantes :</w:t>
            </w:r>
          </w:p>
          <w:p w:rsidR="004E50B2" w:rsidRDefault="00AF72A6" w:rsidP="00E61711">
            <w:pPr>
              <w:numPr>
                <w:ilvl w:val="0"/>
                <w:numId w:val="2"/>
              </w:numPr>
              <w:jc w:val="both"/>
              <w:rPr>
                <w:rFonts w:ascii="Times New Roman" w:hAnsi="Times New Roman" w:cs="Times New Roman"/>
              </w:rPr>
            </w:pPr>
            <w:r>
              <w:rPr>
                <w:rFonts w:ascii="Times New Roman" w:hAnsi="Times New Roman" w:cs="Times New Roman"/>
                <w:b/>
              </w:rPr>
              <w:t>t</w:t>
            </w:r>
            <w:r w:rsidR="004E50B2">
              <w:rPr>
                <w:rFonts w:ascii="Times New Roman" w:hAnsi="Times New Roman" w:cs="Times New Roman"/>
                <w:b/>
              </w:rPr>
              <w:t xml:space="preserve">utelle administrative et financière de l’Opérateur du patrimoine et des projets immobiliers de la culture (OPPIC) : </w:t>
            </w:r>
            <w:r w:rsidR="004E50B2" w:rsidRPr="004E50B2">
              <w:rPr>
                <w:rFonts w:ascii="Times New Roman" w:hAnsi="Times New Roman" w:cs="Times New Roman"/>
              </w:rPr>
              <w:t>préparation des conseils d’administration, en expertisant</w:t>
            </w:r>
            <w:r w:rsidR="004E50B2">
              <w:rPr>
                <w:rFonts w:ascii="Times New Roman" w:hAnsi="Times New Roman" w:cs="Times New Roman"/>
              </w:rPr>
              <w:t xml:space="preserve"> directement et en coordonnant les compétences des différents services du Secrétariat général : budget initial,</w:t>
            </w:r>
            <w:r w:rsidR="00181A7C">
              <w:rPr>
                <w:rFonts w:ascii="Times New Roman" w:hAnsi="Times New Roman" w:cs="Times New Roman"/>
              </w:rPr>
              <w:t xml:space="preserve"> décision modificative,</w:t>
            </w:r>
            <w:r w:rsidR="004E50B2">
              <w:rPr>
                <w:rFonts w:ascii="Times New Roman" w:hAnsi="Times New Roman" w:cs="Times New Roman"/>
              </w:rPr>
              <w:t xml:space="preserve"> exécution</w:t>
            </w:r>
            <w:r w:rsidR="00181A7C">
              <w:rPr>
                <w:rFonts w:ascii="Times New Roman" w:hAnsi="Times New Roman" w:cs="Times New Roman"/>
              </w:rPr>
              <w:t xml:space="preserve"> budgétaire ; suivi des questions de gestion ressources humaines (masse salariale, plafond d’emploi) </w:t>
            </w:r>
            <w:r w:rsidR="004E50B2">
              <w:rPr>
                <w:rFonts w:ascii="Times New Roman" w:hAnsi="Times New Roman" w:cs="Times New Roman"/>
              </w:rPr>
              <w:t xml:space="preserve">; </w:t>
            </w:r>
            <w:r w:rsidR="00181A7C">
              <w:rPr>
                <w:rFonts w:ascii="Times New Roman" w:hAnsi="Times New Roman" w:cs="Times New Roman"/>
              </w:rPr>
              <w:t xml:space="preserve">suivi de tous les points administratifs et financiers et de la mise en œuvre des délibérations du conseil d’administration. </w:t>
            </w:r>
          </w:p>
          <w:p w:rsidR="00181A7C" w:rsidRPr="00BC49F3" w:rsidRDefault="000F743F" w:rsidP="005D5F0F">
            <w:pPr>
              <w:numPr>
                <w:ilvl w:val="0"/>
                <w:numId w:val="2"/>
              </w:numPr>
              <w:jc w:val="both"/>
              <w:rPr>
                <w:rFonts w:ascii="Times New Roman" w:hAnsi="Times New Roman" w:cs="Times New Roman"/>
                <w:b/>
              </w:rPr>
            </w:pPr>
            <w:r>
              <w:rPr>
                <w:rFonts w:ascii="Times New Roman" w:hAnsi="Times New Roman" w:cs="Times New Roman"/>
                <w:b/>
              </w:rPr>
              <w:t>s</w:t>
            </w:r>
            <w:r w:rsidR="00181A7C" w:rsidRPr="00181A7C">
              <w:rPr>
                <w:rFonts w:ascii="Times New Roman" w:hAnsi="Times New Roman" w:cs="Times New Roman"/>
                <w:b/>
              </w:rPr>
              <w:t xml:space="preserve">uivi des projets pour lesquels l’OPPIC assure la maîtrise d’ouvrage par délégation : </w:t>
            </w:r>
            <w:r w:rsidR="00181A7C" w:rsidRPr="00181A7C">
              <w:rPr>
                <w:rFonts w:ascii="Times New Roman" w:hAnsi="Times New Roman" w:cs="Times New Roman"/>
              </w:rPr>
              <w:t>expertise des conventions de mandat</w:t>
            </w:r>
            <w:r w:rsidR="00426997">
              <w:rPr>
                <w:rFonts w:ascii="Times New Roman" w:hAnsi="Times New Roman" w:cs="Times New Roman"/>
              </w:rPr>
              <w:t>, convention d’études préalables</w:t>
            </w:r>
            <w:r w:rsidR="00181A7C" w:rsidRPr="00181A7C">
              <w:rPr>
                <w:rFonts w:ascii="Times New Roman" w:hAnsi="Times New Roman" w:cs="Times New Roman"/>
              </w:rPr>
              <w:t xml:space="preserve"> et</w:t>
            </w:r>
            <w:r w:rsidR="00426997">
              <w:rPr>
                <w:rFonts w:ascii="Times New Roman" w:hAnsi="Times New Roman" w:cs="Times New Roman"/>
              </w:rPr>
              <w:t xml:space="preserve"> coordination</w:t>
            </w:r>
            <w:r w:rsidR="00181A7C" w:rsidRPr="00181A7C">
              <w:rPr>
                <w:rFonts w:ascii="Times New Roman" w:hAnsi="Times New Roman" w:cs="Times New Roman"/>
              </w:rPr>
              <w:t xml:space="preserve"> de la convention cadre, </w:t>
            </w:r>
            <w:r w:rsidR="00426997">
              <w:rPr>
                <w:rFonts w:ascii="Times New Roman" w:hAnsi="Times New Roman" w:cs="Times New Roman"/>
              </w:rPr>
              <w:t>en liaison avec les services des directions générales ; suivi en synthèse des opérations confiées à l’OPPIC en liaison avec le bureau de la politique immobilière et</w:t>
            </w:r>
            <w:r w:rsidR="00181A7C" w:rsidRPr="00181A7C">
              <w:rPr>
                <w:rFonts w:ascii="Times New Roman" w:hAnsi="Times New Roman" w:cs="Times New Roman"/>
              </w:rPr>
              <w:t xml:space="preserve"> les chargés </w:t>
            </w:r>
            <w:r w:rsidR="00426997">
              <w:rPr>
                <w:rFonts w:ascii="Times New Roman" w:hAnsi="Times New Roman" w:cs="Times New Roman"/>
              </w:rPr>
              <w:t>d’analyses</w:t>
            </w:r>
            <w:r w:rsidR="00181A7C" w:rsidRPr="00181A7C">
              <w:rPr>
                <w:rFonts w:ascii="Times New Roman" w:hAnsi="Times New Roman" w:cs="Times New Roman"/>
              </w:rPr>
              <w:t xml:space="preserve"> budgétaires et opérateurs du département</w:t>
            </w:r>
            <w:r w:rsidR="00181A7C">
              <w:rPr>
                <w:rFonts w:ascii="Times New Roman" w:hAnsi="Times New Roman" w:cs="Times New Roman"/>
              </w:rPr>
              <w:t> ;</w:t>
            </w:r>
          </w:p>
          <w:p w:rsidR="00BC49F3" w:rsidRPr="00BC49F3" w:rsidRDefault="000F743F" w:rsidP="005D5F0F">
            <w:pPr>
              <w:numPr>
                <w:ilvl w:val="0"/>
                <w:numId w:val="2"/>
              </w:numPr>
              <w:jc w:val="both"/>
              <w:rPr>
                <w:rFonts w:ascii="Times New Roman" w:hAnsi="Times New Roman" w:cs="Times New Roman"/>
              </w:rPr>
            </w:pPr>
            <w:r>
              <w:rPr>
                <w:rFonts w:ascii="Times New Roman" w:hAnsi="Times New Roman" w:cs="Times New Roman"/>
                <w:b/>
              </w:rPr>
              <w:t>s</w:t>
            </w:r>
            <w:r w:rsidR="00BC49F3">
              <w:rPr>
                <w:rFonts w:ascii="Times New Roman" w:hAnsi="Times New Roman" w:cs="Times New Roman"/>
                <w:b/>
              </w:rPr>
              <w:t xml:space="preserve">uivi </w:t>
            </w:r>
            <w:r w:rsidR="00E36279">
              <w:rPr>
                <w:rFonts w:ascii="Times New Roman" w:hAnsi="Times New Roman" w:cs="Times New Roman"/>
                <w:b/>
              </w:rPr>
              <w:t xml:space="preserve">budgétaire en synthèse des </w:t>
            </w:r>
            <w:r>
              <w:rPr>
                <w:rFonts w:ascii="Times New Roman" w:hAnsi="Times New Roman" w:cs="Times New Roman"/>
                <w:b/>
              </w:rPr>
              <w:t>investissements</w:t>
            </w:r>
            <w:r w:rsidR="00BC49F3">
              <w:rPr>
                <w:rFonts w:ascii="Times New Roman" w:hAnsi="Times New Roman" w:cs="Times New Roman"/>
                <w:b/>
              </w:rPr>
              <w:t xml:space="preserve"> financés sur des programmes interministériels (P 309, P 723) </w:t>
            </w:r>
            <w:r w:rsidR="00BC49F3" w:rsidRPr="00BC49F3">
              <w:rPr>
                <w:rFonts w:ascii="Times New Roman" w:hAnsi="Times New Roman" w:cs="Times New Roman"/>
              </w:rPr>
              <w:t xml:space="preserve">: </w:t>
            </w:r>
            <w:r w:rsidR="00E36279">
              <w:rPr>
                <w:rFonts w:ascii="Times New Roman" w:hAnsi="Times New Roman" w:cs="Times New Roman"/>
              </w:rPr>
              <w:t xml:space="preserve">interlocuteur du bureau de la politique immobilière qui définit les projets proposés au financement par ces programmes interministériels. </w:t>
            </w:r>
            <w:r>
              <w:rPr>
                <w:rFonts w:ascii="Times New Roman" w:hAnsi="Times New Roman" w:cs="Times New Roman"/>
              </w:rPr>
              <w:t xml:space="preserve">Suivi et synthèse  budgétaire des investissements. </w:t>
            </w:r>
          </w:p>
          <w:p w:rsidR="00AF72A6" w:rsidRPr="000F743F" w:rsidRDefault="000F743F" w:rsidP="00AF72A6">
            <w:pPr>
              <w:numPr>
                <w:ilvl w:val="0"/>
                <w:numId w:val="2"/>
              </w:numPr>
              <w:jc w:val="both"/>
              <w:rPr>
                <w:rFonts w:ascii="Times New Roman" w:hAnsi="Times New Roman" w:cs="Times New Roman"/>
                <w:b/>
              </w:rPr>
            </w:pPr>
            <w:r>
              <w:rPr>
                <w:rFonts w:ascii="Times New Roman" w:hAnsi="Times New Roman" w:cs="Times New Roman"/>
                <w:b/>
              </w:rPr>
              <w:t>p</w:t>
            </w:r>
            <w:r w:rsidR="00AF72A6">
              <w:rPr>
                <w:rFonts w:ascii="Times New Roman" w:hAnsi="Times New Roman" w:cs="Times New Roman"/>
                <w:b/>
              </w:rPr>
              <w:t>réparation d</w:t>
            </w:r>
            <w:r w:rsidR="00AF72A6" w:rsidRPr="00F72E5F">
              <w:rPr>
                <w:rFonts w:ascii="Times New Roman" w:hAnsi="Times New Roman" w:cs="Times New Roman"/>
                <w:b/>
              </w:rPr>
              <w:t>e la commission ministérielle des projets immobiliers (CMPI) :</w:t>
            </w:r>
            <w:r w:rsidR="00AF72A6">
              <w:rPr>
                <w:rFonts w:ascii="Times New Roman" w:hAnsi="Times New Roman" w:cs="Times New Roman"/>
              </w:rPr>
              <w:t xml:space="preserve"> évaluation des projets à fort enjeu,  </w:t>
            </w:r>
            <w:r w:rsidR="00173E31">
              <w:rPr>
                <w:rFonts w:ascii="Times New Roman" w:hAnsi="Times New Roman" w:cs="Times New Roman"/>
              </w:rPr>
              <w:t xml:space="preserve">élaboration et </w:t>
            </w:r>
            <w:r w:rsidR="00AF72A6">
              <w:rPr>
                <w:rFonts w:ascii="Times New Roman" w:hAnsi="Times New Roman" w:cs="Times New Roman"/>
              </w:rPr>
              <w:t>présentation des rapports d’instruction en séance, secrétariat de la CMPI en lien avec le bureau de la politique immobilière ;</w:t>
            </w:r>
            <w:r w:rsidR="00173E31">
              <w:rPr>
                <w:rFonts w:ascii="Times New Roman" w:hAnsi="Times New Roman" w:cs="Times New Roman"/>
              </w:rPr>
              <w:t xml:space="preserve"> mise en perspective des projets présentés par </w:t>
            </w:r>
            <w:r w:rsidR="005A15A4">
              <w:rPr>
                <w:rFonts w:ascii="Times New Roman" w:hAnsi="Times New Roman" w:cs="Times New Roman"/>
              </w:rPr>
              <w:t>rapport aux enjeux budgétaires ministériels ou relatif au programme concerné ;</w:t>
            </w:r>
          </w:p>
          <w:p w:rsidR="000F743F" w:rsidRPr="000F743F" w:rsidRDefault="000F743F" w:rsidP="00AF72A6">
            <w:pPr>
              <w:numPr>
                <w:ilvl w:val="0"/>
                <w:numId w:val="2"/>
              </w:numPr>
              <w:jc w:val="both"/>
              <w:rPr>
                <w:rFonts w:ascii="Times New Roman" w:hAnsi="Times New Roman" w:cs="Times New Roman"/>
              </w:rPr>
            </w:pPr>
            <w:r>
              <w:rPr>
                <w:rFonts w:ascii="Times New Roman" w:hAnsi="Times New Roman" w:cs="Times New Roman"/>
                <w:b/>
              </w:rPr>
              <w:t>synthèse des investissements</w:t>
            </w:r>
            <w:r w:rsidR="00006EAA">
              <w:rPr>
                <w:rFonts w:ascii="Times New Roman" w:hAnsi="Times New Roman" w:cs="Times New Roman"/>
                <w:b/>
              </w:rPr>
              <w:t xml:space="preserve"> des</w:t>
            </w:r>
            <w:r>
              <w:rPr>
                <w:rFonts w:ascii="Times New Roman" w:hAnsi="Times New Roman" w:cs="Times New Roman"/>
                <w:b/>
              </w:rPr>
              <w:t xml:space="preserve"> opérateurs : </w:t>
            </w:r>
            <w:r>
              <w:rPr>
                <w:rFonts w:ascii="Times New Roman" w:hAnsi="Times New Roman" w:cs="Times New Roman"/>
              </w:rPr>
              <w:t xml:space="preserve">élaboration et suivi d’un tableau de synthèse des investissements des opérateurs (tous titres confondus) </w:t>
            </w:r>
            <w:r w:rsidRPr="000F743F">
              <w:rPr>
                <w:rFonts w:ascii="Times New Roman" w:hAnsi="Times New Roman" w:cs="Times New Roman"/>
              </w:rPr>
              <w:t xml:space="preserve">en </w:t>
            </w:r>
            <w:r>
              <w:rPr>
                <w:rFonts w:ascii="Times New Roman" w:hAnsi="Times New Roman" w:cs="Times New Roman"/>
              </w:rPr>
              <w:t>soutien au</w:t>
            </w:r>
            <w:r w:rsidRPr="000F743F">
              <w:rPr>
                <w:rFonts w:ascii="Times New Roman" w:hAnsi="Times New Roman" w:cs="Times New Roman"/>
              </w:rPr>
              <w:t xml:space="preserve"> chargé d’</w:t>
            </w:r>
            <w:r>
              <w:rPr>
                <w:rFonts w:ascii="Times New Roman" w:hAnsi="Times New Roman" w:cs="Times New Roman"/>
              </w:rPr>
              <w:t xml:space="preserve">analyse budgétaire du programme 175 qui a en charge la </w:t>
            </w:r>
            <w:r w:rsidRPr="000F743F">
              <w:rPr>
                <w:rFonts w:ascii="Times New Roman" w:hAnsi="Times New Roman" w:cs="Times New Roman"/>
              </w:rPr>
              <w:t xml:space="preserve">synthèse transverse de l’ensemble des crédits d’investissement du ministère (titre5, 6 et 7). </w:t>
            </w:r>
          </w:p>
          <w:p w:rsidR="00991C99" w:rsidRPr="00006EAA" w:rsidRDefault="00E61711" w:rsidP="00006EAA">
            <w:pPr>
              <w:numPr>
                <w:ilvl w:val="0"/>
                <w:numId w:val="2"/>
              </w:numPr>
              <w:jc w:val="both"/>
              <w:rPr>
                <w:rFonts w:ascii="Times New Roman" w:hAnsi="Times New Roman" w:cs="Times New Roman"/>
              </w:rPr>
            </w:pPr>
            <w:r w:rsidRPr="000F743F">
              <w:rPr>
                <w:rFonts w:ascii="Times New Roman" w:hAnsi="Times New Roman" w:cs="Times New Roman"/>
                <w:b/>
              </w:rPr>
              <w:t>production d’études analytiques</w:t>
            </w:r>
            <w:r w:rsidR="00CB0C59" w:rsidRPr="000F743F">
              <w:rPr>
                <w:rFonts w:ascii="Times New Roman" w:hAnsi="Times New Roman" w:cs="Times New Roman"/>
                <w:b/>
              </w:rPr>
              <w:t xml:space="preserve"> sur les opérations immobilières menées par le ministère</w:t>
            </w:r>
            <w:r w:rsidRPr="000F743F">
              <w:rPr>
                <w:rFonts w:ascii="Times New Roman" w:hAnsi="Times New Roman" w:cs="Times New Roman"/>
                <w:b/>
              </w:rPr>
              <w:t> :</w:t>
            </w:r>
            <w:r w:rsidRPr="000F743F">
              <w:rPr>
                <w:rFonts w:ascii="Times New Roman" w:hAnsi="Times New Roman" w:cs="Times New Roman"/>
              </w:rPr>
              <w:t xml:space="preserve"> </w:t>
            </w:r>
            <w:r w:rsidR="005A15A4" w:rsidRPr="000F743F">
              <w:rPr>
                <w:rFonts w:ascii="Times New Roman" w:hAnsi="Times New Roman" w:cs="Times New Roman"/>
              </w:rPr>
              <w:t>élaboration</w:t>
            </w:r>
            <w:r w:rsidR="00181A7C">
              <w:rPr>
                <w:rFonts w:ascii="Times New Roman" w:hAnsi="Times New Roman" w:cs="Times New Roman"/>
              </w:rPr>
              <w:t xml:space="preserve"> de supports</w:t>
            </w:r>
            <w:r w:rsidR="00AF72A6">
              <w:rPr>
                <w:rFonts w:ascii="Times New Roman" w:hAnsi="Times New Roman" w:cs="Times New Roman"/>
              </w:rPr>
              <w:t xml:space="preserve"> et études</w:t>
            </w:r>
            <w:r w:rsidR="00181A7C">
              <w:rPr>
                <w:rFonts w:ascii="Times New Roman" w:hAnsi="Times New Roman" w:cs="Times New Roman"/>
              </w:rPr>
              <w:t xml:space="preserve"> </w:t>
            </w:r>
            <w:r w:rsidR="00AF72A6">
              <w:rPr>
                <w:rFonts w:ascii="Times New Roman" w:hAnsi="Times New Roman" w:cs="Times New Roman"/>
              </w:rPr>
              <w:t xml:space="preserve">rétrospectives ou prospectives </w:t>
            </w:r>
            <w:r w:rsidR="00181A7C">
              <w:rPr>
                <w:rFonts w:ascii="Times New Roman" w:hAnsi="Times New Roman" w:cs="Times New Roman"/>
              </w:rPr>
              <w:t xml:space="preserve">permettant d’alimenter la </w:t>
            </w:r>
            <w:r w:rsidR="00F72E5F">
              <w:rPr>
                <w:rFonts w:ascii="Times New Roman" w:hAnsi="Times New Roman" w:cs="Times New Roman"/>
              </w:rPr>
              <w:t xml:space="preserve">CMPI et d’aider au pilotage financier </w:t>
            </w:r>
            <w:r w:rsidR="00006EAA">
              <w:rPr>
                <w:rFonts w:ascii="Times New Roman" w:hAnsi="Times New Roman" w:cs="Times New Roman"/>
              </w:rPr>
              <w:t xml:space="preserve">des investissements </w:t>
            </w:r>
            <w:r w:rsidR="00433B9B">
              <w:rPr>
                <w:rFonts w:ascii="Times New Roman" w:hAnsi="Times New Roman" w:cs="Times New Roman"/>
              </w:rPr>
              <w:t>du ministère.</w:t>
            </w:r>
          </w:p>
        </w:tc>
      </w:tr>
    </w:tbl>
    <w:p w:rsidR="00991C99" w:rsidRDefault="00991C99">
      <w:pPr>
        <w:pStyle w:val="TableContents"/>
      </w:pPr>
    </w:p>
    <w:tbl>
      <w:tblPr>
        <w:tblW w:w="10532" w:type="dxa"/>
        <w:tblInd w:w="1" w:type="dxa"/>
        <w:tblLayout w:type="fixed"/>
        <w:tblCellMar>
          <w:left w:w="0" w:type="dxa"/>
          <w:right w:w="0" w:type="dxa"/>
        </w:tblCellMar>
        <w:tblLook w:val="0000" w:firstRow="0" w:lastRow="0" w:firstColumn="0" w:lastColumn="0" w:noHBand="0" w:noVBand="0"/>
      </w:tblPr>
      <w:tblGrid>
        <w:gridCol w:w="10532"/>
      </w:tblGrid>
      <w:tr w:rsidR="00991C99">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6A5170">
            <w:pPr>
              <w:pStyle w:val="TableContents"/>
              <w:snapToGrid w:val="0"/>
              <w:rPr>
                <w:b/>
                <w:sz w:val="20"/>
                <w:u w:val="single"/>
              </w:rPr>
            </w:pPr>
            <w:r w:rsidRPr="006A5170">
              <w:rPr>
                <w:b/>
                <w:sz w:val="20"/>
                <w:u w:val="single"/>
              </w:rPr>
              <w:t>Compétences principales mises en œuvre :</w:t>
            </w:r>
            <w:r>
              <w:rPr>
                <w:b/>
                <w:sz w:val="20"/>
              </w:rPr>
              <w:t xml:space="preserve"> (cotés  sur 4 niveaux initié – pratique – maîtrise - expert)</w:t>
            </w:r>
          </w:p>
          <w:p w:rsidR="002D3578" w:rsidRDefault="009C170F">
            <w:pPr>
              <w:pStyle w:val="TableContents"/>
              <w:snapToGrid w:val="0"/>
              <w:jc w:val="both"/>
              <w:rPr>
                <w:rFonts w:eastAsia="Times New Roman"/>
                <w:sz w:val="20"/>
              </w:rPr>
            </w:pPr>
            <w:r>
              <w:rPr>
                <w:rFonts w:eastAsia="Times New Roman"/>
                <w:sz w:val="20"/>
              </w:rPr>
              <w:t xml:space="preserve">L’intérêt pour la gestion d’établissement public </w:t>
            </w:r>
            <w:r w:rsidR="0053265E">
              <w:rPr>
                <w:rFonts w:eastAsia="Times New Roman"/>
                <w:sz w:val="20"/>
              </w:rPr>
              <w:t xml:space="preserve">sur tous ses aspects </w:t>
            </w:r>
            <w:r>
              <w:rPr>
                <w:rFonts w:eastAsia="Times New Roman"/>
                <w:sz w:val="20"/>
              </w:rPr>
              <w:t xml:space="preserve">et une bonne connaissance des différents aspects de l’exercice de la tutelle des opérateurs (finances, ressources humaines, management) </w:t>
            </w:r>
            <w:r w:rsidR="00F5536D">
              <w:rPr>
                <w:rFonts w:eastAsia="Times New Roman"/>
                <w:sz w:val="20"/>
              </w:rPr>
              <w:t>sont</w:t>
            </w:r>
            <w:r w:rsidR="002D3578" w:rsidRPr="00DB30FC">
              <w:rPr>
                <w:rFonts w:eastAsia="Times New Roman"/>
                <w:sz w:val="20"/>
              </w:rPr>
              <w:t xml:space="preserve"> indispensable</w:t>
            </w:r>
            <w:r w:rsidR="00E752ED">
              <w:rPr>
                <w:rFonts w:eastAsia="Times New Roman"/>
                <w:sz w:val="20"/>
              </w:rPr>
              <w:t>s</w:t>
            </w:r>
            <w:r w:rsidR="002D3578" w:rsidRPr="00DB30FC">
              <w:rPr>
                <w:rFonts w:eastAsia="Times New Roman"/>
                <w:sz w:val="20"/>
              </w:rPr>
              <w:t>.</w:t>
            </w:r>
            <w:r w:rsidR="002D3578">
              <w:rPr>
                <w:rFonts w:eastAsia="Times New Roman"/>
                <w:sz w:val="20"/>
              </w:rPr>
              <w:t xml:space="preserve"> </w:t>
            </w:r>
          </w:p>
          <w:p w:rsidR="00727F3A" w:rsidRDefault="00727F3A">
            <w:pPr>
              <w:pStyle w:val="TableContents"/>
              <w:snapToGrid w:val="0"/>
              <w:rPr>
                <w:b/>
                <w:sz w:val="20"/>
                <w:u w:val="single"/>
              </w:rPr>
            </w:pPr>
          </w:p>
          <w:p w:rsidR="00991C99" w:rsidRDefault="00991C99">
            <w:pPr>
              <w:pStyle w:val="TableContents"/>
              <w:snapToGrid w:val="0"/>
              <w:rPr>
                <w:sz w:val="20"/>
              </w:rPr>
            </w:pPr>
            <w:r>
              <w:rPr>
                <w:b/>
                <w:sz w:val="20"/>
                <w:u w:val="single"/>
              </w:rPr>
              <w:t>Compétences techniques :</w:t>
            </w:r>
          </w:p>
          <w:p w:rsidR="0053265E" w:rsidRDefault="00991C99" w:rsidP="00C415F9">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maîtrise en matière des finances publiques d’État</w:t>
            </w:r>
            <w:r w:rsidR="0053265E">
              <w:rPr>
                <w:rFonts w:ascii="Times New Roman" w:hAnsi="Times New Roman" w:cs="Times New Roman"/>
                <w:sz w:val="20"/>
                <w:szCs w:val="20"/>
              </w:rPr>
              <w:t xml:space="preserve"> et de comptabilité des opérateurs (comptabilité générale et comptabilité budgétaire)</w:t>
            </w:r>
            <w:r>
              <w:rPr>
                <w:rFonts w:ascii="Times New Roman" w:hAnsi="Times New Roman" w:cs="Times New Roman"/>
                <w:sz w:val="20"/>
                <w:szCs w:val="20"/>
              </w:rPr>
              <w:t> ;</w:t>
            </w:r>
          </w:p>
          <w:p w:rsidR="00991C99" w:rsidRDefault="0053265E" w:rsidP="00C415F9">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xml:space="preserve">- maîtrise des questions RH dans le cadre d’une gestion sous statut </w:t>
            </w:r>
            <w:r w:rsidR="00983FE0">
              <w:rPr>
                <w:rFonts w:ascii="Times New Roman" w:hAnsi="Times New Roman" w:cs="Times New Roman"/>
                <w:sz w:val="20"/>
                <w:szCs w:val="20"/>
              </w:rPr>
              <w:t>public</w:t>
            </w:r>
            <w:r>
              <w:rPr>
                <w:rFonts w:ascii="Times New Roman" w:hAnsi="Times New Roman" w:cs="Times New Roman"/>
                <w:sz w:val="20"/>
                <w:szCs w:val="20"/>
              </w:rPr>
              <w:t xml:space="preserve"> ;</w:t>
            </w:r>
          </w:p>
          <w:p w:rsidR="00991C99" w:rsidRPr="007171FB" w:rsidRDefault="00991C99" w:rsidP="00C415F9">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maîtrise des outils bureautiques (</w:t>
            </w:r>
            <w:r w:rsidR="00A41CF5">
              <w:rPr>
                <w:rFonts w:ascii="Times New Roman" w:hAnsi="Times New Roman" w:cs="Times New Roman"/>
                <w:sz w:val="20"/>
                <w:szCs w:val="20"/>
              </w:rPr>
              <w:t>Microsoft Office et OpenOffice</w:t>
            </w:r>
            <w:r w:rsidR="00EA602E">
              <w:rPr>
                <w:rFonts w:ascii="Times New Roman" w:hAnsi="Times New Roman" w:cs="Times New Roman"/>
                <w:sz w:val="20"/>
                <w:szCs w:val="20"/>
              </w:rPr>
              <w:t>, notamment excel</w:t>
            </w:r>
            <w:r w:rsidR="00A41CF5">
              <w:rPr>
                <w:rFonts w:ascii="Times New Roman" w:hAnsi="Times New Roman" w:cs="Times New Roman"/>
                <w:sz w:val="20"/>
                <w:szCs w:val="20"/>
              </w:rPr>
              <w:t>)</w:t>
            </w:r>
            <w:r w:rsidR="00EA602E">
              <w:rPr>
                <w:rFonts w:ascii="Times New Roman" w:hAnsi="Times New Roman" w:cs="Times New Roman"/>
                <w:sz w:val="20"/>
                <w:szCs w:val="20"/>
              </w:rPr>
              <w:t xml:space="preserve"> </w:t>
            </w:r>
            <w:r>
              <w:rPr>
                <w:rFonts w:ascii="Times New Roman" w:hAnsi="Times New Roman" w:cs="Times New Roman"/>
                <w:sz w:val="20"/>
                <w:szCs w:val="20"/>
              </w:rPr>
              <w:t>;</w:t>
            </w:r>
          </w:p>
        </w:tc>
      </w:tr>
      <w:tr w:rsidR="00991C99">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991C99">
            <w:pPr>
              <w:pStyle w:val="TableContents"/>
              <w:snapToGrid w:val="0"/>
              <w:rPr>
                <w:sz w:val="20"/>
              </w:rPr>
            </w:pPr>
            <w:r>
              <w:rPr>
                <w:b/>
                <w:sz w:val="20"/>
                <w:u w:val="single"/>
              </w:rPr>
              <w:t>Savoir-faire :</w:t>
            </w:r>
          </w:p>
          <w:p w:rsidR="00991C99" w:rsidRDefault="00991C99" w:rsidP="00C415F9">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xml:space="preserve">- </w:t>
            </w:r>
            <w:r w:rsidR="006A5170">
              <w:rPr>
                <w:rFonts w:ascii="Times New Roman" w:hAnsi="Times New Roman" w:cs="Times New Roman"/>
                <w:sz w:val="20"/>
                <w:szCs w:val="20"/>
              </w:rPr>
              <w:t>a</w:t>
            </w:r>
            <w:r>
              <w:rPr>
                <w:rFonts w:ascii="Times New Roman" w:hAnsi="Times New Roman" w:cs="Times New Roman"/>
                <w:sz w:val="20"/>
                <w:szCs w:val="20"/>
              </w:rPr>
              <w:t>ptitude à appréhender des environnements complexes ;</w:t>
            </w:r>
          </w:p>
          <w:p w:rsidR="006E29A6" w:rsidRDefault="006A5170" w:rsidP="00C415F9">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q</w:t>
            </w:r>
            <w:r w:rsidR="00991C99">
              <w:rPr>
                <w:rFonts w:ascii="Times New Roman" w:hAnsi="Times New Roman" w:cs="Times New Roman"/>
                <w:sz w:val="20"/>
                <w:szCs w:val="20"/>
              </w:rPr>
              <w:t>ualités de rigueur, d’analyse et de synthèse ;</w:t>
            </w:r>
          </w:p>
          <w:p w:rsidR="00991C99" w:rsidRDefault="006A5170" w:rsidP="00C415F9">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q</w:t>
            </w:r>
            <w:r w:rsidR="00991C99">
              <w:rPr>
                <w:rFonts w:ascii="Times New Roman" w:hAnsi="Times New Roman" w:cs="Times New Roman"/>
                <w:sz w:val="20"/>
                <w:szCs w:val="20"/>
              </w:rPr>
              <w:t xml:space="preserve">ualités rédactionnelles ; </w:t>
            </w:r>
          </w:p>
          <w:p w:rsidR="00991C99" w:rsidRDefault="006A5170" w:rsidP="00C415F9">
            <w:pPr>
              <w:pStyle w:val="BodyTextIndent31"/>
              <w:spacing w:after="0"/>
              <w:ind w:left="0"/>
              <w:rPr>
                <w:sz w:val="20"/>
                <w:u w:val="single"/>
              </w:rPr>
            </w:pPr>
            <w:r>
              <w:rPr>
                <w:rFonts w:ascii="Times New Roman" w:hAnsi="Times New Roman" w:cs="Times New Roman"/>
                <w:sz w:val="20"/>
                <w:szCs w:val="20"/>
              </w:rPr>
              <w:t>- m</w:t>
            </w:r>
            <w:r w:rsidR="00991C99">
              <w:rPr>
                <w:rFonts w:ascii="Times New Roman" w:hAnsi="Times New Roman" w:cs="Times New Roman"/>
                <w:sz w:val="20"/>
                <w:szCs w:val="20"/>
              </w:rPr>
              <w:t>aîtrise de la manipulation des données chiffrées.</w:t>
            </w:r>
          </w:p>
        </w:tc>
      </w:tr>
      <w:tr w:rsidR="00991C99">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991C99">
            <w:pPr>
              <w:pStyle w:val="TableContents"/>
              <w:snapToGrid w:val="0"/>
              <w:rPr>
                <w:sz w:val="20"/>
              </w:rPr>
            </w:pPr>
            <w:r>
              <w:rPr>
                <w:b/>
                <w:sz w:val="20"/>
                <w:u w:val="single"/>
              </w:rPr>
              <w:t>Savoir-être (compétences comportementales)</w:t>
            </w:r>
          </w:p>
          <w:p w:rsidR="00991C99" w:rsidRDefault="00991C99" w:rsidP="00C415F9">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xml:space="preserve">- </w:t>
            </w:r>
            <w:r w:rsidR="006A5170">
              <w:rPr>
                <w:rFonts w:ascii="Times New Roman" w:hAnsi="Times New Roman" w:cs="Times New Roman"/>
                <w:sz w:val="20"/>
                <w:szCs w:val="20"/>
              </w:rPr>
              <w:t>r</w:t>
            </w:r>
            <w:r>
              <w:rPr>
                <w:rFonts w:ascii="Times New Roman" w:hAnsi="Times New Roman" w:cs="Times New Roman"/>
                <w:sz w:val="20"/>
                <w:szCs w:val="20"/>
              </w:rPr>
              <w:t>éactivité et capacité d’adaptation aux fluctuations de la charge de travail ;</w:t>
            </w:r>
          </w:p>
          <w:p w:rsidR="00991C99" w:rsidRDefault="006A5170" w:rsidP="00C415F9">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s</w:t>
            </w:r>
            <w:r w:rsidR="00991C99">
              <w:rPr>
                <w:rFonts w:ascii="Times New Roman" w:hAnsi="Times New Roman" w:cs="Times New Roman"/>
                <w:sz w:val="20"/>
                <w:szCs w:val="20"/>
              </w:rPr>
              <w:t>ens du contact et de la coordination, aptitude à travailler en équipe ;</w:t>
            </w:r>
          </w:p>
          <w:p w:rsidR="00991C99" w:rsidRDefault="00991C99" w:rsidP="00C415F9">
            <w:pPr>
              <w:pStyle w:val="BodyTextIndent31"/>
              <w:spacing w:after="0"/>
              <w:ind w:left="0"/>
              <w:rPr>
                <w:rFonts w:ascii="Times New Roman" w:hAnsi="Times New Roman" w:cs="Times New Roman"/>
                <w:sz w:val="20"/>
                <w:szCs w:val="20"/>
              </w:rPr>
            </w:pPr>
            <w:r>
              <w:rPr>
                <w:rFonts w:ascii="Times New Roman" w:hAnsi="Times New Roman" w:cs="Times New Roman"/>
                <w:sz w:val="20"/>
                <w:szCs w:val="20"/>
              </w:rPr>
              <w:t xml:space="preserve">- </w:t>
            </w:r>
            <w:r w:rsidR="006A5170">
              <w:rPr>
                <w:rFonts w:ascii="Times New Roman" w:hAnsi="Times New Roman" w:cs="Times New Roman"/>
                <w:sz w:val="20"/>
                <w:szCs w:val="20"/>
              </w:rPr>
              <w:t>c</w:t>
            </w:r>
            <w:r>
              <w:rPr>
                <w:rFonts w:ascii="Times New Roman" w:hAnsi="Times New Roman" w:cs="Times New Roman"/>
                <w:sz w:val="20"/>
                <w:szCs w:val="20"/>
              </w:rPr>
              <w:t>apacité d’autonomie</w:t>
            </w:r>
            <w:r w:rsidR="00E752ED">
              <w:rPr>
                <w:rFonts w:ascii="Times New Roman" w:hAnsi="Times New Roman" w:cs="Times New Roman"/>
                <w:sz w:val="20"/>
                <w:szCs w:val="20"/>
              </w:rPr>
              <w:t>, d’écoute</w:t>
            </w:r>
            <w:r w:rsidR="00983FE0">
              <w:rPr>
                <w:rFonts w:ascii="Times New Roman" w:hAnsi="Times New Roman" w:cs="Times New Roman"/>
                <w:sz w:val="20"/>
                <w:szCs w:val="20"/>
              </w:rPr>
              <w:t xml:space="preserve"> </w:t>
            </w:r>
            <w:r>
              <w:rPr>
                <w:rFonts w:ascii="Times New Roman" w:hAnsi="Times New Roman" w:cs="Times New Roman"/>
                <w:sz w:val="20"/>
                <w:szCs w:val="20"/>
              </w:rPr>
              <w:t>et d’initi</w:t>
            </w:r>
            <w:r w:rsidR="00EA602E">
              <w:rPr>
                <w:rFonts w:ascii="Times New Roman" w:hAnsi="Times New Roman" w:cs="Times New Roman"/>
                <w:sz w:val="20"/>
                <w:szCs w:val="20"/>
              </w:rPr>
              <w:t>ative ;</w:t>
            </w:r>
          </w:p>
          <w:p w:rsidR="00991C99" w:rsidRDefault="00EA602E" w:rsidP="00C415F9">
            <w:pPr>
              <w:pStyle w:val="BodyTextIndent31"/>
              <w:ind w:left="0"/>
              <w:rPr>
                <w:sz w:val="20"/>
              </w:rPr>
            </w:pPr>
            <w:r>
              <w:rPr>
                <w:rFonts w:ascii="Times New Roman" w:hAnsi="Times New Roman" w:cs="Times New Roman"/>
                <w:sz w:val="20"/>
                <w:szCs w:val="20"/>
              </w:rPr>
              <w:t>- capacité de synthèse et de création de consensus.</w:t>
            </w:r>
          </w:p>
        </w:tc>
      </w:tr>
    </w:tbl>
    <w:p w:rsidR="00991C99" w:rsidRDefault="00991C99">
      <w:pPr>
        <w:pStyle w:val="TableContents"/>
      </w:pPr>
    </w:p>
    <w:tbl>
      <w:tblPr>
        <w:tblW w:w="0" w:type="auto"/>
        <w:tblInd w:w="1" w:type="dxa"/>
        <w:tblLayout w:type="fixed"/>
        <w:tblCellMar>
          <w:left w:w="0" w:type="dxa"/>
          <w:right w:w="0" w:type="dxa"/>
        </w:tblCellMar>
        <w:tblLook w:val="0000" w:firstRow="0" w:lastRow="0" w:firstColumn="0" w:lastColumn="0" w:noHBand="0" w:noVBand="0"/>
      </w:tblPr>
      <w:tblGrid>
        <w:gridCol w:w="10532"/>
      </w:tblGrid>
      <w:tr w:rsidR="00991C99">
        <w:tc>
          <w:tcPr>
            <w:tcW w:w="10532" w:type="dxa"/>
            <w:tcBorders>
              <w:top w:val="single" w:sz="1" w:space="0" w:color="000000"/>
              <w:left w:val="single" w:sz="1" w:space="0" w:color="000000"/>
              <w:bottom w:val="single" w:sz="2" w:space="0" w:color="000000"/>
              <w:right w:val="single" w:sz="1" w:space="0" w:color="000000"/>
            </w:tcBorders>
            <w:shd w:val="clear" w:color="auto" w:fill="auto"/>
          </w:tcPr>
          <w:p w:rsidR="00991C99" w:rsidRDefault="00991C99">
            <w:pPr>
              <w:pStyle w:val="TableContents"/>
              <w:snapToGrid w:val="0"/>
              <w:rPr>
                <w:sz w:val="20"/>
              </w:rPr>
            </w:pPr>
            <w:r>
              <w:rPr>
                <w:b/>
                <w:sz w:val="20"/>
                <w:u w:val="single"/>
              </w:rPr>
              <w:t>Environnement professionnel :</w:t>
            </w:r>
            <w:r>
              <w:rPr>
                <w:sz w:val="20"/>
              </w:rPr>
              <w:br/>
            </w:r>
            <w:r>
              <w:rPr>
                <w:b/>
                <w:i/>
                <w:sz w:val="20"/>
              </w:rPr>
              <w:t xml:space="preserve">Liaisons hiérarchiques : </w:t>
            </w:r>
          </w:p>
          <w:p w:rsidR="00991C99" w:rsidRPr="006E539D" w:rsidRDefault="00991C99" w:rsidP="007171FB">
            <w:pPr>
              <w:pStyle w:val="TableContents"/>
              <w:tabs>
                <w:tab w:val="left" w:pos="485"/>
              </w:tabs>
              <w:suppressAutoHyphens w:val="0"/>
              <w:jc w:val="both"/>
              <w:rPr>
                <w:sz w:val="20"/>
              </w:rPr>
            </w:pPr>
            <w:r>
              <w:rPr>
                <w:sz w:val="20"/>
              </w:rPr>
              <w:t xml:space="preserve">Le poste est rattaché au </w:t>
            </w:r>
            <w:r w:rsidRPr="00EC5E56">
              <w:rPr>
                <w:sz w:val="20"/>
              </w:rPr>
              <w:t xml:space="preserve">chef du </w:t>
            </w:r>
            <w:r w:rsidR="006A5170" w:rsidRPr="00EC5E56">
              <w:rPr>
                <w:sz w:val="20"/>
              </w:rPr>
              <w:t>département</w:t>
            </w:r>
            <w:r w:rsidR="006E539D" w:rsidRPr="00EC5E56">
              <w:rPr>
                <w:sz w:val="20"/>
              </w:rPr>
              <w:t>.</w:t>
            </w:r>
          </w:p>
          <w:p w:rsidR="00F5536D" w:rsidRDefault="00F5536D">
            <w:pPr>
              <w:pStyle w:val="TableContents"/>
              <w:numPr>
                <w:ilvl w:val="0"/>
                <w:numId w:val="1"/>
              </w:numPr>
              <w:tabs>
                <w:tab w:val="left" w:pos="485"/>
              </w:tabs>
              <w:suppressAutoHyphens w:val="0"/>
              <w:ind w:firstLine="284"/>
              <w:rPr>
                <w:b/>
                <w:i/>
                <w:sz w:val="20"/>
              </w:rPr>
            </w:pPr>
          </w:p>
          <w:p w:rsidR="00991C99" w:rsidRDefault="00991C99">
            <w:pPr>
              <w:pStyle w:val="TableContents"/>
              <w:numPr>
                <w:ilvl w:val="0"/>
                <w:numId w:val="1"/>
              </w:numPr>
              <w:tabs>
                <w:tab w:val="left" w:pos="485"/>
              </w:tabs>
              <w:suppressAutoHyphens w:val="0"/>
              <w:rPr>
                <w:sz w:val="20"/>
              </w:rPr>
            </w:pPr>
            <w:r>
              <w:rPr>
                <w:b/>
                <w:i/>
                <w:sz w:val="20"/>
              </w:rPr>
              <w:t xml:space="preserve">Liaisons fonctionnelles : </w:t>
            </w:r>
          </w:p>
          <w:p w:rsidR="00991C99" w:rsidRDefault="00991C99" w:rsidP="00006EAA">
            <w:pPr>
              <w:pStyle w:val="BodyTextIndent31"/>
              <w:spacing w:after="80"/>
              <w:ind w:left="0"/>
              <w:rPr>
                <w:rFonts w:cs="Times New Roman"/>
                <w:b/>
                <w:sz w:val="20"/>
                <w:u w:val="single"/>
              </w:rPr>
            </w:pPr>
            <w:r>
              <w:rPr>
                <w:rFonts w:ascii="Times New Roman" w:hAnsi="Times New Roman" w:cs="Times New Roman"/>
                <w:sz w:val="20"/>
                <w:szCs w:val="20"/>
              </w:rPr>
              <w:t xml:space="preserve">Les </w:t>
            </w:r>
            <w:r w:rsidRPr="00EC5E56">
              <w:rPr>
                <w:rFonts w:ascii="Times New Roman" w:hAnsi="Times New Roman" w:cs="Times New Roman"/>
                <w:sz w:val="20"/>
                <w:szCs w:val="20"/>
              </w:rPr>
              <w:t>interlocuteurs sont multiples</w:t>
            </w:r>
            <w:r>
              <w:rPr>
                <w:rFonts w:ascii="Times New Roman" w:hAnsi="Times New Roman" w:cs="Times New Roman"/>
                <w:sz w:val="20"/>
                <w:szCs w:val="20"/>
              </w:rPr>
              <w:t> :</w:t>
            </w:r>
            <w:r w:rsidR="00006EAA">
              <w:rPr>
                <w:rFonts w:ascii="Times New Roman" w:hAnsi="Times New Roman" w:cs="Times New Roman"/>
                <w:sz w:val="20"/>
                <w:szCs w:val="20"/>
              </w:rPr>
              <w:t xml:space="preserve"> OPPIC à titre,</w:t>
            </w:r>
            <w:r>
              <w:rPr>
                <w:rFonts w:ascii="Times New Roman" w:hAnsi="Times New Roman" w:cs="Times New Roman"/>
                <w:sz w:val="20"/>
                <w:szCs w:val="20"/>
              </w:rPr>
              <w:t xml:space="preserve"> </w:t>
            </w:r>
            <w:r w:rsidR="00C415F9">
              <w:rPr>
                <w:rFonts w:ascii="Times New Roman" w:hAnsi="Times New Roman" w:cs="Times New Roman"/>
                <w:sz w:val="20"/>
                <w:szCs w:val="20"/>
              </w:rPr>
              <w:t xml:space="preserve">autres </w:t>
            </w:r>
            <w:r>
              <w:rPr>
                <w:rFonts w:ascii="Times New Roman" w:hAnsi="Times New Roman" w:cs="Times New Roman"/>
                <w:sz w:val="20"/>
                <w:szCs w:val="20"/>
              </w:rPr>
              <w:t>service</w:t>
            </w:r>
            <w:r w:rsidR="00200D77">
              <w:rPr>
                <w:rFonts w:ascii="Times New Roman" w:hAnsi="Times New Roman" w:cs="Times New Roman"/>
                <w:sz w:val="20"/>
                <w:szCs w:val="20"/>
              </w:rPr>
              <w:t>s du secrétariat général</w:t>
            </w:r>
            <w:r>
              <w:rPr>
                <w:rFonts w:ascii="Times New Roman" w:hAnsi="Times New Roman" w:cs="Times New Roman"/>
                <w:sz w:val="20"/>
                <w:szCs w:val="20"/>
              </w:rPr>
              <w:t xml:space="preserve">, responsables de programme et leurs </w:t>
            </w:r>
            <w:r w:rsidR="00006EAA">
              <w:rPr>
                <w:rFonts w:ascii="Times New Roman" w:hAnsi="Times New Roman" w:cs="Times New Roman"/>
                <w:sz w:val="20"/>
                <w:szCs w:val="20"/>
              </w:rPr>
              <w:t>équipes</w:t>
            </w:r>
            <w:r w:rsidR="00200D77">
              <w:rPr>
                <w:rFonts w:ascii="Times New Roman" w:hAnsi="Times New Roman" w:cs="Times New Roman"/>
                <w:sz w:val="20"/>
                <w:szCs w:val="20"/>
              </w:rPr>
              <w:t>, services métiers des directions générales</w:t>
            </w:r>
            <w:r>
              <w:rPr>
                <w:rFonts w:ascii="Times New Roman" w:hAnsi="Times New Roman" w:cs="Times New Roman"/>
                <w:sz w:val="20"/>
                <w:szCs w:val="20"/>
              </w:rPr>
              <w:t xml:space="preserve">, cabinet ministériel, ministère </w:t>
            </w:r>
            <w:r w:rsidR="00251F24">
              <w:rPr>
                <w:rFonts w:ascii="Times New Roman" w:hAnsi="Times New Roman" w:cs="Times New Roman"/>
                <w:sz w:val="20"/>
                <w:szCs w:val="20"/>
              </w:rPr>
              <w:t xml:space="preserve">chargé </w:t>
            </w:r>
            <w:r>
              <w:rPr>
                <w:rFonts w:ascii="Times New Roman" w:hAnsi="Times New Roman" w:cs="Times New Roman"/>
                <w:sz w:val="20"/>
                <w:szCs w:val="20"/>
              </w:rPr>
              <w:t>du budget, Cour des comptes, Parlement.</w:t>
            </w:r>
            <w:r w:rsidR="00200D77">
              <w:rPr>
                <w:rFonts w:ascii="Times New Roman" w:hAnsi="Times New Roman" w:cs="Times New Roman"/>
                <w:sz w:val="20"/>
                <w:szCs w:val="20"/>
              </w:rPr>
              <w:t xml:space="preserve"> </w:t>
            </w:r>
          </w:p>
        </w:tc>
      </w:tr>
      <w:tr w:rsidR="00991C99">
        <w:tc>
          <w:tcPr>
            <w:tcW w:w="10532" w:type="dxa"/>
            <w:tcBorders>
              <w:top w:val="single" w:sz="2" w:space="0" w:color="000000"/>
              <w:bottom w:val="single" w:sz="2" w:space="0" w:color="000000"/>
            </w:tcBorders>
            <w:shd w:val="clear" w:color="auto" w:fill="auto"/>
          </w:tcPr>
          <w:p w:rsidR="00991C99" w:rsidRDefault="00991C99">
            <w:pPr>
              <w:pStyle w:val="TableContents"/>
              <w:snapToGrid w:val="0"/>
              <w:rPr>
                <w:b/>
                <w:sz w:val="20"/>
                <w:u w:val="single"/>
              </w:rPr>
            </w:pPr>
          </w:p>
        </w:tc>
      </w:tr>
      <w:tr w:rsidR="00991C99">
        <w:tc>
          <w:tcPr>
            <w:tcW w:w="10532" w:type="dxa"/>
            <w:tcBorders>
              <w:top w:val="single" w:sz="2" w:space="0" w:color="000000"/>
              <w:left w:val="single" w:sz="1" w:space="0" w:color="000000"/>
              <w:bottom w:val="single" w:sz="1" w:space="0" w:color="000000"/>
              <w:right w:val="single" w:sz="1" w:space="0" w:color="000000"/>
            </w:tcBorders>
            <w:shd w:val="clear" w:color="auto" w:fill="auto"/>
          </w:tcPr>
          <w:p w:rsidR="00991C99" w:rsidRDefault="00991C99">
            <w:pPr>
              <w:pStyle w:val="TableContents"/>
              <w:snapToGrid w:val="0"/>
              <w:rPr>
                <w:sz w:val="20"/>
              </w:rPr>
            </w:pPr>
            <w:r>
              <w:rPr>
                <w:b/>
                <w:sz w:val="20"/>
              </w:rPr>
              <w:t>Perspectives d'évolution :</w:t>
            </w:r>
          </w:p>
          <w:p w:rsidR="00991C99" w:rsidRDefault="00991C99" w:rsidP="00EC5E56">
            <w:pPr>
              <w:pStyle w:val="TableContents"/>
              <w:snapToGrid w:val="0"/>
            </w:pPr>
            <w:r>
              <w:rPr>
                <w:sz w:val="20"/>
              </w:rPr>
              <w:t>Au sein d’établissements public</w:t>
            </w:r>
            <w:r w:rsidR="00E55FE4">
              <w:rPr>
                <w:sz w:val="20"/>
              </w:rPr>
              <w:t xml:space="preserve"> sur des postes de se</w:t>
            </w:r>
            <w:r w:rsidR="00530C2F">
              <w:rPr>
                <w:sz w:val="20"/>
              </w:rPr>
              <w:t>crétaire général ou de responsable</w:t>
            </w:r>
            <w:r w:rsidR="00EC5E56">
              <w:rPr>
                <w:sz w:val="20"/>
              </w:rPr>
              <w:t xml:space="preserve"> fonctions support</w:t>
            </w:r>
            <w:r w:rsidR="00E55FE4">
              <w:rPr>
                <w:sz w:val="20"/>
              </w:rPr>
              <w:t xml:space="preserve">. </w:t>
            </w:r>
          </w:p>
        </w:tc>
      </w:tr>
    </w:tbl>
    <w:p w:rsidR="00991C99" w:rsidRDefault="00991C99">
      <w:pPr>
        <w:pStyle w:val="TableContents"/>
      </w:pPr>
    </w:p>
    <w:tbl>
      <w:tblPr>
        <w:tblW w:w="0" w:type="auto"/>
        <w:tblInd w:w="1" w:type="dxa"/>
        <w:tblLayout w:type="fixed"/>
        <w:tblCellMar>
          <w:left w:w="0" w:type="dxa"/>
          <w:right w:w="0" w:type="dxa"/>
        </w:tblCellMar>
        <w:tblLook w:val="0000" w:firstRow="0" w:lastRow="0" w:firstColumn="0" w:lastColumn="0" w:noHBand="0" w:noVBand="0"/>
      </w:tblPr>
      <w:tblGrid>
        <w:gridCol w:w="10532"/>
      </w:tblGrid>
      <w:tr w:rsidR="00991C99">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991C99">
            <w:pPr>
              <w:pStyle w:val="TableContents"/>
              <w:snapToGrid w:val="0"/>
              <w:rPr>
                <w:sz w:val="20"/>
              </w:rPr>
            </w:pPr>
            <w:r>
              <w:rPr>
                <w:b/>
                <w:sz w:val="20"/>
              </w:rPr>
              <w:t xml:space="preserve">Spécificités du poste / Contraintes / Sujétions : </w:t>
            </w:r>
          </w:p>
          <w:p w:rsidR="00991C99" w:rsidRDefault="00991C99" w:rsidP="00EC5E56">
            <w:pPr>
              <w:pStyle w:val="TableContents"/>
              <w:snapToGrid w:val="0"/>
              <w:jc w:val="both"/>
            </w:pPr>
            <w:r>
              <w:rPr>
                <w:sz w:val="20"/>
              </w:rPr>
              <w:t>La part</w:t>
            </w:r>
            <w:r w:rsidR="00B61B08">
              <w:rPr>
                <w:sz w:val="20"/>
              </w:rPr>
              <w:t xml:space="preserve"> fonction du poste est cotée</w:t>
            </w:r>
            <w:r w:rsidR="00EC5E56">
              <w:rPr>
                <w:sz w:val="20"/>
              </w:rPr>
              <w:t xml:space="preserve"> 3</w:t>
            </w:r>
            <w:r w:rsidR="00C415F9">
              <w:rPr>
                <w:sz w:val="20"/>
              </w:rPr>
              <w:t xml:space="preserve"> </w:t>
            </w:r>
            <w:r>
              <w:rPr>
                <w:sz w:val="20"/>
              </w:rPr>
              <w:t>dans le cadre de la PFR.</w:t>
            </w:r>
          </w:p>
        </w:tc>
      </w:tr>
    </w:tbl>
    <w:p w:rsidR="00991C99" w:rsidRDefault="00991C99">
      <w:pPr>
        <w:pStyle w:val="TableContents"/>
      </w:pPr>
    </w:p>
    <w:tbl>
      <w:tblPr>
        <w:tblW w:w="0" w:type="auto"/>
        <w:tblInd w:w="1" w:type="dxa"/>
        <w:tblLayout w:type="fixed"/>
        <w:tblCellMar>
          <w:left w:w="0" w:type="dxa"/>
          <w:right w:w="0" w:type="dxa"/>
        </w:tblCellMar>
        <w:tblLook w:val="0000" w:firstRow="0" w:lastRow="0" w:firstColumn="0" w:lastColumn="0" w:noHBand="0" w:noVBand="0"/>
      </w:tblPr>
      <w:tblGrid>
        <w:gridCol w:w="10532"/>
      </w:tblGrid>
      <w:tr w:rsidR="00991C99">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991C99">
            <w:pPr>
              <w:pStyle w:val="TableContents"/>
              <w:snapToGrid w:val="0"/>
              <w:rPr>
                <w:sz w:val="20"/>
              </w:rPr>
            </w:pPr>
            <w:r>
              <w:rPr>
                <w:b/>
                <w:sz w:val="20"/>
              </w:rPr>
              <w:t>Profil du candidat recherché (le cas échéant)</w:t>
            </w:r>
          </w:p>
          <w:p w:rsidR="00991C99" w:rsidRDefault="00991C99">
            <w:pPr>
              <w:pStyle w:val="TableContents"/>
              <w:snapToGrid w:val="0"/>
            </w:pPr>
            <w:r>
              <w:rPr>
                <w:sz w:val="20"/>
              </w:rPr>
              <w:t>Atta</w:t>
            </w:r>
            <w:r w:rsidR="004B43ED">
              <w:rPr>
                <w:sz w:val="20"/>
              </w:rPr>
              <w:t>ché/ée d’administration, d</w:t>
            </w:r>
            <w:r>
              <w:rPr>
                <w:sz w:val="20"/>
              </w:rPr>
              <w:t>iplômé/ée d’université, d’école de commerce, ou d’IEP (master en contrôle de gestion, gestion publique, finances publiques, ou assimilés)</w:t>
            </w:r>
          </w:p>
        </w:tc>
      </w:tr>
    </w:tbl>
    <w:p w:rsidR="00991C99" w:rsidRDefault="00991C99"/>
    <w:tbl>
      <w:tblPr>
        <w:tblW w:w="0" w:type="auto"/>
        <w:tblInd w:w="1" w:type="dxa"/>
        <w:tblLayout w:type="fixed"/>
        <w:tblCellMar>
          <w:left w:w="0" w:type="dxa"/>
          <w:right w:w="0" w:type="dxa"/>
        </w:tblCellMar>
        <w:tblLook w:val="0000" w:firstRow="0" w:lastRow="0" w:firstColumn="0" w:lastColumn="0" w:noHBand="0" w:noVBand="0"/>
      </w:tblPr>
      <w:tblGrid>
        <w:gridCol w:w="10532"/>
      </w:tblGrid>
      <w:tr w:rsidR="00991C99">
        <w:tc>
          <w:tcPr>
            <w:tcW w:w="10532" w:type="dxa"/>
            <w:tcBorders>
              <w:top w:val="single" w:sz="1" w:space="0" w:color="000000"/>
              <w:left w:val="single" w:sz="1" w:space="0" w:color="000000"/>
              <w:bottom w:val="single" w:sz="1" w:space="0" w:color="000000"/>
              <w:right w:val="single" w:sz="1" w:space="0" w:color="000000"/>
            </w:tcBorders>
            <w:shd w:val="clear" w:color="auto" w:fill="auto"/>
          </w:tcPr>
          <w:p w:rsidR="00991C99" w:rsidRDefault="00991C99">
            <w:pPr>
              <w:pStyle w:val="TableContents"/>
              <w:snapToGrid w:val="0"/>
              <w:rPr>
                <w:b/>
                <w:sz w:val="20"/>
              </w:rPr>
            </w:pPr>
            <w:r>
              <w:rPr>
                <w:b/>
                <w:sz w:val="20"/>
              </w:rPr>
              <w:t>Qui contacter ?</w:t>
            </w:r>
          </w:p>
          <w:p w:rsidR="001C3E1C" w:rsidRDefault="001C3E1C" w:rsidP="001C3E1C">
            <w:pPr>
              <w:pStyle w:val="TableContents"/>
              <w:snapToGrid w:val="0"/>
              <w:rPr>
                <w:sz w:val="20"/>
              </w:rPr>
            </w:pPr>
            <w:r>
              <w:rPr>
                <w:sz w:val="20"/>
              </w:rPr>
              <w:t xml:space="preserve">Francis Steinbock – Chef du bureau des opérateurs </w:t>
            </w:r>
            <w:r w:rsidR="00140FB5">
              <w:rPr>
                <w:sz w:val="20"/>
              </w:rPr>
              <w:t xml:space="preserve">- </w:t>
            </w:r>
            <w:r>
              <w:rPr>
                <w:sz w:val="20"/>
              </w:rPr>
              <w:t xml:space="preserve">préfigurateur du </w:t>
            </w:r>
            <w:r w:rsidR="00EC5E56" w:rsidRPr="00E136D1">
              <w:rPr>
                <w:bCs/>
                <w:sz w:val="20"/>
              </w:rPr>
              <w:t>département des affaires budgétaires et de la synthèse</w:t>
            </w:r>
            <w:r>
              <w:rPr>
                <w:sz w:val="20"/>
              </w:rPr>
              <w:t xml:space="preserve"> </w:t>
            </w:r>
            <w:r w:rsidRPr="000E0D46">
              <w:rPr>
                <w:sz w:val="20"/>
              </w:rPr>
              <w:t>– 01 40 15 84 24</w:t>
            </w:r>
            <w:r>
              <w:rPr>
                <w:sz w:val="20"/>
              </w:rPr>
              <w:t xml:space="preserve">  </w:t>
            </w:r>
            <w:hyperlink r:id="rId6" w:history="1">
              <w:r w:rsidRPr="00212F55">
                <w:rPr>
                  <w:rStyle w:val="Lienhypertexte"/>
                  <w:sz w:val="20"/>
                </w:rPr>
                <w:t>francis.steinbock@culture.gouv.fr</w:t>
              </w:r>
            </w:hyperlink>
            <w:r>
              <w:rPr>
                <w:sz w:val="20"/>
              </w:rPr>
              <w:t xml:space="preserve"> </w:t>
            </w:r>
          </w:p>
          <w:p w:rsidR="006A5170" w:rsidRDefault="001C3E1C" w:rsidP="001C3E1C">
            <w:pPr>
              <w:pStyle w:val="TableContents"/>
              <w:snapToGrid w:val="0"/>
              <w:rPr>
                <w:sz w:val="20"/>
              </w:rPr>
            </w:pPr>
            <w:r>
              <w:rPr>
                <w:sz w:val="20"/>
              </w:rPr>
              <w:t xml:space="preserve">Quitterie de Poncins – adjointe au chef du bureau des opérateurs01 40 15 83 38 – </w:t>
            </w:r>
            <w:hyperlink r:id="rId7" w:history="1">
              <w:r w:rsidRPr="001D27E7">
                <w:rPr>
                  <w:rStyle w:val="Lienhypertexte"/>
                  <w:sz w:val="20"/>
                </w:rPr>
                <w:t>quitterie.de-poncins@culture.gouv.fr</w:t>
              </w:r>
            </w:hyperlink>
          </w:p>
        </w:tc>
      </w:tr>
    </w:tbl>
    <w:p w:rsidR="00991C99" w:rsidRDefault="00991C99">
      <w:pPr>
        <w:pStyle w:val="TableContents"/>
        <w:snapToGrid w:val="0"/>
      </w:pPr>
      <w:r>
        <w:rPr>
          <w:sz w:val="20"/>
        </w:rPr>
        <w:t xml:space="preserve">Date de mise </w:t>
      </w:r>
      <w:r w:rsidR="002D3578">
        <w:rPr>
          <w:sz w:val="20"/>
        </w:rPr>
        <w:t>à jour de la fi</w:t>
      </w:r>
      <w:r w:rsidR="007034C5">
        <w:rPr>
          <w:sz w:val="20"/>
        </w:rPr>
        <w:t xml:space="preserve">che de poste : </w:t>
      </w:r>
      <w:r w:rsidR="00530C2F">
        <w:rPr>
          <w:sz w:val="20"/>
        </w:rPr>
        <w:t>01</w:t>
      </w:r>
      <w:r w:rsidR="0051719C">
        <w:rPr>
          <w:sz w:val="20"/>
        </w:rPr>
        <w:t>/0</w:t>
      </w:r>
      <w:r w:rsidR="00530C2F">
        <w:rPr>
          <w:sz w:val="20"/>
        </w:rPr>
        <w:t>3</w:t>
      </w:r>
      <w:r w:rsidR="0051719C">
        <w:rPr>
          <w:sz w:val="20"/>
        </w:rPr>
        <w:t>/2014</w:t>
      </w:r>
    </w:p>
    <w:sectPr w:rsidR="00991C99" w:rsidSect="00F6797B">
      <w:pgSz w:w="11906" w:h="16838"/>
      <w:pgMar w:top="397" w:right="737" w:bottom="39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92"/>
        </w:tabs>
        <w:ind w:left="792" w:hanging="360"/>
      </w:pPr>
      <w:rPr>
        <w:rFonts w:ascii="Symbol" w:hAnsi="Symbol" w:cs="Arial"/>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0FC"/>
    <w:rsid w:val="00006EAA"/>
    <w:rsid w:val="00026F84"/>
    <w:rsid w:val="00095D66"/>
    <w:rsid w:val="000C3226"/>
    <w:rsid w:val="000E0D46"/>
    <w:rsid w:val="000E4106"/>
    <w:rsid w:val="000F743F"/>
    <w:rsid w:val="001103DF"/>
    <w:rsid w:val="001326EC"/>
    <w:rsid w:val="00140FB5"/>
    <w:rsid w:val="00173E31"/>
    <w:rsid w:val="00181A7C"/>
    <w:rsid w:val="001A4116"/>
    <w:rsid w:val="001B4185"/>
    <w:rsid w:val="001C3E1C"/>
    <w:rsid w:val="001D57E2"/>
    <w:rsid w:val="001F008D"/>
    <w:rsid w:val="00200D77"/>
    <w:rsid w:val="0023451C"/>
    <w:rsid w:val="00251F24"/>
    <w:rsid w:val="00257EDB"/>
    <w:rsid w:val="00263888"/>
    <w:rsid w:val="00283FA5"/>
    <w:rsid w:val="002D3578"/>
    <w:rsid w:val="003578E7"/>
    <w:rsid w:val="00415CA1"/>
    <w:rsid w:val="00426997"/>
    <w:rsid w:val="00433B9B"/>
    <w:rsid w:val="004A2F7D"/>
    <w:rsid w:val="004B43ED"/>
    <w:rsid w:val="004B5691"/>
    <w:rsid w:val="004E50B2"/>
    <w:rsid w:val="004F346B"/>
    <w:rsid w:val="0050753B"/>
    <w:rsid w:val="0051719C"/>
    <w:rsid w:val="00530C2F"/>
    <w:rsid w:val="0053265E"/>
    <w:rsid w:val="0055768B"/>
    <w:rsid w:val="0057134E"/>
    <w:rsid w:val="005A15A4"/>
    <w:rsid w:val="005A18EA"/>
    <w:rsid w:val="005E01AA"/>
    <w:rsid w:val="00601DB5"/>
    <w:rsid w:val="0060250E"/>
    <w:rsid w:val="00653D14"/>
    <w:rsid w:val="00697450"/>
    <w:rsid w:val="006A5170"/>
    <w:rsid w:val="006C0751"/>
    <w:rsid w:val="006E29A6"/>
    <w:rsid w:val="006E539D"/>
    <w:rsid w:val="007034C5"/>
    <w:rsid w:val="007171FB"/>
    <w:rsid w:val="00727F3A"/>
    <w:rsid w:val="00731BB0"/>
    <w:rsid w:val="007415C1"/>
    <w:rsid w:val="00751634"/>
    <w:rsid w:val="007C14B4"/>
    <w:rsid w:val="007E5A03"/>
    <w:rsid w:val="008B10A2"/>
    <w:rsid w:val="008F15AA"/>
    <w:rsid w:val="009131E0"/>
    <w:rsid w:val="009676AF"/>
    <w:rsid w:val="00983FE0"/>
    <w:rsid w:val="00991C99"/>
    <w:rsid w:val="0099284F"/>
    <w:rsid w:val="009A02EC"/>
    <w:rsid w:val="009C170F"/>
    <w:rsid w:val="009C281A"/>
    <w:rsid w:val="00A41CF5"/>
    <w:rsid w:val="00A4555C"/>
    <w:rsid w:val="00AB3F63"/>
    <w:rsid w:val="00AF72A6"/>
    <w:rsid w:val="00B1425A"/>
    <w:rsid w:val="00B2702B"/>
    <w:rsid w:val="00B504A6"/>
    <w:rsid w:val="00B61B08"/>
    <w:rsid w:val="00B63B4D"/>
    <w:rsid w:val="00BC49F3"/>
    <w:rsid w:val="00BC61EE"/>
    <w:rsid w:val="00BF5087"/>
    <w:rsid w:val="00C01CA6"/>
    <w:rsid w:val="00C16BD2"/>
    <w:rsid w:val="00C415F9"/>
    <w:rsid w:val="00CB0C59"/>
    <w:rsid w:val="00CD14EA"/>
    <w:rsid w:val="00D12E4B"/>
    <w:rsid w:val="00D40754"/>
    <w:rsid w:val="00DA3C94"/>
    <w:rsid w:val="00DB30FC"/>
    <w:rsid w:val="00DB3420"/>
    <w:rsid w:val="00DD333D"/>
    <w:rsid w:val="00E043DE"/>
    <w:rsid w:val="00E2753F"/>
    <w:rsid w:val="00E36279"/>
    <w:rsid w:val="00E55FE4"/>
    <w:rsid w:val="00E61711"/>
    <w:rsid w:val="00E752ED"/>
    <w:rsid w:val="00E80620"/>
    <w:rsid w:val="00E94BDA"/>
    <w:rsid w:val="00EA09EE"/>
    <w:rsid w:val="00EA602E"/>
    <w:rsid w:val="00EB7713"/>
    <w:rsid w:val="00EC5E56"/>
    <w:rsid w:val="00F41468"/>
    <w:rsid w:val="00F433C3"/>
    <w:rsid w:val="00F5536D"/>
    <w:rsid w:val="00F6797B"/>
    <w:rsid w:val="00F72E5F"/>
    <w:rsid w:val="00FA3456"/>
    <w:rsid w:val="00FA79D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0190B3C-4A6C-4953-A3EB-6FD062D8F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97B"/>
    <w:pPr>
      <w:suppressAutoHyphens/>
    </w:pPr>
    <w:rPr>
      <w:rFonts w:ascii="Arial" w:hAnsi="Arial" w:cs="Arial"/>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F6797B"/>
    <w:rPr>
      <w:rFonts w:ascii="Symbol" w:hAnsi="Symbol" w:cs="Arial"/>
    </w:rPr>
  </w:style>
  <w:style w:type="character" w:customStyle="1" w:styleId="Absatz-Standardschriftart">
    <w:name w:val="Absatz-Standardschriftart"/>
    <w:rsid w:val="00F6797B"/>
  </w:style>
  <w:style w:type="character" w:customStyle="1" w:styleId="WW8Num3z0">
    <w:name w:val="WW8Num3z0"/>
    <w:rsid w:val="00F6797B"/>
    <w:rPr>
      <w:rFonts w:ascii="Arial" w:eastAsia="Lucida Sans Unicode" w:hAnsi="Arial" w:cs="Arial"/>
    </w:rPr>
  </w:style>
  <w:style w:type="character" w:customStyle="1" w:styleId="WW8Num3z1">
    <w:name w:val="WW8Num3z1"/>
    <w:rsid w:val="00F6797B"/>
    <w:rPr>
      <w:rFonts w:ascii="Courier New" w:hAnsi="Courier New" w:cs="Wingdings"/>
    </w:rPr>
  </w:style>
  <w:style w:type="character" w:customStyle="1" w:styleId="WW8Num3z2">
    <w:name w:val="WW8Num3z2"/>
    <w:rsid w:val="00F6797B"/>
    <w:rPr>
      <w:rFonts w:ascii="Wingdings" w:hAnsi="Wingdings" w:cs="Wingdings"/>
    </w:rPr>
  </w:style>
  <w:style w:type="character" w:customStyle="1" w:styleId="WW8Num4z0">
    <w:name w:val="WW8Num4z0"/>
    <w:rsid w:val="00F6797B"/>
    <w:rPr>
      <w:rFonts w:ascii="Times New Roman" w:eastAsia="Times New Roman" w:hAnsi="Times New Roman" w:cs="Times New Roman"/>
    </w:rPr>
  </w:style>
  <w:style w:type="character" w:customStyle="1" w:styleId="WW8Num4z1">
    <w:name w:val="WW8Num4z1"/>
    <w:rsid w:val="00F6797B"/>
    <w:rPr>
      <w:rFonts w:ascii="Courier New" w:hAnsi="Courier New" w:cs="Courier New"/>
    </w:rPr>
  </w:style>
  <w:style w:type="character" w:customStyle="1" w:styleId="WW8Num4z2">
    <w:name w:val="WW8Num4z2"/>
    <w:rsid w:val="00F6797B"/>
    <w:rPr>
      <w:rFonts w:ascii="Wingdings" w:hAnsi="Wingdings" w:cs="Wingdings"/>
    </w:rPr>
  </w:style>
  <w:style w:type="character" w:customStyle="1" w:styleId="WW8Num4z3">
    <w:name w:val="WW8Num4z3"/>
    <w:rsid w:val="00F6797B"/>
    <w:rPr>
      <w:rFonts w:ascii="Symbol" w:hAnsi="Symbol" w:cs="Symbol"/>
    </w:rPr>
  </w:style>
  <w:style w:type="character" w:customStyle="1" w:styleId="WW8Num7z0">
    <w:name w:val="WW8Num7z0"/>
    <w:rsid w:val="00F6797B"/>
    <w:rPr>
      <w:rFonts w:ascii="Wingdings" w:hAnsi="Wingdings" w:cs="Wingdings"/>
    </w:rPr>
  </w:style>
  <w:style w:type="character" w:customStyle="1" w:styleId="WW8Num7z1">
    <w:name w:val="WW8Num7z1"/>
    <w:rsid w:val="00F6797B"/>
    <w:rPr>
      <w:rFonts w:ascii="Courier New" w:hAnsi="Courier New" w:cs="Courier New"/>
    </w:rPr>
  </w:style>
  <w:style w:type="character" w:customStyle="1" w:styleId="WW8Num7z3">
    <w:name w:val="WW8Num7z3"/>
    <w:rsid w:val="00F6797B"/>
    <w:rPr>
      <w:rFonts w:ascii="Symbol" w:hAnsi="Symbol" w:cs="Symbol"/>
    </w:rPr>
  </w:style>
  <w:style w:type="character" w:customStyle="1" w:styleId="WW8Num8z0">
    <w:name w:val="WW8Num8z0"/>
    <w:rsid w:val="00F6797B"/>
    <w:rPr>
      <w:rFonts w:ascii="Wingdings" w:hAnsi="Wingdings" w:cs="Wingdings"/>
    </w:rPr>
  </w:style>
  <w:style w:type="character" w:customStyle="1" w:styleId="WW8Num8z1">
    <w:name w:val="WW8Num8z1"/>
    <w:rsid w:val="00F6797B"/>
    <w:rPr>
      <w:rFonts w:ascii="Courier New" w:hAnsi="Courier New" w:cs="Courier New"/>
    </w:rPr>
  </w:style>
  <w:style w:type="character" w:customStyle="1" w:styleId="WW8Num8z3">
    <w:name w:val="WW8Num8z3"/>
    <w:rsid w:val="00F6797B"/>
    <w:rPr>
      <w:rFonts w:ascii="Symbol" w:hAnsi="Symbol" w:cs="Symbol"/>
    </w:rPr>
  </w:style>
  <w:style w:type="character" w:customStyle="1" w:styleId="WW8Num9z0">
    <w:name w:val="WW8Num9z0"/>
    <w:rsid w:val="00F6797B"/>
    <w:rPr>
      <w:rFonts w:ascii="Times New Roman" w:eastAsia="Times New Roman" w:hAnsi="Times New Roman" w:cs="Times New Roman"/>
    </w:rPr>
  </w:style>
  <w:style w:type="character" w:customStyle="1" w:styleId="WW8Num9z1">
    <w:name w:val="WW8Num9z1"/>
    <w:rsid w:val="00F6797B"/>
    <w:rPr>
      <w:rFonts w:ascii="Courier New" w:hAnsi="Courier New" w:cs="Courier New"/>
    </w:rPr>
  </w:style>
  <w:style w:type="character" w:customStyle="1" w:styleId="WW8Num9z2">
    <w:name w:val="WW8Num9z2"/>
    <w:rsid w:val="00F6797B"/>
    <w:rPr>
      <w:rFonts w:ascii="Wingdings" w:hAnsi="Wingdings" w:cs="Wingdings"/>
    </w:rPr>
  </w:style>
  <w:style w:type="character" w:customStyle="1" w:styleId="WW8Num9z3">
    <w:name w:val="WW8Num9z3"/>
    <w:rsid w:val="00F6797B"/>
    <w:rPr>
      <w:rFonts w:ascii="Symbol" w:hAnsi="Symbol" w:cs="Symbol"/>
    </w:rPr>
  </w:style>
  <w:style w:type="character" w:customStyle="1" w:styleId="WW8Num10z0">
    <w:name w:val="WW8Num10z0"/>
    <w:rsid w:val="00F6797B"/>
    <w:rPr>
      <w:rFonts w:ascii="Symbol" w:hAnsi="Symbol" w:cs="Symbol"/>
    </w:rPr>
  </w:style>
  <w:style w:type="character" w:customStyle="1" w:styleId="WW8Num10z1">
    <w:name w:val="WW8Num10z1"/>
    <w:rsid w:val="00F6797B"/>
    <w:rPr>
      <w:rFonts w:ascii="Courier New" w:hAnsi="Courier New" w:cs="Courier New"/>
    </w:rPr>
  </w:style>
  <w:style w:type="character" w:customStyle="1" w:styleId="WW8Num10z2">
    <w:name w:val="WW8Num10z2"/>
    <w:rsid w:val="00F6797B"/>
    <w:rPr>
      <w:rFonts w:ascii="Wingdings" w:hAnsi="Wingdings" w:cs="Wingdings"/>
    </w:rPr>
  </w:style>
  <w:style w:type="character" w:customStyle="1" w:styleId="WW8Num11z0">
    <w:name w:val="WW8Num11z0"/>
    <w:rsid w:val="00F6797B"/>
    <w:rPr>
      <w:rFonts w:ascii="Symbol" w:hAnsi="Symbol" w:cs="Symbol"/>
    </w:rPr>
  </w:style>
  <w:style w:type="character" w:customStyle="1" w:styleId="WW8Num11z1">
    <w:name w:val="WW8Num11z1"/>
    <w:rsid w:val="00F6797B"/>
    <w:rPr>
      <w:rFonts w:ascii="Courier New" w:hAnsi="Courier New" w:cs="Courier New"/>
    </w:rPr>
  </w:style>
  <w:style w:type="character" w:customStyle="1" w:styleId="WW8Num11z2">
    <w:name w:val="WW8Num11z2"/>
    <w:rsid w:val="00F6797B"/>
    <w:rPr>
      <w:rFonts w:ascii="Wingdings" w:hAnsi="Wingdings" w:cs="Wingdings"/>
    </w:rPr>
  </w:style>
  <w:style w:type="character" w:customStyle="1" w:styleId="DefaultParagraphFont1">
    <w:name w:val="Default Paragraph Font1"/>
    <w:rsid w:val="00F6797B"/>
  </w:style>
  <w:style w:type="character" w:customStyle="1" w:styleId="WW-Absatz-Standardschriftart">
    <w:name w:val="WW-Absatz-Standardschriftart"/>
    <w:rsid w:val="00F6797B"/>
  </w:style>
  <w:style w:type="character" w:customStyle="1" w:styleId="WW-Absatz-Standardschriftart1">
    <w:name w:val="WW-Absatz-Standardschriftart1"/>
    <w:rsid w:val="00F6797B"/>
  </w:style>
  <w:style w:type="character" w:customStyle="1" w:styleId="WW-Absatz-Standardschriftart11">
    <w:name w:val="WW-Absatz-Standardschriftart11"/>
    <w:rsid w:val="00F6797B"/>
  </w:style>
  <w:style w:type="character" w:customStyle="1" w:styleId="WW-Absatz-Standardschriftart111">
    <w:name w:val="WW-Absatz-Standardschriftart111"/>
    <w:rsid w:val="00F6797B"/>
  </w:style>
  <w:style w:type="character" w:customStyle="1" w:styleId="Policepardfaut2">
    <w:name w:val="Police par défaut2"/>
    <w:rsid w:val="00F6797B"/>
  </w:style>
  <w:style w:type="character" w:customStyle="1" w:styleId="WW-Policepardfaut">
    <w:name w:val="WW-Police par défaut"/>
    <w:rsid w:val="00F6797B"/>
  </w:style>
  <w:style w:type="character" w:customStyle="1" w:styleId="WW8Num1z0">
    <w:name w:val="WW8Num1z0"/>
    <w:rsid w:val="00F6797B"/>
    <w:rPr>
      <w:rFonts w:ascii="Arial" w:hAnsi="Arial" w:cs="Arial"/>
      <w:sz w:val="18"/>
    </w:rPr>
  </w:style>
  <w:style w:type="character" w:customStyle="1" w:styleId="WW-Absatz-Standardschriftart1111">
    <w:name w:val="WW-Absatz-Standardschriftart1111"/>
    <w:rsid w:val="00F6797B"/>
  </w:style>
  <w:style w:type="character" w:customStyle="1" w:styleId="WW-Absatz-Standardschriftart11111">
    <w:name w:val="WW-Absatz-Standardschriftart11111"/>
    <w:rsid w:val="00F6797B"/>
  </w:style>
  <w:style w:type="character" w:customStyle="1" w:styleId="WW-Policepardfaut1">
    <w:name w:val="WW-Police par défaut1"/>
    <w:rsid w:val="00F6797B"/>
  </w:style>
  <w:style w:type="character" w:customStyle="1" w:styleId="WW-Absatz-Standardschriftart111111">
    <w:name w:val="WW-Absatz-Standardschriftart111111"/>
    <w:rsid w:val="00F6797B"/>
  </w:style>
  <w:style w:type="character" w:customStyle="1" w:styleId="WW-Absatz-Standardschriftart1111111">
    <w:name w:val="WW-Absatz-Standardschriftart1111111"/>
    <w:rsid w:val="00F6797B"/>
  </w:style>
  <w:style w:type="character" w:customStyle="1" w:styleId="WW-Absatz-Standardschriftart11111111">
    <w:name w:val="WW-Absatz-Standardschriftart11111111"/>
    <w:rsid w:val="00F6797B"/>
  </w:style>
  <w:style w:type="character" w:customStyle="1" w:styleId="WW-Absatz-Standardschriftart111111111">
    <w:name w:val="WW-Absatz-Standardschriftart111111111"/>
    <w:rsid w:val="00F6797B"/>
  </w:style>
  <w:style w:type="character" w:customStyle="1" w:styleId="WW-Absatz-Standardschriftart1111111111">
    <w:name w:val="WW-Absatz-Standardschriftart1111111111"/>
    <w:rsid w:val="00F6797B"/>
  </w:style>
  <w:style w:type="character" w:customStyle="1" w:styleId="WW-Absatz-Standardschriftart11111111111">
    <w:name w:val="WW-Absatz-Standardschriftart11111111111"/>
    <w:rsid w:val="00F6797B"/>
  </w:style>
  <w:style w:type="character" w:customStyle="1" w:styleId="WW-Absatz-Standardschriftart111111111111">
    <w:name w:val="WW-Absatz-Standardschriftart111111111111"/>
    <w:rsid w:val="00F6797B"/>
  </w:style>
  <w:style w:type="character" w:customStyle="1" w:styleId="Policepardfaut1">
    <w:name w:val="Police par défaut1"/>
    <w:rsid w:val="00F6797B"/>
  </w:style>
  <w:style w:type="character" w:customStyle="1" w:styleId="WW8Num3z3">
    <w:name w:val="WW8Num3z3"/>
    <w:rsid w:val="00F6797B"/>
    <w:rPr>
      <w:rFonts w:ascii="Symbol" w:hAnsi="Symbol" w:cs="Symbol"/>
    </w:rPr>
  </w:style>
  <w:style w:type="paragraph" w:customStyle="1" w:styleId="Titre3">
    <w:name w:val="Titre3"/>
    <w:basedOn w:val="Normal"/>
    <w:next w:val="Corpsdetexte"/>
    <w:rsid w:val="00F6797B"/>
    <w:pPr>
      <w:keepNext/>
      <w:spacing w:before="240" w:after="120"/>
    </w:pPr>
    <w:rPr>
      <w:rFonts w:ascii="Liberation Sans" w:eastAsia="Lucida Sans Unicode" w:hAnsi="Liberation Sans" w:cs="Mangal"/>
      <w:sz w:val="28"/>
      <w:szCs w:val="28"/>
    </w:rPr>
  </w:style>
  <w:style w:type="paragraph" w:styleId="Corpsdetexte">
    <w:name w:val="Body Text"/>
    <w:basedOn w:val="Normal"/>
    <w:rsid w:val="00F6797B"/>
    <w:pPr>
      <w:spacing w:after="120"/>
    </w:pPr>
  </w:style>
  <w:style w:type="paragraph" w:styleId="Liste">
    <w:name w:val="List"/>
    <w:basedOn w:val="Corpsdetexte"/>
    <w:rsid w:val="00F6797B"/>
  </w:style>
  <w:style w:type="paragraph" w:styleId="Lgende">
    <w:name w:val="caption"/>
    <w:basedOn w:val="Normal"/>
    <w:qFormat/>
    <w:rsid w:val="00F6797B"/>
    <w:pPr>
      <w:suppressLineNumbers/>
      <w:spacing w:before="120" w:after="120"/>
    </w:pPr>
    <w:rPr>
      <w:rFonts w:ascii="Liberation Sans" w:hAnsi="Liberation Sans" w:cs="Mangal"/>
      <w:i/>
      <w:iCs/>
      <w:sz w:val="24"/>
      <w:szCs w:val="24"/>
    </w:rPr>
  </w:style>
  <w:style w:type="paragraph" w:customStyle="1" w:styleId="Index">
    <w:name w:val="Index"/>
    <w:basedOn w:val="Normal"/>
    <w:rsid w:val="00F6797B"/>
    <w:pPr>
      <w:suppressLineNumbers/>
    </w:pPr>
    <w:rPr>
      <w:rFonts w:ascii="Liberation Sans" w:hAnsi="Liberation Sans" w:cs="Mangal"/>
    </w:rPr>
  </w:style>
  <w:style w:type="paragraph" w:customStyle="1" w:styleId="Titre2">
    <w:name w:val="Titre2"/>
    <w:basedOn w:val="Normal"/>
    <w:next w:val="Corpsdetexte"/>
    <w:rsid w:val="00F6797B"/>
    <w:pPr>
      <w:keepNext/>
      <w:spacing w:before="240" w:after="120"/>
    </w:pPr>
    <w:rPr>
      <w:rFonts w:eastAsia="Lucida Sans Unicode"/>
      <w:sz w:val="28"/>
      <w:szCs w:val="28"/>
    </w:rPr>
  </w:style>
  <w:style w:type="paragraph" w:customStyle="1" w:styleId="Lgende2">
    <w:name w:val="Légende2"/>
    <w:basedOn w:val="Normal"/>
    <w:rsid w:val="00F6797B"/>
    <w:pPr>
      <w:suppressLineNumbers/>
      <w:spacing w:before="120" w:after="120"/>
    </w:pPr>
    <w:rPr>
      <w:i/>
      <w:iCs/>
      <w:sz w:val="24"/>
      <w:szCs w:val="24"/>
    </w:rPr>
  </w:style>
  <w:style w:type="paragraph" w:customStyle="1" w:styleId="Rpertoire">
    <w:name w:val="Répertoire"/>
    <w:basedOn w:val="Normal"/>
    <w:rsid w:val="00F6797B"/>
    <w:pPr>
      <w:suppressLineNumbers/>
    </w:pPr>
  </w:style>
  <w:style w:type="paragraph" w:customStyle="1" w:styleId="Titre1">
    <w:name w:val="Titre1"/>
    <w:basedOn w:val="Normal"/>
    <w:next w:val="Corpsdetexte"/>
    <w:rsid w:val="00F6797B"/>
    <w:pPr>
      <w:keepNext/>
      <w:spacing w:before="240" w:after="120"/>
    </w:pPr>
    <w:rPr>
      <w:rFonts w:eastAsia="Lucida Sans Unicode"/>
      <w:sz w:val="28"/>
      <w:szCs w:val="28"/>
    </w:rPr>
  </w:style>
  <w:style w:type="paragraph" w:customStyle="1" w:styleId="Lgende1">
    <w:name w:val="Légende1"/>
    <w:basedOn w:val="Normal"/>
    <w:rsid w:val="00F6797B"/>
    <w:pPr>
      <w:suppressLineNumbers/>
      <w:spacing w:before="120" w:after="120"/>
    </w:pPr>
    <w:rPr>
      <w:i/>
      <w:iCs/>
      <w:sz w:val="24"/>
      <w:szCs w:val="24"/>
    </w:rPr>
  </w:style>
  <w:style w:type="paragraph" w:customStyle="1" w:styleId="En-tte1">
    <w:name w:val="En-tête1"/>
    <w:basedOn w:val="Normal"/>
    <w:rsid w:val="00F6797B"/>
    <w:pPr>
      <w:widowControl w:val="0"/>
      <w:tabs>
        <w:tab w:val="center" w:pos="4818"/>
        <w:tab w:val="right" w:pos="9637"/>
      </w:tabs>
    </w:pPr>
    <w:rPr>
      <w:rFonts w:ascii="Times New Roman" w:eastAsia="Lucida Sans Unicode" w:hAnsi="Times New Roman" w:cs="Times New Roman"/>
      <w:sz w:val="24"/>
    </w:rPr>
  </w:style>
  <w:style w:type="paragraph" w:customStyle="1" w:styleId="TableContents">
    <w:name w:val="Table Contents"/>
    <w:basedOn w:val="Normal"/>
    <w:rsid w:val="00F6797B"/>
    <w:pPr>
      <w:widowControl w:val="0"/>
    </w:pPr>
    <w:rPr>
      <w:rFonts w:ascii="Times New Roman" w:eastAsia="Lucida Sans Unicode" w:hAnsi="Times New Roman" w:cs="Times New Roman"/>
      <w:sz w:val="24"/>
    </w:rPr>
  </w:style>
  <w:style w:type="paragraph" w:customStyle="1" w:styleId="Contenudetableau">
    <w:name w:val="Contenu de tableau"/>
    <w:basedOn w:val="Normal"/>
    <w:rsid w:val="00F6797B"/>
    <w:pPr>
      <w:suppressLineNumbers/>
    </w:pPr>
  </w:style>
  <w:style w:type="paragraph" w:customStyle="1" w:styleId="Titredetableau">
    <w:name w:val="Titre de tableau"/>
    <w:basedOn w:val="Contenudetableau"/>
    <w:rsid w:val="00F6797B"/>
    <w:pPr>
      <w:jc w:val="center"/>
    </w:pPr>
    <w:rPr>
      <w:b/>
      <w:bCs/>
    </w:rPr>
  </w:style>
  <w:style w:type="paragraph" w:customStyle="1" w:styleId="Textedebulles1">
    <w:name w:val="Texte de bulles1"/>
    <w:basedOn w:val="Normal"/>
    <w:rsid w:val="00F6797B"/>
    <w:rPr>
      <w:rFonts w:ascii="Tahoma" w:hAnsi="Tahoma" w:cs="Tahoma"/>
      <w:sz w:val="16"/>
      <w:szCs w:val="16"/>
    </w:rPr>
  </w:style>
  <w:style w:type="paragraph" w:customStyle="1" w:styleId="BodyTextIndent31">
    <w:name w:val="Body Text Indent 31"/>
    <w:basedOn w:val="Normal"/>
    <w:rsid w:val="00F6797B"/>
    <w:pPr>
      <w:spacing w:after="120"/>
      <w:ind w:left="283"/>
    </w:pPr>
    <w:rPr>
      <w:sz w:val="16"/>
      <w:szCs w:val="16"/>
    </w:rPr>
  </w:style>
  <w:style w:type="paragraph" w:styleId="Paragraphedeliste">
    <w:name w:val="List Paragraph"/>
    <w:basedOn w:val="Normal"/>
    <w:qFormat/>
    <w:rsid w:val="00F6797B"/>
    <w:pPr>
      <w:ind w:left="708"/>
    </w:pPr>
  </w:style>
  <w:style w:type="paragraph" w:styleId="Textedebulles">
    <w:name w:val="Balloon Text"/>
    <w:basedOn w:val="Normal"/>
    <w:link w:val="TextedebullesCar"/>
    <w:uiPriority w:val="99"/>
    <w:semiHidden/>
    <w:unhideWhenUsed/>
    <w:rsid w:val="000E0D46"/>
    <w:rPr>
      <w:rFonts w:ascii="Segoe UI" w:hAnsi="Segoe UI" w:cs="Segoe UI"/>
      <w:sz w:val="18"/>
      <w:szCs w:val="18"/>
    </w:rPr>
  </w:style>
  <w:style w:type="character" w:customStyle="1" w:styleId="TextedebullesCar">
    <w:name w:val="Texte de bulles Car"/>
    <w:link w:val="Textedebulles"/>
    <w:uiPriority w:val="99"/>
    <w:semiHidden/>
    <w:rsid w:val="000E0D46"/>
    <w:rPr>
      <w:rFonts w:ascii="Segoe UI" w:hAnsi="Segoe UI" w:cs="Segoe UI"/>
      <w:sz w:val="18"/>
      <w:szCs w:val="18"/>
      <w:lang w:eastAsia="zh-CN"/>
    </w:rPr>
  </w:style>
  <w:style w:type="character" w:styleId="Lienhypertexte">
    <w:name w:val="Hyperlink"/>
    <w:basedOn w:val="Policepardfaut"/>
    <w:uiPriority w:val="99"/>
    <w:unhideWhenUsed/>
    <w:rsid w:val="006A5170"/>
    <w:rPr>
      <w:color w:val="0563C1" w:themeColor="hyperlink"/>
      <w:u w:val="single"/>
    </w:rPr>
  </w:style>
  <w:style w:type="paragraph" w:customStyle="1" w:styleId="Standard">
    <w:name w:val="Standard"/>
    <w:rsid w:val="00E61711"/>
    <w:pPr>
      <w:suppressAutoHyphens/>
      <w:spacing w:after="160" w:line="259" w:lineRule="auto"/>
    </w:pPr>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quitterie.de-poncins@culture.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ancis.steinbock@culture.gouv.f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1610</Words>
  <Characters>8859</Characters>
  <Application>Microsoft Office Word</Application>
  <DocSecurity>0</DocSecurity>
  <Lines>73</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10449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Christian NEGRE</dc:creator>
  <cp:keywords/>
  <cp:lastModifiedBy>Francis Steinbock</cp:lastModifiedBy>
  <cp:revision>2</cp:revision>
  <cp:lastPrinted>2014-02-19T11:28:00Z</cp:lastPrinted>
  <dcterms:created xsi:type="dcterms:W3CDTF">2014-03-10T11:43:00Z</dcterms:created>
  <dcterms:modified xsi:type="dcterms:W3CDTF">2014-03-10T11:43:00Z</dcterms:modified>
</cp:coreProperties>
</file>