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F4" w:rsidRDefault="009B7B78">
      <w:pPr>
        <w:pStyle w:val="En-tte"/>
        <w:tabs>
          <w:tab w:val="left" w:pos="3686"/>
        </w:tabs>
      </w:pPr>
      <w:r>
        <w:rPr>
          <w:noProof/>
          <w:sz w:val="20"/>
          <w:lang w:eastAsia="fr-FR"/>
        </w:rPr>
        <w:drawing>
          <wp:inline distT="0" distB="0" distL="0" distR="0">
            <wp:extent cx="714375" cy="972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714375" cy="972185"/>
                    </a:xfrm>
                    <a:prstGeom prst="rect">
                      <a:avLst/>
                    </a:prstGeom>
                    <a:noFill/>
                    <a:ln w="9525">
                      <a:noFill/>
                      <a:miter lim="800000"/>
                      <a:headEnd/>
                      <a:tailEnd/>
                    </a:ln>
                  </pic:spPr>
                </pic:pic>
              </a:graphicData>
            </a:graphic>
          </wp:inline>
        </w:drawing>
      </w:r>
      <w:r>
        <w:rPr>
          <w:sz w:val="20"/>
        </w:rPr>
        <w:tab/>
      </w:r>
      <w:r>
        <w:rPr>
          <w:b/>
          <w:bCs/>
          <w:sz w:val="20"/>
        </w:rPr>
        <w:t>FICHE DE POSTE</w:t>
      </w:r>
    </w:p>
    <w:p w:rsidR="00EC13F4" w:rsidRDefault="00EC13F4">
      <w:pPr>
        <w:pStyle w:val="Standard"/>
      </w:pPr>
    </w:p>
    <w:tbl>
      <w:tblPr>
        <w:tblW w:w="0" w:type="auto"/>
        <w:tblInd w:w="-7"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313"/>
        <w:gridCol w:w="140"/>
        <w:gridCol w:w="3980"/>
      </w:tblGrid>
      <w:tr w:rsidR="00EC13F4">
        <w:tc>
          <w:tcPr>
            <w:tcW w:w="637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rPr>
                <w:b/>
                <w:bCs/>
                <w:sz w:val="20"/>
              </w:rPr>
            </w:pPr>
            <w:r>
              <w:rPr>
                <w:b/>
                <w:bCs/>
                <w:sz w:val="20"/>
              </w:rPr>
              <w:t>Intitulé du poste : Chargé d’analyses financières transversales</w:t>
            </w:r>
          </w:p>
          <w:p w:rsidR="00206A0C" w:rsidRDefault="00206A0C" w:rsidP="00206A0C">
            <w:pPr>
              <w:pStyle w:val="TableContents"/>
              <w:snapToGrid w:val="0"/>
              <w:spacing w:after="0"/>
            </w:pPr>
          </w:p>
        </w:tc>
        <w:tc>
          <w:tcPr>
            <w:tcW w:w="142" w:type="dxa"/>
            <w:tcBorders>
              <w:left w:val="single" w:sz="2" w:space="0" w:color="000000"/>
            </w:tcBorders>
            <w:shd w:val="clear" w:color="auto" w:fill="auto"/>
            <w:tcMar>
              <w:top w:w="0" w:type="dxa"/>
              <w:left w:w="0" w:type="dxa"/>
              <w:bottom w:w="0" w:type="dxa"/>
              <w:right w:w="0" w:type="dxa"/>
            </w:tcMar>
          </w:tcPr>
          <w:p w:rsidR="00EC13F4" w:rsidRDefault="00EC13F4">
            <w:pPr>
              <w:pStyle w:val="TableContents"/>
              <w:snapToGrid w:val="0"/>
            </w:pPr>
          </w:p>
        </w:tc>
        <w:tc>
          <w:tcPr>
            <w:tcW w:w="401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pPr>
            <w:r>
              <w:rPr>
                <w:b/>
                <w:sz w:val="20"/>
              </w:rPr>
              <w:t>Catégorie A – Attaché d’administration</w:t>
            </w:r>
            <w:r>
              <w:rPr>
                <w:b/>
                <w:sz w:val="20"/>
              </w:rPr>
              <w:br/>
            </w:r>
            <w:r>
              <w:rPr>
                <w:b/>
                <w:i/>
                <w:sz w:val="20"/>
              </w:rPr>
              <w:t xml:space="preserve">Ouvert aux contractuels </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sz w:val="20"/>
              </w:rPr>
              <w:t>Domaine(s) Fonctionnel(s) :</w:t>
            </w:r>
            <w:r>
              <w:rPr>
                <w:b/>
                <w:sz w:val="20"/>
              </w:rPr>
              <w:t xml:space="preserve"> administration générale</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sz w:val="20"/>
              </w:rPr>
              <w:t xml:space="preserve">Emploi(s) Type : </w:t>
            </w:r>
            <w:r>
              <w:rPr>
                <w:b/>
                <w:sz w:val="20"/>
              </w:rPr>
              <w:t xml:space="preserve">Chargé d’analyses financières </w:t>
            </w:r>
            <w:r>
              <w:rPr>
                <w:sz w:val="20"/>
              </w:rPr>
              <w:t>(FPEGB03)</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rPr>
              <w:t>Localisation administrative et géographique / Affectation :</w:t>
            </w:r>
          </w:p>
          <w:p w:rsidR="00EC13F4" w:rsidRDefault="009B7B78" w:rsidP="00206A0C">
            <w:pPr>
              <w:pStyle w:val="TableContents"/>
              <w:spacing w:after="0"/>
            </w:pPr>
            <w:r>
              <w:rPr>
                <w:sz w:val="20"/>
              </w:rPr>
              <w:t>Ministère de la culture et de la communication</w:t>
            </w:r>
          </w:p>
          <w:p w:rsidR="006E48F0" w:rsidRDefault="009B7B78" w:rsidP="006E48F0">
            <w:pPr>
              <w:pStyle w:val="TableContents"/>
              <w:spacing w:after="0"/>
              <w:rPr>
                <w:sz w:val="20"/>
              </w:rPr>
            </w:pPr>
            <w:r>
              <w:rPr>
                <w:sz w:val="20"/>
              </w:rPr>
              <w:t xml:space="preserve">Secrétariat général </w:t>
            </w:r>
            <w:r w:rsidR="0019383A">
              <w:rPr>
                <w:sz w:val="20"/>
              </w:rPr>
              <w:t>/</w:t>
            </w:r>
            <w:r>
              <w:rPr>
                <w:sz w:val="20"/>
              </w:rPr>
              <w:t xml:space="preserve"> Service des affaires financières et générales </w:t>
            </w:r>
            <w:r w:rsidR="00206A0C">
              <w:rPr>
                <w:sz w:val="20"/>
              </w:rPr>
              <w:t xml:space="preserve">/ </w:t>
            </w:r>
            <w:r w:rsidR="006E48F0">
              <w:rPr>
                <w:sz w:val="20"/>
              </w:rPr>
              <w:t>département des affaires budgétaires et de la synthèse</w:t>
            </w:r>
          </w:p>
          <w:p w:rsidR="00EC13F4" w:rsidRDefault="009B7B78" w:rsidP="0019383A">
            <w:pPr>
              <w:pStyle w:val="TableContents"/>
              <w:spacing w:after="0"/>
            </w:pPr>
            <w:r>
              <w:rPr>
                <w:sz w:val="20"/>
              </w:rPr>
              <w:t>182, rue Saint-Honoré</w:t>
            </w:r>
            <w:r>
              <w:rPr>
                <w:sz w:val="20"/>
              </w:rPr>
              <w:br/>
              <w:t>75033 PARIS CEDEX 1</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Pr="00206A0C" w:rsidRDefault="009B7B78" w:rsidP="00206A0C">
            <w:pPr>
              <w:pStyle w:val="TableContents"/>
              <w:snapToGrid w:val="0"/>
              <w:spacing w:after="0"/>
              <w:ind w:right="-356"/>
              <w:rPr>
                <w:sz w:val="20"/>
              </w:rPr>
            </w:pPr>
            <w:r w:rsidRPr="00206A0C">
              <w:rPr>
                <w:b/>
                <w:sz w:val="20"/>
              </w:rPr>
              <w:t>Missions et activités principales :</w:t>
            </w:r>
          </w:p>
          <w:p w:rsidR="00360148" w:rsidRPr="00CB7020" w:rsidRDefault="00360148" w:rsidP="00360148">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360148" w:rsidRDefault="00360148" w:rsidP="00360148">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360148" w:rsidRDefault="00360148" w:rsidP="00360148">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360148" w:rsidRDefault="00360148" w:rsidP="00360148">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360148" w:rsidRDefault="00360148" w:rsidP="00360148">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360148" w:rsidRDefault="00360148" w:rsidP="00360148">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 xml:space="preserve">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w:t>
            </w:r>
            <w:r>
              <w:rPr>
                <w:rFonts w:ascii="Times New Roman" w:hAnsi="Times New Roman"/>
              </w:rPr>
              <w:lastRenderedPageBreak/>
              <w:t>diffusion des bonnes pratiques ; animation du réseau des opérateurs sur les questions administratives et financières en liaison avec les services et directions de tutelle et coordination des autres réseaux thématiques opérateurs.</w:t>
            </w:r>
          </w:p>
          <w:p w:rsidR="00360148" w:rsidRPr="00B11BA7" w:rsidRDefault="00360148" w:rsidP="00360148">
            <w:pPr>
              <w:tabs>
                <w:tab w:val="left" w:pos="7655"/>
              </w:tabs>
              <w:jc w:val="both"/>
              <w:rPr>
                <w:rFonts w:ascii="Times New Roman" w:hAnsi="Times New Roman"/>
                <w:sz w:val="20"/>
              </w:rPr>
            </w:pPr>
            <w:r w:rsidRPr="00B11BA7">
              <w:rPr>
                <w:rFonts w:ascii="Times New Roman" w:hAnsi="Times New Roman"/>
                <w:sz w:val="20"/>
              </w:rPr>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EC13F4" w:rsidRPr="00360148" w:rsidRDefault="009B7B78" w:rsidP="00360148">
            <w:pPr>
              <w:pStyle w:val="TableContents"/>
              <w:spacing w:after="0"/>
              <w:rPr>
                <w:sz w:val="20"/>
              </w:rPr>
            </w:pPr>
            <w:r>
              <w:rPr>
                <w:sz w:val="20"/>
              </w:rPr>
              <w:t xml:space="preserve">Au sein du </w:t>
            </w:r>
            <w:r w:rsidR="006E48F0">
              <w:rPr>
                <w:sz w:val="20"/>
              </w:rPr>
              <w:t xml:space="preserve">département des affaires budgétaires et de la synthèse </w:t>
            </w:r>
            <w:r>
              <w:rPr>
                <w:sz w:val="20"/>
              </w:rPr>
              <w:t>composé de</w:t>
            </w:r>
            <w:r w:rsidR="006E48F0">
              <w:rPr>
                <w:sz w:val="20"/>
              </w:rPr>
              <w:t xml:space="preserve"> 13</w:t>
            </w:r>
            <w:r>
              <w:rPr>
                <w:sz w:val="20"/>
              </w:rPr>
              <w:t xml:space="preserve"> personnes, dont le chef de </w:t>
            </w:r>
            <w:r w:rsidR="00206A0C">
              <w:rPr>
                <w:sz w:val="20"/>
              </w:rPr>
              <w:t xml:space="preserve">département </w:t>
            </w:r>
            <w:r w:rsidR="006E48F0">
              <w:rPr>
                <w:sz w:val="20"/>
              </w:rPr>
              <w:t>le chef adjoint de département</w:t>
            </w:r>
            <w:r>
              <w:rPr>
                <w:sz w:val="20"/>
              </w:rPr>
              <w:t>, le chargé d’analyses financières transversales occupe une fonction qui recoupe l</w:t>
            </w:r>
            <w:r w:rsidR="006E48F0">
              <w:rPr>
                <w:sz w:val="20"/>
              </w:rPr>
              <w:t>’ensemble des missions du département</w:t>
            </w:r>
            <w:r>
              <w:rPr>
                <w:sz w:val="20"/>
              </w:rPr>
              <w:t xml:space="preserve"> : préparation des lois de finances, programmation budgétaire, suivi de l’exécution. Il est appelé à travailler avec l’ensemble de l’équipe du </w:t>
            </w:r>
            <w:r w:rsidR="006E48F0">
              <w:rPr>
                <w:sz w:val="20"/>
              </w:rPr>
              <w:t>département</w:t>
            </w:r>
            <w:r>
              <w:rPr>
                <w:sz w:val="20"/>
              </w:rPr>
              <w:t xml:space="preserve"> ainsi qu’avec les services des </w:t>
            </w:r>
            <w:r w:rsidR="006E48F0">
              <w:rPr>
                <w:sz w:val="20"/>
              </w:rPr>
              <w:t xml:space="preserve">responsables de </w:t>
            </w:r>
            <w:r w:rsidR="006E48F0" w:rsidRPr="00360148">
              <w:rPr>
                <w:sz w:val="20"/>
              </w:rPr>
              <w:t>programme</w:t>
            </w:r>
            <w:r w:rsidRPr="00360148">
              <w:rPr>
                <w:sz w:val="20"/>
              </w:rPr>
              <w:t xml:space="preserve"> et du secrét</w:t>
            </w:r>
            <w:r w:rsidR="006E48F0" w:rsidRPr="00360148">
              <w:rPr>
                <w:sz w:val="20"/>
              </w:rPr>
              <w:t>ariat général</w:t>
            </w:r>
            <w:r w:rsidRPr="00360148">
              <w:rPr>
                <w:sz w:val="20"/>
              </w:rPr>
              <w:t>.</w:t>
            </w:r>
            <w:r w:rsidR="006E48F0" w:rsidRPr="00360148">
              <w:rPr>
                <w:sz w:val="20"/>
              </w:rPr>
              <w:t xml:space="preserve"> </w:t>
            </w:r>
            <w:r w:rsidR="00360148" w:rsidRPr="00360148">
              <w:rPr>
                <w:sz w:val="20"/>
              </w:rPr>
              <w:t xml:space="preserve"> </w:t>
            </w:r>
            <w:r w:rsidRPr="00360148">
              <w:rPr>
                <w:sz w:val="20"/>
              </w:rPr>
              <w:t>Il est plus particulièrement chargé des missions suivantes :</w:t>
            </w:r>
          </w:p>
          <w:p w:rsidR="00EC13F4" w:rsidRDefault="009B7B78" w:rsidP="00206A0C">
            <w:pPr>
              <w:pStyle w:val="Standard"/>
              <w:numPr>
                <w:ilvl w:val="0"/>
                <w:numId w:val="4"/>
              </w:numPr>
              <w:suppressAutoHyphens w:val="0"/>
              <w:spacing w:after="0"/>
              <w:jc w:val="both"/>
            </w:pPr>
            <w:r>
              <w:rPr>
                <w:rFonts w:ascii="Times New Roman" w:hAnsi="Times New Roman" w:cs="Times New Roman"/>
                <w:b/>
              </w:rPr>
              <w:t>Coordination de la préparation des documents de performance des annexes aux lois de finances</w:t>
            </w:r>
            <w:r>
              <w:rPr>
                <w:rFonts w:ascii="Times New Roman" w:hAnsi="Times New Roman" w:cs="Times New Roman"/>
              </w:rPr>
              <w:t xml:space="preserve"> : chargé de la coordination du volet « performances » des documents budgétaires annexés aux lois de finances, il anime le réseau des contrôleurs de gestion ministériels, coordonne en relation avec l’encadrement du bureau la préparation des conférences de performances (veille du respect du calendrier, synthèse et analyse des indicateurs produits par les directions générales et de leurs contributions dans les projets et rapports annuels de performances et les autres documents annexés à la loi de finances initiale, jaunes et documents de politique transversales). </w:t>
            </w:r>
          </w:p>
          <w:p w:rsidR="00EC13F4" w:rsidRDefault="009B7B78" w:rsidP="00206A0C">
            <w:pPr>
              <w:pStyle w:val="Standard"/>
              <w:numPr>
                <w:ilvl w:val="0"/>
                <w:numId w:val="4"/>
              </w:numPr>
              <w:suppressAutoHyphens w:val="0"/>
              <w:spacing w:after="0"/>
              <w:jc w:val="both"/>
            </w:pPr>
            <w:r>
              <w:rPr>
                <w:rFonts w:ascii="Times New Roman" w:hAnsi="Times New Roman" w:cs="Times New Roman"/>
                <w:b/>
              </w:rPr>
              <w:t>Coordination des travaux de la comptabilité d’analyse des coûts (CAC) pour les projets et rapports annuels de performances et réalisation des livrables au Parlement</w:t>
            </w:r>
            <w:r>
              <w:rPr>
                <w:rFonts w:ascii="Times New Roman" w:hAnsi="Times New Roman" w:cs="Times New Roman"/>
              </w:rPr>
              <w:t xml:space="preserve"> : dans un contexte de forte évolution liée au passage à la CAC dans Chorus, il coordonne l’équipe ministérielle chargée de la CAC et est le correspondant dédié de la direction du budget sur le sujet : participation aux ateliers interministériels, élaboration des documents techniques, réingénierie des processus CAC liés au passage à Chorus ; interlocuteur de l’ensemble des services concernés au ministère, il est chargé de réalisation des documents produits dans le cadre de cet exercice (mise à jour des fiches de déversement, production et consolidation des données, mise à jour des matrices de calculs et consolidation des données des CAC budgétaires et comptables) ;</w:t>
            </w:r>
          </w:p>
          <w:p w:rsidR="00EC13F4" w:rsidRDefault="009B7B78" w:rsidP="00206A0C">
            <w:pPr>
              <w:pStyle w:val="Standard"/>
              <w:numPr>
                <w:ilvl w:val="0"/>
                <w:numId w:val="4"/>
              </w:numPr>
              <w:suppressAutoHyphens w:val="0"/>
              <w:spacing w:after="0"/>
              <w:jc w:val="both"/>
            </w:pPr>
            <w:r>
              <w:rPr>
                <w:rFonts w:ascii="Times New Roman" w:hAnsi="Times New Roman" w:cs="Times New Roman"/>
                <w:b/>
              </w:rPr>
              <w:t>Fiabilisation de l’information financière</w:t>
            </w:r>
            <w:r>
              <w:rPr>
                <w:rFonts w:ascii="Times New Roman" w:hAnsi="Times New Roman" w:cs="Times New Roman"/>
              </w:rPr>
              <w:t> : dans le cadre des fonctions de synthèse ministérielle</w:t>
            </w:r>
            <w:r w:rsidR="006E48F0">
              <w:rPr>
                <w:rFonts w:ascii="Times New Roman" w:hAnsi="Times New Roman" w:cs="Times New Roman"/>
              </w:rPr>
              <w:t xml:space="preserve"> du département</w:t>
            </w:r>
            <w:r>
              <w:rPr>
                <w:rFonts w:ascii="Times New Roman" w:hAnsi="Times New Roman" w:cs="Times New Roman"/>
              </w:rPr>
              <w:t>, il est charg</w:t>
            </w:r>
            <w:r w:rsidR="006E48F0">
              <w:rPr>
                <w:rFonts w:ascii="Times New Roman" w:hAnsi="Times New Roman" w:cs="Times New Roman"/>
              </w:rPr>
              <w:t>é</w:t>
            </w:r>
            <w:r>
              <w:rPr>
                <w:rFonts w:ascii="Times New Roman" w:hAnsi="Times New Roman" w:cs="Times New Roman"/>
              </w:rPr>
              <w:t xml:space="preserve"> d’expertiser et d’enrichir les informations financières disp</w:t>
            </w:r>
            <w:bookmarkStart w:id="0" w:name="_GoBack"/>
            <w:bookmarkEnd w:id="0"/>
            <w:r>
              <w:rPr>
                <w:rFonts w:ascii="Times New Roman" w:hAnsi="Times New Roman" w:cs="Times New Roman"/>
              </w:rPr>
              <w:t>onibles dans les différents systèmes d’information, en en assurant la cohérence d’ensemble de façon transverse. À ce titre, il est en particulier chargé :</w:t>
            </w:r>
          </w:p>
          <w:p w:rsidR="00EC13F4" w:rsidRDefault="009B7B78" w:rsidP="00206A0C">
            <w:pPr>
              <w:pStyle w:val="Standard"/>
              <w:numPr>
                <w:ilvl w:val="0"/>
                <w:numId w:val="3"/>
              </w:numPr>
              <w:suppressAutoHyphens w:val="0"/>
              <w:spacing w:after="0"/>
              <w:jc w:val="both"/>
            </w:pPr>
            <w:r>
              <w:rPr>
                <w:rFonts w:ascii="Times New Roman" w:hAnsi="Times New Roman" w:cs="Times New Roman"/>
              </w:rPr>
              <w:t xml:space="preserve">de réaliser les expertises dans les différents outils en matière de restitutions pour le pilotage des crédits : expertise technique sur les données et prospective sur les restitutions à produire </w:t>
            </w:r>
            <w:r w:rsidR="006E48F0">
              <w:rPr>
                <w:rFonts w:ascii="Times New Roman" w:hAnsi="Times New Roman" w:cs="Times New Roman"/>
              </w:rPr>
              <w:t>afin</w:t>
            </w:r>
            <w:r>
              <w:rPr>
                <w:rFonts w:ascii="Times New Roman" w:hAnsi="Times New Roman" w:cs="Times New Roman"/>
              </w:rPr>
              <w:t xml:space="preserve"> de développer et d’optimiser le pilotage budgétaire, en relation avec la mission modernisation de l’information financière (MMIF) et le bureau de la qualité comptable (BQC) ;</w:t>
            </w:r>
          </w:p>
          <w:p w:rsidR="00EC13F4" w:rsidRDefault="009B7B78" w:rsidP="00206A0C">
            <w:pPr>
              <w:pStyle w:val="Standard"/>
              <w:numPr>
                <w:ilvl w:val="0"/>
                <w:numId w:val="3"/>
              </w:numPr>
              <w:suppressAutoHyphens w:val="0"/>
              <w:spacing w:after="0"/>
              <w:jc w:val="both"/>
            </w:pPr>
            <w:r>
              <w:rPr>
                <w:rFonts w:ascii="Times New Roman" w:hAnsi="Times New Roman" w:cs="Times New Roman"/>
              </w:rPr>
              <w:t>de proposer des outils propres à permettre l’analyse budgétaire, à des fins de connaissance des coûts de l’action publique, d’optimisation des rapports entre résultats et moyens alloués (tableaux de bord, référentiels d’analyse, systèmes d’information décisionnels « métier »  …) et de dialogue de gestion entre le secrétariat général et les directions générales ;</w:t>
            </w:r>
          </w:p>
          <w:p w:rsidR="00CD00C1" w:rsidRPr="0066509C" w:rsidRDefault="009B7B78" w:rsidP="00206A0C">
            <w:pPr>
              <w:pStyle w:val="Standard"/>
              <w:numPr>
                <w:ilvl w:val="0"/>
                <w:numId w:val="3"/>
              </w:numPr>
              <w:suppressAutoHyphens w:val="0"/>
              <w:spacing w:after="0"/>
              <w:jc w:val="both"/>
            </w:pPr>
            <w:r>
              <w:rPr>
                <w:rFonts w:ascii="Times New Roman" w:hAnsi="Times New Roman" w:cs="Times New Roman"/>
              </w:rPr>
              <w:t>de produire et consolider des données, y compris statistiques, destinées à alimenter les outils d’analyse budgétaire</w:t>
            </w:r>
            <w:r w:rsidR="00CD00C1">
              <w:rPr>
                <w:rFonts w:ascii="Times New Roman" w:hAnsi="Times New Roman" w:cs="Times New Roman"/>
              </w:rPr>
              <w:t> ;</w:t>
            </w:r>
          </w:p>
          <w:p w:rsidR="00EC13F4" w:rsidRDefault="00CD00C1" w:rsidP="00206A0C">
            <w:pPr>
              <w:pStyle w:val="Standard"/>
              <w:numPr>
                <w:ilvl w:val="0"/>
                <w:numId w:val="3"/>
              </w:numPr>
              <w:suppressAutoHyphens w:val="0"/>
              <w:spacing w:after="0"/>
              <w:jc w:val="both"/>
            </w:pPr>
            <w:r>
              <w:rPr>
                <w:rFonts w:ascii="Times New Roman" w:hAnsi="Times New Roman" w:cs="Times New Roman"/>
              </w:rPr>
              <w:t>de suivre les recettes non fiscales (fonds de concours et attributions de produit) en lien avec le BQC</w:t>
            </w:r>
            <w:r w:rsidR="0066509C">
              <w:rPr>
                <w:rFonts w:ascii="Times New Roman" w:hAnsi="Times New Roman" w:cs="Times New Roman"/>
              </w:rPr>
              <w:t xml:space="preserve">. </w:t>
            </w:r>
          </w:p>
          <w:p w:rsidR="00EC13F4" w:rsidRDefault="009B7B78" w:rsidP="00206A0C">
            <w:pPr>
              <w:pStyle w:val="Standard"/>
              <w:numPr>
                <w:ilvl w:val="0"/>
                <w:numId w:val="4"/>
              </w:numPr>
              <w:suppressAutoHyphens w:val="0"/>
              <w:spacing w:after="0"/>
              <w:jc w:val="both"/>
            </w:pPr>
            <w:r>
              <w:rPr>
                <w:rFonts w:ascii="Times New Roman" w:hAnsi="Times New Roman" w:cs="Times New Roman"/>
                <w:b/>
              </w:rPr>
              <w:t xml:space="preserve">Correspondant du bureau du budget et de la synthèse sur les systèmes d’information financiers : </w:t>
            </w:r>
          </w:p>
          <w:p w:rsidR="00EC13F4" w:rsidRDefault="009B7B78" w:rsidP="00206A0C">
            <w:pPr>
              <w:pStyle w:val="Standard"/>
              <w:numPr>
                <w:ilvl w:val="0"/>
                <w:numId w:val="2"/>
              </w:numPr>
              <w:suppressAutoHyphens w:val="0"/>
              <w:spacing w:after="0"/>
              <w:jc w:val="both"/>
            </w:pPr>
            <w:r>
              <w:rPr>
                <w:rFonts w:ascii="Times New Roman" w:hAnsi="Times New Roman" w:cs="Times New Roman"/>
              </w:rPr>
              <w:t xml:space="preserve">il est le correspondant dédié du bureau sur les outils de programmation ministériels et interministériels (Arpège, Chorus). En tant qu’expert, il est appelé à participer aux réflexions sur </w:t>
            </w:r>
            <w:r w:rsidR="00360148">
              <w:rPr>
                <w:rFonts w:ascii="Times New Roman" w:hAnsi="Times New Roman" w:cs="Times New Roman"/>
              </w:rPr>
              <w:t xml:space="preserve">l’amélioration des outils et des procédures de programmation. </w:t>
            </w:r>
          </w:p>
          <w:p w:rsidR="00EC13F4" w:rsidRDefault="009B7B78" w:rsidP="00206A0C">
            <w:pPr>
              <w:pStyle w:val="Standard"/>
              <w:numPr>
                <w:ilvl w:val="0"/>
                <w:numId w:val="2"/>
              </w:numPr>
              <w:suppressAutoHyphens w:val="0"/>
              <w:spacing w:after="0"/>
              <w:jc w:val="both"/>
            </w:pPr>
            <w:r>
              <w:rPr>
                <w:rFonts w:ascii="Times New Roman" w:hAnsi="Times New Roman" w:cs="Times New Roman"/>
              </w:rPr>
              <w:t>il assure l’interface entre les besoins métiers et les contraintes outils sur l’ensemble des référentiels budgétaires du ministère (référentiel de programmation par activité, nomenclature par destination, cartographie des BOP et des UO, référentiel des centres de coûts, référentiel des fonds de concours) : coordination avec les directions générales et les services du secrétariat général au moment de l’actualisation et synthèse des évolutions à cette occasion, communication interne et externe sur les évolutions, suivi des mises à jour tout au long de l’année, participation aux travaux de fin de gestion, documentation des procédures de mise à jour pour chacun des référentiels.</w:t>
            </w:r>
          </w:p>
        </w:tc>
      </w:tr>
    </w:tbl>
    <w:p w:rsidR="00EC13F4" w:rsidRDefault="00EC13F4">
      <w:pPr>
        <w:pStyle w:val="TableContents"/>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06A0C" w:rsidRDefault="00206A0C" w:rsidP="00206A0C">
            <w:pPr>
              <w:pStyle w:val="TableContents"/>
              <w:snapToGrid w:val="0"/>
              <w:spacing w:after="0"/>
              <w:jc w:val="both"/>
              <w:rPr>
                <w:b/>
                <w:sz w:val="20"/>
              </w:rPr>
            </w:pPr>
            <w:r>
              <w:rPr>
                <w:b/>
                <w:sz w:val="20"/>
              </w:rPr>
              <w:t>Compétences principales mises en œuvre : (cotés  sur 4 niveaux initié – pratique – maîtrise - expert) :</w:t>
            </w:r>
          </w:p>
          <w:p w:rsidR="00EC13F4" w:rsidRDefault="009B7B78" w:rsidP="00206A0C">
            <w:pPr>
              <w:pStyle w:val="TableContents"/>
              <w:snapToGrid w:val="0"/>
              <w:spacing w:after="0"/>
              <w:jc w:val="both"/>
            </w:pPr>
            <w:r>
              <w:rPr>
                <w:rFonts w:eastAsia="Times New Roman"/>
                <w:sz w:val="20"/>
              </w:rPr>
              <w:t>De façon générale, le sens du contact et le goût du travail en équipe, des qualités de rigueur, d’analyse et de synthèse, ainsi qu’une capacité d’adaptation aux fluctuations de la charge de travail sur l’année sont les qualités requises pour ce poste. Des connaissances en comptabilité et en contrôle de gestion seront appréciées. L’intérêt pour la matière budgétaire et financière et l’utilisation des outils bureautiques est indispensable.</w:t>
            </w:r>
          </w:p>
          <w:p w:rsidR="00EC13F4" w:rsidRDefault="009B7B78" w:rsidP="00206A0C">
            <w:pPr>
              <w:pStyle w:val="TableContents"/>
              <w:snapToGrid w:val="0"/>
              <w:spacing w:after="0"/>
            </w:pPr>
            <w:r>
              <w:rPr>
                <w:b/>
                <w:sz w:val="20"/>
                <w:u w:val="single"/>
              </w:rPr>
              <w:t>Compétences techniques :</w:t>
            </w:r>
          </w:p>
          <w:p w:rsidR="00EC13F4" w:rsidRDefault="009B7B78" w:rsidP="00206A0C">
            <w:pPr>
              <w:pStyle w:val="Retraitcorpsdetexte3"/>
              <w:spacing w:after="0"/>
            </w:pPr>
            <w:r>
              <w:rPr>
                <w:rFonts w:ascii="Times New Roman" w:hAnsi="Times New Roman" w:cs="Times New Roman"/>
                <w:sz w:val="20"/>
                <w:szCs w:val="20"/>
              </w:rPr>
              <w:t>- initié en matière des finances publiques d’État ;</w:t>
            </w:r>
          </w:p>
          <w:p w:rsidR="00EC13F4" w:rsidRDefault="009B7B78" w:rsidP="00206A0C">
            <w:pPr>
              <w:pStyle w:val="Retraitcorpsdetexte3"/>
              <w:spacing w:after="0"/>
            </w:pPr>
            <w:r>
              <w:rPr>
                <w:rFonts w:ascii="Times New Roman" w:hAnsi="Times New Roman" w:cs="Times New Roman"/>
                <w:sz w:val="20"/>
                <w:szCs w:val="20"/>
              </w:rPr>
              <w:t>- pratique des outils et méthodes du contrôle de gestion ;</w:t>
            </w:r>
          </w:p>
          <w:p w:rsidR="00EC13F4" w:rsidRDefault="009B7B78" w:rsidP="00206A0C">
            <w:pPr>
              <w:pStyle w:val="Retraitcorpsdetexte3"/>
              <w:spacing w:after="0"/>
            </w:pPr>
            <w:r>
              <w:rPr>
                <w:rFonts w:ascii="Times New Roman" w:hAnsi="Times New Roman" w:cs="Times New Roman"/>
                <w:sz w:val="20"/>
                <w:szCs w:val="20"/>
              </w:rPr>
              <w:t>- parfaite maîtrise des outils bureautiques (Microsoft Office et OpenOffice) ;</w:t>
            </w:r>
          </w:p>
          <w:p w:rsidR="00EC13F4" w:rsidRDefault="009B7B78" w:rsidP="00206A0C">
            <w:pPr>
              <w:pStyle w:val="Retraitcorpsdetexte3"/>
              <w:spacing w:after="0"/>
            </w:pPr>
            <w:r>
              <w:rPr>
                <w:rFonts w:ascii="Times New Roman" w:hAnsi="Times New Roman" w:cs="Times New Roman"/>
                <w:sz w:val="20"/>
                <w:szCs w:val="20"/>
              </w:rPr>
              <w:t>- des connaissances en méthodes statistiques seraient appréciées mais pas obligatoires pour le poste, de même qu’une connaissance du progiciel Chorus (SAP).</w:t>
            </w:r>
          </w:p>
        </w:tc>
      </w:tr>
      <w:tr w:rsidR="00EC13F4">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u w:val="single"/>
              </w:rPr>
              <w:t>Savoir-faire :</w:t>
            </w:r>
          </w:p>
          <w:p w:rsidR="00EC13F4" w:rsidRDefault="00206A0C" w:rsidP="00206A0C">
            <w:pPr>
              <w:pStyle w:val="Retraitcorpsdetexte3"/>
              <w:spacing w:after="0"/>
            </w:pPr>
            <w:r>
              <w:rPr>
                <w:rFonts w:ascii="Times New Roman" w:hAnsi="Times New Roman" w:cs="Times New Roman"/>
                <w:sz w:val="20"/>
                <w:szCs w:val="20"/>
              </w:rPr>
              <w:lastRenderedPageBreak/>
              <w:t>- a</w:t>
            </w:r>
            <w:r w:rsidR="009B7B78">
              <w:rPr>
                <w:rFonts w:ascii="Times New Roman" w:hAnsi="Times New Roman" w:cs="Times New Roman"/>
                <w:sz w:val="20"/>
                <w:szCs w:val="20"/>
              </w:rPr>
              <w:t>ptitude à appréhender des environnements complexes ;</w:t>
            </w:r>
          </w:p>
          <w:p w:rsidR="00EC13F4" w:rsidRDefault="00206A0C" w:rsidP="00206A0C">
            <w:pPr>
              <w:pStyle w:val="Retraitcorpsdetexte3"/>
              <w:spacing w:after="0"/>
            </w:pPr>
            <w:r>
              <w:rPr>
                <w:rFonts w:ascii="Times New Roman" w:hAnsi="Times New Roman" w:cs="Times New Roman"/>
                <w:sz w:val="20"/>
                <w:szCs w:val="20"/>
              </w:rPr>
              <w:t>- q</w:t>
            </w:r>
            <w:r w:rsidR="009B7B78">
              <w:rPr>
                <w:rFonts w:ascii="Times New Roman" w:hAnsi="Times New Roman" w:cs="Times New Roman"/>
                <w:sz w:val="20"/>
                <w:szCs w:val="20"/>
              </w:rPr>
              <w:t>ualités de rigueur, d’analyse et de synthèse ;</w:t>
            </w:r>
          </w:p>
          <w:p w:rsidR="00EC13F4" w:rsidRDefault="00206A0C" w:rsidP="00206A0C">
            <w:pPr>
              <w:pStyle w:val="Retraitcorpsdetexte3"/>
              <w:spacing w:after="0"/>
            </w:pPr>
            <w:r>
              <w:rPr>
                <w:rFonts w:ascii="Times New Roman" w:hAnsi="Times New Roman" w:cs="Times New Roman"/>
                <w:sz w:val="20"/>
                <w:szCs w:val="20"/>
              </w:rPr>
              <w:t>- q</w:t>
            </w:r>
            <w:r w:rsidR="009B7B78">
              <w:rPr>
                <w:rFonts w:ascii="Times New Roman" w:hAnsi="Times New Roman" w:cs="Times New Roman"/>
                <w:sz w:val="20"/>
                <w:szCs w:val="20"/>
              </w:rPr>
              <w:t xml:space="preserve">ualités rédactionnelles, </w:t>
            </w:r>
          </w:p>
          <w:p w:rsidR="00EC13F4" w:rsidRDefault="00206A0C" w:rsidP="00206A0C">
            <w:pPr>
              <w:pStyle w:val="Retraitcorpsdetexte3"/>
              <w:spacing w:after="0"/>
            </w:pPr>
            <w:r>
              <w:rPr>
                <w:rFonts w:ascii="Times New Roman" w:hAnsi="Times New Roman" w:cs="Times New Roman"/>
                <w:sz w:val="20"/>
                <w:szCs w:val="20"/>
              </w:rPr>
              <w:t>- m</w:t>
            </w:r>
            <w:r w:rsidR="009B7B78">
              <w:rPr>
                <w:rFonts w:ascii="Times New Roman" w:hAnsi="Times New Roman" w:cs="Times New Roman"/>
                <w:sz w:val="20"/>
                <w:szCs w:val="20"/>
              </w:rPr>
              <w:t>aîtrise de la manipulation des données chiffrées.</w:t>
            </w:r>
          </w:p>
        </w:tc>
      </w:tr>
      <w:tr w:rsidR="00EC13F4">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u w:val="single"/>
              </w:rPr>
              <w:lastRenderedPageBreak/>
              <w:t>Savoir-être (compétences comportementales)</w:t>
            </w:r>
          </w:p>
          <w:p w:rsidR="00EC13F4" w:rsidRDefault="009B7B78" w:rsidP="00206A0C">
            <w:pPr>
              <w:pStyle w:val="Retraitcorpsdetexte3"/>
              <w:spacing w:after="0"/>
            </w:pPr>
            <w:r>
              <w:rPr>
                <w:rFonts w:ascii="Times New Roman" w:hAnsi="Times New Roman" w:cs="Times New Roman"/>
                <w:sz w:val="20"/>
                <w:szCs w:val="20"/>
              </w:rPr>
              <w:t xml:space="preserve">- </w:t>
            </w:r>
            <w:r w:rsidR="00206A0C">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EC13F4" w:rsidRDefault="00206A0C" w:rsidP="00206A0C">
            <w:pPr>
              <w:pStyle w:val="Retraitcorpsdetexte3"/>
              <w:spacing w:after="0"/>
            </w:pPr>
            <w:r>
              <w:rPr>
                <w:rFonts w:ascii="Times New Roman" w:hAnsi="Times New Roman" w:cs="Times New Roman"/>
                <w:sz w:val="20"/>
                <w:szCs w:val="20"/>
              </w:rPr>
              <w:t>- s</w:t>
            </w:r>
            <w:r w:rsidR="009B7B78">
              <w:rPr>
                <w:rFonts w:ascii="Times New Roman" w:hAnsi="Times New Roman" w:cs="Times New Roman"/>
                <w:sz w:val="20"/>
                <w:szCs w:val="20"/>
              </w:rPr>
              <w:t>ens du contact et de la coordination, aptitude à travailler en équipe ;</w:t>
            </w:r>
          </w:p>
          <w:p w:rsidR="00EC13F4" w:rsidRDefault="00206A0C" w:rsidP="00206A0C">
            <w:pPr>
              <w:pStyle w:val="Retraitcorpsdetexte3"/>
              <w:spacing w:after="0"/>
            </w:pPr>
            <w:r>
              <w:rPr>
                <w:rFonts w:ascii="Times New Roman" w:hAnsi="Times New Roman" w:cs="Times New Roman"/>
                <w:sz w:val="20"/>
                <w:szCs w:val="20"/>
              </w:rPr>
              <w:t>- c</w:t>
            </w:r>
            <w:r w:rsidR="009B7B78">
              <w:rPr>
                <w:rFonts w:ascii="Times New Roman" w:hAnsi="Times New Roman" w:cs="Times New Roman"/>
                <w:sz w:val="20"/>
                <w:szCs w:val="20"/>
              </w:rPr>
              <w:t>apacité d’autonomie, d’adaptation et d’initiative. </w:t>
            </w:r>
          </w:p>
        </w:tc>
      </w:tr>
    </w:tbl>
    <w:p w:rsidR="00EC13F4" w:rsidRDefault="00EC13F4" w:rsidP="00206A0C">
      <w:pPr>
        <w:pStyle w:val="TableContents"/>
        <w:spacing w:after="0"/>
      </w:pPr>
    </w:p>
    <w:tbl>
      <w:tblPr>
        <w:tblW w:w="0" w:type="auto"/>
        <w:tblInd w:w="-4"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0"/>
      </w:tblGrid>
      <w:tr w:rsidR="00EC13F4">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EC13F4" w:rsidRDefault="009B7B78" w:rsidP="00206A0C">
            <w:pPr>
              <w:pStyle w:val="TableContents"/>
              <w:tabs>
                <w:tab w:val="left" w:pos="660"/>
              </w:tabs>
              <w:suppressAutoHyphens w:val="0"/>
              <w:spacing w:after="0"/>
            </w:pPr>
            <w:r>
              <w:rPr>
                <w:sz w:val="20"/>
              </w:rPr>
              <w:t>L</w:t>
            </w:r>
            <w:r w:rsidR="006E48F0">
              <w:rPr>
                <w:sz w:val="20"/>
              </w:rPr>
              <w:t xml:space="preserve">e poste est rattaché au chef de département. </w:t>
            </w:r>
          </w:p>
          <w:p w:rsidR="00EC13F4" w:rsidRDefault="009B7B78" w:rsidP="00206A0C">
            <w:pPr>
              <w:pStyle w:val="TableContents"/>
              <w:numPr>
                <w:ilvl w:val="0"/>
                <w:numId w:val="1"/>
              </w:numPr>
              <w:tabs>
                <w:tab w:val="left" w:pos="485"/>
              </w:tabs>
              <w:suppressAutoHyphens w:val="0"/>
              <w:spacing w:after="0"/>
            </w:pPr>
            <w:r>
              <w:rPr>
                <w:b/>
                <w:i/>
                <w:sz w:val="20"/>
              </w:rPr>
              <w:t xml:space="preserve">Liaisons fonctionnelles : </w:t>
            </w:r>
          </w:p>
          <w:p w:rsidR="00EC13F4" w:rsidRDefault="006E15B9" w:rsidP="006E15B9">
            <w:pPr>
              <w:pStyle w:val="Retraitcorpsdetexte3"/>
              <w:spacing w:after="0"/>
              <w:ind w:left="0"/>
            </w:pPr>
            <w:r>
              <w:rPr>
                <w:rFonts w:ascii="Times New Roman" w:hAnsi="Times New Roman" w:cs="Times New Roman"/>
                <w:sz w:val="20"/>
                <w:szCs w:val="20"/>
              </w:rPr>
              <w:t xml:space="preserve">Les interlocuteurs </w:t>
            </w:r>
            <w:r w:rsidRPr="00012856">
              <w:rPr>
                <w:rFonts w:ascii="Times New Roman" w:hAnsi="Times New Roman" w:cs="Times New Roman"/>
                <w:sz w:val="20"/>
                <w:szCs w:val="20"/>
              </w:rPr>
              <w:t xml:space="preserve">du </w:t>
            </w:r>
            <w:r w:rsidRPr="00012856">
              <w:rPr>
                <w:rFonts w:ascii="Times New Roman" w:hAnsi="Times New Roman" w:cs="Times New Roman"/>
                <w:sz w:val="20"/>
              </w:rPr>
              <w:t>département des affaires budgétaires et de la synthèse</w:t>
            </w:r>
            <w:r w:rsidRPr="00012856">
              <w:rPr>
                <w:rFonts w:ascii="Times New Roman" w:hAnsi="Times New Roman" w:cs="Times New Roman"/>
                <w:sz w:val="20"/>
                <w:szCs w:val="20"/>
              </w:rPr>
              <w:t xml:space="preserve"> sont multiples : services</w:t>
            </w:r>
            <w:r>
              <w:rPr>
                <w:rFonts w:ascii="Times New Roman" w:hAnsi="Times New Roman" w:cs="Times New Roman"/>
                <w:sz w:val="20"/>
                <w:szCs w:val="20"/>
              </w:rPr>
              <w:t xml:space="preserve"> du secrétariat général (département de l’action territoriale, bureau de la qualité comptable pour les principaux), responsables de programme et leurs équipes, directions sectorielles, cabinet ministériel, ministère chargé du budget, Cour des comptes, Parlement.</w:t>
            </w:r>
          </w:p>
        </w:tc>
      </w:tr>
      <w:tr w:rsidR="00EC13F4">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EC13F4" w:rsidP="00206A0C">
            <w:pPr>
              <w:pStyle w:val="TableContents"/>
              <w:snapToGrid w:val="0"/>
              <w:spacing w:after="0"/>
            </w:pPr>
          </w:p>
        </w:tc>
      </w:tr>
      <w:tr w:rsidR="00EC13F4">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rPr>
              <w:t>Perspectives d'évolution :</w:t>
            </w:r>
          </w:p>
          <w:p w:rsidR="00EC13F4" w:rsidRDefault="009B7B78" w:rsidP="006E48F0">
            <w:pPr>
              <w:pStyle w:val="TableContents"/>
              <w:snapToGrid w:val="0"/>
              <w:spacing w:after="0"/>
            </w:pPr>
            <w:r>
              <w:rPr>
                <w:sz w:val="20"/>
              </w:rPr>
              <w:t>Au sein des directions générales du ministère</w:t>
            </w:r>
            <w:r w:rsidR="006E48F0">
              <w:rPr>
                <w:sz w:val="20"/>
              </w:rPr>
              <w:t xml:space="preserve"> ou</w:t>
            </w:r>
            <w:r>
              <w:rPr>
                <w:sz w:val="20"/>
              </w:rPr>
              <w:t xml:space="preserve"> d’établissements publics</w:t>
            </w:r>
            <w:r w:rsidR="006E48F0">
              <w:rPr>
                <w:sz w:val="20"/>
              </w:rPr>
              <w:t xml:space="preserve"> sur des fonctions budgétaires. </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rPr>
              <w:t xml:space="preserve">Spécificités du poste / Contraintes / Sujétions : </w:t>
            </w:r>
          </w:p>
          <w:p w:rsidR="00EC13F4" w:rsidRDefault="009B7B78" w:rsidP="006E48F0">
            <w:pPr>
              <w:pStyle w:val="TableContents"/>
              <w:snapToGrid w:val="0"/>
              <w:spacing w:after="0"/>
            </w:pPr>
            <w:r>
              <w:rPr>
                <w:sz w:val="20"/>
              </w:rPr>
              <w:t>La part fonction du poste est cotée</w:t>
            </w:r>
            <w:r w:rsidR="006E48F0">
              <w:rPr>
                <w:sz w:val="20"/>
              </w:rPr>
              <w:t xml:space="preserve"> 3</w:t>
            </w:r>
            <w:r>
              <w:rPr>
                <w:sz w:val="20"/>
              </w:rPr>
              <w:t xml:space="preserve"> dans le cadre de la PFR.</w:t>
            </w:r>
          </w:p>
        </w:tc>
      </w:tr>
    </w:tbl>
    <w:p w:rsidR="00EC13F4" w:rsidRDefault="00EC13F4" w:rsidP="00206A0C">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rPr>
              <w:t>Profil du candidat recherché (le cas échéant)</w:t>
            </w:r>
          </w:p>
          <w:p w:rsidR="00EC13F4" w:rsidRDefault="009B7B78" w:rsidP="00206A0C">
            <w:pPr>
              <w:pStyle w:val="TableContents"/>
              <w:snapToGrid w:val="0"/>
              <w:spacing w:after="0"/>
            </w:pPr>
            <w:r>
              <w:rPr>
                <w:sz w:val="20"/>
              </w:rPr>
              <w:t>Attaché/</w:t>
            </w:r>
            <w:proofErr w:type="spellStart"/>
            <w:r>
              <w:rPr>
                <w:sz w:val="20"/>
              </w:rPr>
              <w:t>ée</w:t>
            </w:r>
            <w:proofErr w:type="spellEnd"/>
            <w:r>
              <w:rPr>
                <w:sz w:val="20"/>
              </w:rPr>
              <w:t xml:space="preserve"> d’administration. Jeune diplômé/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EC13F4" w:rsidRDefault="00EC13F4" w:rsidP="00206A0C">
      <w:pPr>
        <w:pStyle w:val="Standard"/>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33"/>
      </w:tblGrid>
      <w:tr w:rsidR="00EC13F4">
        <w:tc>
          <w:tcPr>
            <w:tcW w:w="105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EC13F4" w:rsidRDefault="009B7B78" w:rsidP="00206A0C">
            <w:pPr>
              <w:pStyle w:val="TableContents"/>
              <w:snapToGrid w:val="0"/>
              <w:spacing w:after="0"/>
            </w:pPr>
            <w:r>
              <w:rPr>
                <w:b/>
                <w:sz w:val="20"/>
              </w:rPr>
              <w:t>Qui contacter ?</w:t>
            </w:r>
          </w:p>
          <w:p w:rsidR="00EC13F4" w:rsidRDefault="0015692C" w:rsidP="0095739F">
            <w:pPr>
              <w:pStyle w:val="TableContents"/>
              <w:spacing w:after="0"/>
            </w:pPr>
            <w:r>
              <w:rPr>
                <w:sz w:val="20"/>
              </w:rPr>
              <w:t>Francis Steinbock – Chef du bureau du b</w:t>
            </w:r>
            <w:r w:rsidR="0095739F">
              <w:rPr>
                <w:sz w:val="20"/>
              </w:rPr>
              <w:t>udget et de la synthèse par inté</w:t>
            </w:r>
            <w:r>
              <w:rPr>
                <w:sz w:val="20"/>
              </w:rPr>
              <w:t>rim</w:t>
            </w:r>
            <w:r w:rsidR="0095739F">
              <w:rPr>
                <w:sz w:val="20"/>
              </w:rPr>
              <w:t xml:space="preserve">- préfigurateur du département des affaires budgétaires et de la synthèse </w:t>
            </w:r>
            <w:r>
              <w:rPr>
                <w:sz w:val="20"/>
              </w:rPr>
              <w:t xml:space="preserve"> – </w:t>
            </w:r>
            <w:hyperlink r:id="rId7" w:history="1">
              <w:r>
                <w:rPr>
                  <w:rStyle w:val="Lienhypertexte"/>
                  <w:sz w:val="20"/>
                </w:rPr>
                <w:t>francis.steinbock@culture.gouv.fr</w:t>
              </w:r>
            </w:hyperlink>
            <w:r>
              <w:rPr>
                <w:sz w:val="20"/>
              </w:rPr>
              <w:t xml:space="preserve"> 01 40 15 84 24</w:t>
            </w:r>
            <w:r>
              <w:rPr>
                <w:sz w:val="20"/>
              </w:rPr>
              <w:br/>
              <w:t xml:space="preserve">Julien Amiel – Adjoint au chef du bureau du budget et de la synthèse – </w:t>
            </w:r>
            <w:hyperlink r:id="rId8" w:history="1">
              <w:r>
                <w:rPr>
                  <w:rStyle w:val="Lienhypertexte"/>
                  <w:sz w:val="20"/>
                </w:rPr>
                <w:t>julien.amiel@culture.gouv.fr</w:t>
              </w:r>
            </w:hyperlink>
            <w:r>
              <w:rPr>
                <w:sz w:val="20"/>
              </w:rPr>
              <w:t xml:space="preserve"> 01 40 15 75 85</w:t>
            </w:r>
          </w:p>
        </w:tc>
      </w:tr>
    </w:tbl>
    <w:p w:rsidR="00EC13F4" w:rsidRDefault="009B7B78">
      <w:pPr>
        <w:pStyle w:val="TableContents"/>
        <w:snapToGrid w:val="0"/>
      </w:pPr>
      <w:r>
        <w:rPr>
          <w:sz w:val="20"/>
        </w:rPr>
        <w:t>Date de mise à jour de la fiche de poste : 17 mai  2013</w:t>
      </w:r>
    </w:p>
    <w:sectPr w:rsidR="00EC13F4" w:rsidSect="00BD1BA3">
      <w:pgSz w:w="11906" w:h="16838"/>
      <w:pgMar w:top="397" w:right="737" w:bottom="397" w:left="73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cs="Arial"/>
      </w:rPr>
    </w:lvl>
  </w:abstractNum>
  <w:abstractNum w:abstractNumId="1">
    <w:nsid w:val="0D535389"/>
    <w:multiLevelType w:val="multilevel"/>
    <w:tmpl w:val="05C4B4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4627622"/>
    <w:multiLevelType w:val="multilevel"/>
    <w:tmpl w:val="74346DC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C73D4D"/>
    <w:multiLevelType w:val="multilevel"/>
    <w:tmpl w:val="E69ED158"/>
    <w:lvl w:ilvl="0">
      <w:numFmt w:val="bullet"/>
      <w:lvlText w:val="-"/>
      <w:lvlJc w:val="left"/>
      <w:pPr>
        <w:ind w:left="106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9B6509"/>
    <w:multiLevelType w:val="multilevel"/>
    <w:tmpl w:val="B1D01A32"/>
    <w:lvl w:ilvl="0">
      <w:numFmt w:val="bullet"/>
      <w:lvlText w:val="-"/>
      <w:lvlJc w:val="left"/>
      <w:pPr>
        <w:ind w:left="106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F1587B"/>
    <w:multiLevelType w:val="multilevel"/>
    <w:tmpl w:val="7A28CB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F4"/>
    <w:rsid w:val="0015692C"/>
    <w:rsid w:val="0019383A"/>
    <w:rsid w:val="00206A0C"/>
    <w:rsid w:val="00360148"/>
    <w:rsid w:val="004C31E6"/>
    <w:rsid w:val="00627B61"/>
    <w:rsid w:val="0066509C"/>
    <w:rsid w:val="006E15B9"/>
    <w:rsid w:val="006E48F0"/>
    <w:rsid w:val="0095739F"/>
    <w:rsid w:val="009B7B78"/>
    <w:rsid w:val="00BD1BA3"/>
    <w:rsid w:val="00CD00C1"/>
    <w:rsid w:val="00EC13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0DD9B-9AB6-4884-980A-B776219B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D1BA3"/>
    <w:pPr>
      <w:suppressAutoHyphens/>
    </w:pPr>
    <w:rPr>
      <w:rFonts w:ascii="Arial" w:eastAsia="Times New Roman" w:hAnsi="Arial" w:cs="Arial"/>
      <w:sz w:val="20"/>
      <w:szCs w:val="20"/>
      <w:lang w:eastAsia="zh-CN"/>
    </w:rPr>
  </w:style>
  <w:style w:type="character" w:customStyle="1" w:styleId="WW8Num2z0">
    <w:name w:val="WW8Num2z0"/>
    <w:rsid w:val="00BD1BA3"/>
    <w:rPr>
      <w:rFonts w:ascii="Times New Roman" w:hAnsi="Times New Roman" w:cs="Arial"/>
    </w:rPr>
  </w:style>
  <w:style w:type="character" w:customStyle="1" w:styleId="WW8Num3z0">
    <w:name w:val="WW8Num3z0"/>
    <w:rsid w:val="00BD1BA3"/>
    <w:rPr>
      <w:rFonts w:ascii="Arial" w:eastAsia="Lucida Sans Unicode" w:hAnsi="Arial" w:cs="Arial"/>
    </w:rPr>
  </w:style>
  <w:style w:type="character" w:customStyle="1" w:styleId="WW8Num4z0">
    <w:name w:val="WW8Num4z0"/>
    <w:rsid w:val="00BD1BA3"/>
    <w:rPr>
      <w:rFonts w:ascii="Symbol" w:hAnsi="Symbol" w:cs="Symbol"/>
    </w:rPr>
  </w:style>
  <w:style w:type="character" w:customStyle="1" w:styleId="Absatz-Standardschriftart">
    <w:name w:val="Absatz-Standardschriftart"/>
    <w:rsid w:val="00BD1BA3"/>
  </w:style>
  <w:style w:type="character" w:customStyle="1" w:styleId="WW8Num3z1">
    <w:name w:val="WW8Num3z1"/>
    <w:rsid w:val="00BD1BA3"/>
    <w:rPr>
      <w:rFonts w:ascii="Courier New" w:hAnsi="Courier New" w:cs="Wingdings"/>
    </w:rPr>
  </w:style>
  <w:style w:type="character" w:customStyle="1" w:styleId="WW8Num3z2">
    <w:name w:val="WW8Num3z2"/>
    <w:rsid w:val="00BD1BA3"/>
    <w:rPr>
      <w:rFonts w:ascii="Wingdings" w:hAnsi="Wingdings" w:cs="Wingdings"/>
    </w:rPr>
  </w:style>
  <w:style w:type="character" w:customStyle="1" w:styleId="WW8Num3z3">
    <w:name w:val="WW8Num3z3"/>
    <w:rsid w:val="00BD1BA3"/>
    <w:rPr>
      <w:rFonts w:ascii="Symbol" w:hAnsi="Symbol" w:cs="Symbol"/>
    </w:rPr>
  </w:style>
  <w:style w:type="character" w:customStyle="1" w:styleId="WW8Num6z0">
    <w:name w:val="WW8Num6z0"/>
    <w:rsid w:val="00BD1BA3"/>
    <w:rPr>
      <w:rFonts w:ascii="Times New Roman" w:eastAsia="Times New Roman" w:hAnsi="Times New Roman" w:cs="Times New Roman"/>
    </w:rPr>
  </w:style>
  <w:style w:type="character" w:customStyle="1" w:styleId="WW8Num6z1">
    <w:name w:val="WW8Num6z1"/>
    <w:rsid w:val="00BD1BA3"/>
    <w:rPr>
      <w:rFonts w:ascii="Courier New" w:hAnsi="Courier New" w:cs="Courier New"/>
    </w:rPr>
  </w:style>
  <w:style w:type="character" w:customStyle="1" w:styleId="WW8Num6z2">
    <w:name w:val="WW8Num6z2"/>
    <w:rsid w:val="00BD1BA3"/>
    <w:rPr>
      <w:rFonts w:ascii="Wingdings" w:hAnsi="Wingdings" w:cs="Wingdings"/>
    </w:rPr>
  </w:style>
  <w:style w:type="character" w:customStyle="1" w:styleId="WW8Num6z3">
    <w:name w:val="WW8Num6z3"/>
    <w:rsid w:val="00BD1BA3"/>
    <w:rPr>
      <w:rFonts w:ascii="Symbol" w:hAnsi="Symbol" w:cs="Symbol"/>
    </w:rPr>
  </w:style>
  <w:style w:type="character" w:customStyle="1" w:styleId="WW8Num7z0">
    <w:name w:val="WW8Num7z0"/>
    <w:rsid w:val="00BD1BA3"/>
    <w:rPr>
      <w:rFonts w:ascii="Symbol" w:hAnsi="Symbol" w:cs="Symbol"/>
    </w:rPr>
  </w:style>
  <w:style w:type="character" w:customStyle="1" w:styleId="WW8Num7z1">
    <w:name w:val="WW8Num7z1"/>
    <w:rsid w:val="00BD1BA3"/>
    <w:rPr>
      <w:rFonts w:ascii="Courier New" w:hAnsi="Courier New" w:cs="Courier New"/>
    </w:rPr>
  </w:style>
  <w:style w:type="character" w:customStyle="1" w:styleId="WW8Num7z2">
    <w:name w:val="WW8Num7z2"/>
    <w:rsid w:val="00BD1BA3"/>
    <w:rPr>
      <w:rFonts w:ascii="Wingdings" w:hAnsi="Wingdings" w:cs="Wingdings"/>
    </w:rPr>
  </w:style>
  <w:style w:type="character" w:customStyle="1" w:styleId="WW-Absatz-Standardschriftart">
    <w:name w:val="WW-Absatz-Standardschriftart"/>
    <w:rsid w:val="00BD1BA3"/>
  </w:style>
  <w:style w:type="character" w:customStyle="1" w:styleId="WW-Absatz-Standardschriftart1">
    <w:name w:val="WW-Absatz-Standardschriftart1"/>
    <w:rsid w:val="00BD1BA3"/>
  </w:style>
  <w:style w:type="character" w:customStyle="1" w:styleId="WW-Absatz-Standardschriftart11">
    <w:name w:val="WW-Absatz-Standardschriftart11"/>
    <w:rsid w:val="00BD1BA3"/>
  </w:style>
  <w:style w:type="character" w:customStyle="1" w:styleId="WW-Absatz-Standardschriftart111">
    <w:name w:val="WW-Absatz-Standardschriftart111"/>
    <w:rsid w:val="00BD1BA3"/>
  </w:style>
  <w:style w:type="character" w:customStyle="1" w:styleId="Policepardfaut2">
    <w:name w:val="Police par défaut2"/>
    <w:rsid w:val="00BD1BA3"/>
  </w:style>
  <w:style w:type="character" w:customStyle="1" w:styleId="WW-Policepardfaut">
    <w:name w:val="WW-Police par défaut"/>
    <w:rsid w:val="00BD1BA3"/>
  </w:style>
  <w:style w:type="character" w:customStyle="1" w:styleId="WW8Num1z0">
    <w:name w:val="WW8Num1z0"/>
    <w:rsid w:val="00BD1BA3"/>
    <w:rPr>
      <w:rFonts w:ascii="Arial" w:hAnsi="Arial" w:cs="Arial"/>
      <w:sz w:val="18"/>
    </w:rPr>
  </w:style>
  <w:style w:type="character" w:customStyle="1" w:styleId="WW-Absatz-Standardschriftart1111">
    <w:name w:val="WW-Absatz-Standardschriftart1111"/>
    <w:rsid w:val="00BD1BA3"/>
  </w:style>
  <w:style w:type="character" w:customStyle="1" w:styleId="WW-Absatz-Standardschriftart11111">
    <w:name w:val="WW-Absatz-Standardschriftart11111"/>
    <w:rsid w:val="00BD1BA3"/>
  </w:style>
  <w:style w:type="character" w:customStyle="1" w:styleId="WW-Policepardfaut1">
    <w:name w:val="WW-Police par défaut1"/>
    <w:rsid w:val="00BD1BA3"/>
  </w:style>
  <w:style w:type="character" w:customStyle="1" w:styleId="WW-Absatz-Standardschriftart111111">
    <w:name w:val="WW-Absatz-Standardschriftart111111"/>
    <w:rsid w:val="00BD1BA3"/>
  </w:style>
  <w:style w:type="character" w:customStyle="1" w:styleId="WW-Absatz-Standardschriftart1111111">
    <w:name w:val="WW-Absatz-Standardschriftart1111111"/>
    <w:rsid w:val="00BD1BA3"/>
  </w:style>
  <w:style w:type="character" w:customStyle="1" w:styleId="WW-Absatz-Standardschriftart11111111">
    <w:name w:val="WW-Absatz-Standardschriftart11111111"/>
    <w:rsid w:val="00BD1BA3"/>
  </w:style>
  <w:style w:type="character" w:customStyle="1" w:styleId="WW-Absatz-Standardschriftart111111111">
    <w:name w:val="WW-Absatz-Standardschriftart111111111"/>
    <w:rsid w:val="00BD1BA3"/>
  </w:style>
  <w:style w:type="character" w:customStyle="1" w:styleId="WW-Absatz-Standardschriftart1111111111">
    <w:name w:val="WW-Absatz-Standardschriftart1111111111"/>
    <w:rsid w:val="00BD1BA3"/>
  </w:style>
  <w:style w:type="character" w:customStyle="1" w:styleId="WW-Absatz-Standardschriftart11111111111">
    <w:name w:val="WW-Absatz-Standardschriftart11111111111"/>
    <w:rsid w:val="00BD1BA3"/>
  </w:style>
  <w:style w:type="character" w:customStyle="1" w:styleId="WW-Absatz-Standardschriftart111111111111">
    <w:name w:val="WW-Absatz-Standardschriftart111111111111"/>
    <w:rsid w:val="00BD1BA3"/>
  </w:style>
  <w:style w:type="character" w:customStyle="1" w:styleId="Policepardfaut1">
    <w:name w:val="Police par défaut1"/>
    <w:rsid w:val="00BD1BA3"/>
  </w:style>
  <w:style w:type="paragraph" w:styleId="Titre">
    <w:name w:val="Title"/>
    <w:basedOn w:val="Standard"/>
    <w:next w:val="Corpsdetexte"/>
    <w:rsid w:val="00BD1BA3"/>
    <w:pPr>
      <w:keepNext/>
      <w:spacing w:before="240" w:after="120"/>
    </w:pPr>
    <w:rPr>
      <w:rFonts w:ascii="Liberation Sans;Arial" w:eastAsia="Microsoft YaHei" w:hAnsi="Liberation Sans;Arial" w:cs="Mangal"/>
      <w:sz w:val="28"/>
      <w:szCs w:val="28"/>
    </w:rPr>
  </w:style>
  <w:style w:type="paragraph" w:styleId="Corpsdetexte">
    <w:name w:val="Body Text"/>
    <w:basedOn w:val="Standard"/>
    <w:rsid w:val="00BD1BA3"/>
    <w:pPr>
      <w:spacing w:after="120"/>
    </w:pPr>
  </w:style>
  <w:style w:type="paragraph" w:styleId="Liste">
    <w:name w:val="List"/>
    <w:basedOn w:val="Corpsdetexte"/>
    <w:rsid w:val="00BD1BA3"/>
  </w:style>
  <w:style w:type="paragraph" w:styleId="Lgende">
    <w:name w:val="caption"/>
    <w:basedOn w:val="Standard"/>
    <w:rsid w:val="00BD1BA3"/>
    <w:pPr>
      <w:suppressLineNumbers/>
      <w:spacing w:before="120" w:after="120"/>
    </w:pPr>
    <w:rPr>
      <w:rFonts w:ascii="Liberation Sans;Arial" w:hAnsi="Liberation Sans;Arial" w:cs="Mangal"/>
      <w:i/>
      <w:iCs/>
      <w:sz w:val="24"/>
      <w:szCs w:val="24"/>
    </w:rPr>
  </w:style>
  <w:style w:type="paragraph" w:customStyle="1" w:styleId="Index">
    <w:name w:val="Index"/>
    <w:basedOn w:val="Standard"/>
    <w:rsid w:val="00BD1BA3"/>
    <w:pPr>
      <w:suppressLineNumbers/>
    </w:pPr>
    <w:rPr>
      <w:rFonts w:ascii="Liberation Sans;Arial" w:hAnsi="Liberation Sans;Arial" w:cs="Mangal"/>
    </w:rPr>
  </w:style>
  <w:style w:type="paragraph" w:customStyle="1" w:styleId="Titre3">
    <w:name w:val="Titre3"/>
    <w:basedOn w:val="Standard"/>
    <w:next w:val="Corpsdetexte"/>
    <w:rsid w:val="00BD1BA3"/>
    <w:pPr>
      <w:keepNext/>
      <w:spacing w:before="240" w:after="120"/>
    </w:pPr>
    <w:rPr>
      <w:rFonts w:ascii="Liberation Sans;Arial" w:eastAsia="Lucida Sans Unicode" w:hAnsi="Liberation Sans;Arial" w:cs="Mangal"/>
      <w:sz w:val="28"/>
      <w:szCs w:val="28"/>
    </w:rPr>
  </w:style>
  <w:style w:type="paragraph" w:customStyle="1" w:styleId="Titre2">
    <w:name w:val="Titre2"/>
    <w:basedOn w:val="Standard"/>
    <w:next w:val="Corpsdetexte"/>
    <w:rsid w:val="00BD1BA3"/>
    <w:pPr>
      <w:keepNext/>
      <w:spacing w:before="240" w:after="120"/>
    </w:pPr>
    <w:rPr>
      <w:rFonts w:eastAsia="Lucida Sans Unicode"/>
      <w:sz w:val="28"/>
      <w:szCs w:val="28"/>
    </w:rPr>
  </w:style>
  <w:style w:type="paragraph" w:customStyle="1" w:styleId="Lgende2">
    <w:name w:val="Légende2"/>
    <w:basedOn w:val="Standard"/>
    <w:rsid w:val="00BD1BA3"/>
    <w:pPr>
      <w:suppressLineNumbers/>
      <w:spacing w:before="120" w:after="120"/>
    </w:pPr>
    <w:rPr>
      <w:i/>
      <w:iCs/>
      <w:sz w:val="24"/>
      <w:szCs w:val="24"/>
    </w:rPr>
  </w:style>
  <w:style w:type="paragraph" w:customStyle="1" w:styleId="Rpertoire">
    <w:name w:val="Répertoire"/>
    <w:basedOn w:val="Standard"/>
    <w:rsid w:val="00BD1BA3"/>
    <w:pPr>
      <w:suppressLineNumbers/>
    </w:pPr>
  </w:style>
  <w:style w:type="paragraph" w:customStyle="1" w:styleId="Titre1">
    <w:name w:val="Titre1"/>
    <w:basedOn w:val="Standard"/>
    <w:next w:val="Corpsdetexte"/>
    <w:rsid w:val="00BD1BA3"/>
    <w:pPr>
      <w:keepNext/>
      <w:spacing w:before="240" w:after="120"/>
    </w:pPr>
    <w:rPr>
      <w:rFonts w:eastAsia="Lucida Sans Unicode"/>
      <w:sz w:val="28"/>
      <w:szCs w:val="28"/>
    </w:rPr>
  </w:style>
  <w:style w:type="paragraph" w:customStyle="1" w:styleId="Lgende1">
    <w:name w:val="Légende1"/>
    <w:basedOn w:val="Standard"/>
    <w:rsid w:val="00BD1BA3"/>
    <w:pPr>
      <w:suppressLineNumbers/>
      <w:spacing w:before="120" w:after="120"/>
    </w:pPr>
    <w:rPr>
      <w:i/>
      <w:iCs/>
      <w:sz w:val="24"/>
      <w:szCs w:val="24"/>
    </w:rPr>
  </w:style>
  <w:style w:type="paragraph" w:styleId="En-tte">
    <w:name w:val="header"/>
    <w:basedOn w:val="Standard"/>
    <w:rsid w:val="00BD1BA3"/>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Standard"/>
    <w:rsid w:val="00BD1BA3"/>
    <w:pPr>
      <w:widowControl w:val="0"/>
    </w:pPr>
    <w:rPr>
      <w:rFonts w:ascii="Times New Roman" w:eastAsia="Lucida Sans Unicode" w:hAnsi="Times New Roman" w:cs="Times New Roman"/>
      <w:sz w:val="24"/>
    </w:rPr>
  </w:style>
  <w:style w:type="paragraph" w:customStyle="1" w:styleId="Contenudetableau">
    <w:name w:val="Contenu de tableau"/>
    <w:basedOn w:val="Standard"/>
    <w:rsid w:val="00BD1BA3"/>
    <w:pPr>
      <w:suppressLineNumbers/>
    </w:pPr>
  </w:style>
  <w:style w:type="paragraph" w:customStyle="1" w:styleId="Titredetableau">
    <w:name w:val="Titre de tableau"/>
    <w:basedOn w:val="Contenudetableau"/>
    <w:rsid w:val="00BD1BA3"/>
    <w:pPr>
      <w:jc w:val="center"/>
    </w:pPr>
    <w:rPr>
      <w:b/>
      <w:bCs/>
    </w:rPr>
  </w:style>
  <w:style w:type="paragraph" w:customStyle="1" w:styleId="Textedebulles1">
    <w:name w:val="Texte de bulles1"/>
    <w:basedOn w:val="Standard"/>
    <w:rsid w:val="00BD1BA3"/>
    <w:rPr>
      <w:rFonts w:ascii="Tahoma" w:hAnsi="Tahoma" w:cs="Tahoma"/>
      <w:sz w:val="16"/>
      <w:szCs w:val="16"/>
    </w:rPr>
  </w:style>
  <w:style w:type="paragraph" w:styleId="Retraitcorpsdetexte3">
    <w:name w:val="Body Text Indent 3"/>
    <w:basedOn w:val="Standard"/>
    <w:rsid w:val="00BD1BA3"/>
    <w:pPr>
      <w:spacing w:after="120"/>
      <w:ind w:left="283"/>
    </w:pPr>
    <w:rPr>
      <w:sz w:val="16"/>
      <w:szCs w:val="16"/>
    </w:rPr>
  </w:style>
  <w:style w:type="paragraph" w:styleId="Paragraphedeliste">
    <w:name w:val="List Paragraph"/>
    <w:basedOn w:val="Standard"/>
    <w:rsid w:val="00BD1BA3"/>
    <w:pPr>
      <w:ind w:left="708"/>
    </w:pPr>
  </w:style>
  <w:style w:type="paragraph" w:customStyle="1" w:styleId="western">
    <w:name w:val="western"/>
    <w:basedOn w:val="Normal"/>
    <w:rsid w:val="004C31E6"/>
    <w:pPr>
      <w:spacing w:before="100" w:beforeAutospacing="1" w:after="119" w:line="240" w:lineRule="auto"/>
    </w:pPr>
    <w:rPr>
      <w:rFonts w:ascii="Arial" w:eastAsia="Times New Roman" w:hAnsi="Arial" w:cs="Arial"/>
      <w:color w:val="000000"/>
      <w:sz w:val="20"/>
      <w:szCs w:val="20"/>
    </w:rPr>
  </w:style>
  <w:style w:type="paragraph" w:styleId="NormalWeb">
    <w:name w:val="Normal (Web)"/>
    <w:basedOn w:val="Normal"/>
    <w:uiPriority w:val="99"/>
    <w:unhideWhenUsed/>
    <w:rsid w:val="0015692C"/>
    <w:pPr>
      <w:spacing w:before="100" w:beforeAutospacing="1" w:after="119" w:line="240" w:lineRule="auto"/>
    </w:pPr>
    <w:rPr>
      <w:rFonts w:ascii="Times New Roman" w:eastAsia="Times New Roman" w:hAnsi="Times New Roman" w:cs="Times New Roman"/>
      <w:color w:val="000000"/>
      <w:sz w:val="24"/>
      <w:szCs w:val="24"/>
    </w:rPr>
  </w:style>
  <w:style w:type="character" w:styleId="Lienhypertexte">
    <w:name w:val="Hyperlink"/>
    <w:basedOn w:val="Policepardfaut"/>
    <w:uiPriority w:val="99"/>
    <w:semiHidden/>
    <w:unhideWhenUsed/>
    <w:rsid w:val="0015692C"/>
    <w:rPr>
      <w:color w:val="0000FF"/>
      <w:u w:val="single"/>
    </w:rPr>
  </w:style>
  <w:style w:type="paragraph" w:styleId="Textedebulles">
    <w:name w:val="Balloon Text"/>
    <w:basedOn w:val="Normal"/>
    <w:link w:val="TextedebullesCar"/>
    <w:uiPriority w:val="99"/>
    <w:semiHidden/>
    <w:unhideWhenUsed/>
    <w:rsid w:val="00CD00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699">
      <w:bodyDiv w:val="1"/>
      <w:marLeft w:val="0"/>
      <w:marRight w:val="0"/>
      <w:marTop w:val="0"/>
      <w:marBottom w:val="0"/>
      <w:divBdr>
        <w:top w:val="none" w:sz="0" w:space="0" w:color="auto"/>
        <w:left w:val="none" w:sz="0" w:space="0" w:color="auto"/>
        <w:bottom w:val="none" w:sz="0" w:space="0" w:color="auto"/>
        <w:right w:val="none" w:sz="0" w:space="0" w:color="auto"/>
      </w:divBdr>
    </w:div>
    <w:div w:id="992105064">
      <w:bodyDiv w:val="1"/>
      <w:marLeft w:val="0"/>
      <w:marRight w:val="0"/>
      <w:marTop w:val="0"/>
      <w:marBottom w:val="0"/>
      <w:divBdr>
        <w:top w:val="none" w:sz="0" w:space="0" w:color="auto"/>
        <w:left w:val="none" w:sz="0" w:space="0" w:color="auto"/>
        <w:bottom w:val="none" w:sz="0" w:space="0" w:color="auto"/>
        <w:right w:val="none" w:sz="0" w:space="0" w:color="auto"/>
      </w:divBdr>
    </w:div>
    <w:div w:id="177343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ien.amiel@culture.gouv.fr" TargetMode="External"/><Relationship Id="rId3" Type="http://schemas.openxmlformats.org/officeDocument/2006/relationships/styles" Target="styles.xml"/><Relationship Id="rId7" Type="http://schemas.openxmlformats.org/officeDocument/2006/relationships/hyperlink" Target="mailto:francis.steinbock@cultur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7574-6C67-4CED-ABCE-9907125F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1964</Words>
  <Characters>10803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2</cp:revision>
  <cp:lastPrinted>2013-02-14T11:54:00Z</cp:lastPrinted>
  <dcterms:created xsi:type="dcterms:W3CDTF">2014-03-17T07:45:00Z</dcterms:created>
  <dcterms:modified xsi:type="dcterms:W3CDTF">2014-03-17T07:45:00Z</dcterms:modified>
</cp:coreProperties>
</file>