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2DEA">
      <w:pPr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Mesures d'accompagnement RH retenues au profit des agents </w:t>
      </w:r>
    </w:p>
    <w:p w:rsidR="00000000" w:rsidRDefault="00F22DEA">
      <w:pPr>
        <w:autoSpaceDE w:val="0"/>
        <w:jc w:val="center"/>
        <w:rPr>
          <w:rFonts w:ascii="Times New Roman" w:hAnsi="Times New Roman"/>
          <w:b/>
          <w:bCs/>
        </w:rPr>
      </w:pPr>
    </w:p>
    <w:p w:rsidR="00000000" w:rsidRDefault="00F22DEA">
      <w:pPr>
        <w:autoSpaceDE w:val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occupant</w:t>
      </w:r>
      <w:proofErr w:type="gramEnd"/>
      <w:r>
        <w:rPr>
          <w:rFonts w:ascii="Times New Roman" w:hAnsi="Times New Roman"/>
          <w:b/>
          <w:bCs/>
        </w:rPr>
        <w:t xml:space="preserve"> les postes des bureaux fusionnées (BBS/ BDO)</w:t>
      </w:r>
    </w:p>
    <w:p w:rsidR="00000000" w:rsidRDefault="00F22DEA">
      <w:pPr>
        <w:autoSpaceDE w:val="0"/>
        <w:jc w:val="center"/>
        <w:rPr>
          <w:rFonts w:ascii="Times New Roman" w:hAnsi="Times New Roman"/>
          <w:b/>
          <w:bCs/>
        </w:rPr>
      </w:pPr>
    </w:p>
    <w:p w:rsidR="00000000" w:rsidRDefault="00F22DEA">
      <w:pPr>
        <w:autoSpaceDE w:val="0"/>
        <w:jc w:val="center"/>
        <w:rPr>
          <w:rFonts w:ascii="Times New Roman" w:hAnsi="Times New Roman"/>
          <w:b/>
          <w:bCs/>
        </w:rPr>
      </w:pPr>
    </w:p>
    <w:p w:rsidR="00000000" w:rsidRDefault="00F22DEA">
      <w:pPr>
        <w:autoSpaceDE w:val="0"/>
        <w:jc w:val="both"/>
        <w:rPr>
          <w:rFonts w:ascii="Times New Roman" w:hAnsi="Times New Roman"/>
          <w:b/>
          <w:bCs/>
        </w:rPr>
      </w:pPr>
    </w:p>
    <w:p w:rsidR="00000000" w:rsidRDefault="00F22DEA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L'accompagnement RH de ces agents répondra aux principes suivants:</w:t>
      </w:r>
    </w:p>
    <w:p w:rsidR="00000000" w:rsidRDefault="00F22DEA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000" w:rsidRDefault="00F22DEA">
      <w:pPr>
        <w:tabs>
          <w:tab w:val="left" w:pos="940"/>
          <w:tab w:val="left" w:pos="1440"/>
        </w:tabs>
        <w:autoSpaceDE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  <w:b/>
          <w:bCs/>
        </w:rPr>
        <w:t xml:space="preserve">l'ensemble des postes constituant le futur département des affaires </w:t>
      </w:r>
      <w:r>
        <w:rPr>
          <w:rFonts w:ascii="Times New Roman" w:hAnsi="Times New Roman"/>
          <w:b/>
          <w:bCs/>
        </w:rPr>
        <w:t>budgétaires et de la synthèse fera l'objet d'une republication; ainsi qu'il est d'usage de pratiquer lors d'une restructuration.</w:t>
      </w:r>
    </w:p>
    <w:p w:rsidR="00000000" w:rsidRDefault="00F22DEA">
      <w:pPr>
        <w:tabs>
          <w:tab w:val="left" w:pos="940"/>
          <w:tab w:val="left" w:pos="1440"/>
        </w:tabs>
        <w:autoSpaceDE w:val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Cette publication se fera par le biais de la BIEP mais uniquement en accès limité aux agents du MCC dans un 1er temps (postes</w:t>
      </w:r>
      <w:r>
        <w:rPr>
          <w:rFonts w:ascii="Times New Roman" w:hAnsi="Times New Roman"/>
        </w:rPr>
        <w:t xml:space="preserve"> ouverts aux attachés et agents non titulaires). La candidature des agents actuellement en poste au sein des bureaux fusionnés sera examinée avec une priorité affirmée</w:t>
      </w:r>
      <w:r>
        <w:rPr>
          <w:rFonts w:ascii="Times New Roman" w:hAnsi="Times New Roman"/>
        </w:rPr>
        <w:t>, l’objectif étant d</w:t>
      </w:r>
      <w:r>
        <w:rPr>
          <w:rFonts w:ascii="Times New Roman" w:hAnsi="Times New Roman"/>
        </w:rPr>
        <w:t>e leur offrir toutes les garanties de</w:t>
      </w:r>
      <w:r>
        <w:rPr>
          <w:rFonts w:ascii="Times New Roman" w:hAnsi="Times New Roman"/>
        </w:rPr>
        <w:t xml:space="preserve"> reclassement </w:t>
      </w:r>
      <w:r>
        <w:rPr>
          <w:rFonts w:ascii="Times New Roman" w:hAnsi="Times New Roman"/>
        </w:rPr>
        <w:t>au sein de la nouv</w:t>
      </w:r>
      <w:r>
        <w:rPr>
          <w:rFonts w:ascii="Times New Roman" w:hAnsi="Times New Roman"/>
        </w:rPr>
        <w:t>elle structure</w:t>
      </w:r>
      <w:r>
        <w:rPr>
          <w:rFonts w:ascii="Times New Roman" w:hAnsi="Times New Roman"/>
        </w:rPr>
        <w:t>.</w:t>
      </w:r>
    </w:p>
    <w:p w:rsidR="00000000" w:rsidRDefault="00F22DEA">
      <w:pPr>
        <w:tabs>
          <w:tab w:val="left" w:pos="940"/>
          <w:tab w:val="left" w:pos="1440"/>
        </w:tabs>
        <w:autoSpaceDE w:val="0"/>
        <w:ind w:left="1440"/>
        <w:jc w:val="both"/>
        <w:rPr>
          <w:rFonts w:ascii="Times New Roman" w:hAnsi="Times New Roman"/>
        </w:rPr>
      </w:pPr>
    </w:p>
    <w:p w:rsidR="00000000" w:rsidRDefault="00F22DEA">
      <w:pPr>
        <w:tabs>
          <w:tab w:val="left" w:pos="940"/>
          <w:tab w:val="left" w:pos="1440"/>
        </w:tabs>
        <w:autoSpaceDE w:val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Ce n'est que dans l'hypothèse où un poste n'aura pas fait l'objet d'une candidature interne qu'il sera republié avec une ouverture à un vivier plus large (interministériel)</w:t>
      </w:r>
    </w:p>
    <w:p w:rsidR="00000000" w:rsidRDefault="00F22DEA">
      <w:pPr>
        <w:tabs>
          <w:tab w:val="left" w:pos="940"/>
          <w:tab w:val="left" w:pos="1440"/>
        </w:tabs>
        <w:autoSpaceDE w:val="0"/>
        <w:ind w:left="1440"/>
        <w:jc w:val="both"/>
        <w:rPr>
          <w:rFonts w:ascii="Times New Roman" w:hAnsi="Times New Roman"/>
        </w:rPr>
      </w:pPr>
    </w:p>
    <w:p w:rsidR="00000000" w:rsidRDefault="00F22DEA">
      <w:pPr>
        <w:tabs>
          <w:tab w:val="left" w:pos="940"/>
          <w:tab w:val="left" w:pos="1440"/>
        </w:tabs>
        <w:autoSpaceDE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les agents non titulaires du BDO feront l'objet de conditions</w:t>
      </w:r>
      <w:r>
        <w:rPr>
          <w:rFonts w:ascii="Times New Roman" w:hAnsi="Times New Roman"/>
          <w:b/>
          <w:bCs/>
        </w:rPr>
        <w:t xml:space="preserve"> de mobilité spécifiques, s'ils souhaitent ne pas intégrer le nouveau département.</w:t>
      </w:r>
    </w:p>
    <w:p w:rsidR="00000000" w:rsidRDefault="00F22DEA">
      <w:pPr>
        <w:tabs>
          <w:tab w:val="left" w:pos="940"/>
          <w:tab w:val="left" w:pos="1440"/>
        </w:tabs>
        <w:autoSpaceDE w:val="0"/>
        <w:ind w:left="1440"/>
        <w:jc w:val="both"/>
        <w:rPr>
          <w:rFonts w:ascii="Times New Roman" w:hAnsi="Times New Roman"/>
        </w:rPr>
      </w:pPr>
    </w:p>
    <w:p w:rsidR="00000000" w:rsidRDefault="00F22DEA">
      <w:pPr>
        <w:tabs>
          <w:tab w:val="left" w:pos="940"/>
          <w:tab w:val="left" w:pos="1440"/>
        </w:tabs>
        <w:autoSpaceDE w:val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Le BDO est actuellement composé de 2 attachés d'administration et 4 agents non titulaires.</w:t>
      </w:r>
    </w:p>
    <w:p w:rsidR="00000000" w:rsidRDefault="00F22DEA">
      <w:pPr>
        <w:tabs>
          <w:tab w:val="left" w:pos="940"/>
          <w:tab w:val="left" w:pos="1440"/>
        </w:tabs>
        <w:autoSpaceDE w:val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Concernant ces agents non titulaires, il est acté qu'ils feront l'objet de co</w:t>
      </w:r>
      <w:r>
        <w:rPr>
          <w:rFonts w:ascii="Times New Roman" w:hAnsi="Times New Roman"/>
        </w:rPr>
        <w:t>nditions de mobilité dérogatoires:</w:t>
      </w:r>
    </w:p>
    <w:p w:rsidR="00000000" w:rsidRDefault="00F22DEA">
      <w:pPr>
        <w:tabs>
          <w:tab w:val="left" w:pos="940"/>
          <w:tab w:val="left" w:pos="1440"/>
        </w:tabs>
        <w:autoSpaceDE w:val="0"/>
        <w:ind w:left="1440"/>
        <w:jc w:val="both"/>
        <w:rPr>
          <w:rFonts w:ascii="Times New Roman" w:hAnsi="Times New Roman"/>
        </w:rPr>
      </w:pPr>
    </w:p>
    <w:p w:rsidR="00000000" w:rsidRDefault="00F22DEA">
      <w:pPr>
        <w:numPr>
          <w:ilvl w:val="2"/>
          <w:numId w:val="1"/>
        </w:numPr>
        <w:tabs>
          <w:tab w:val="left" w:pos="1660"/>
          <w:tab w:val="left" w:pos="2160"/>
        </w:tabs>
        <w:autoSpaceDE w:val="0"/>
        <w:ind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ils ne se verront pas imposer de signer un nouveau contrat s'ils choisissent de rejoindre un autre service au sein du ministère (bien que répondant à un nouveau besoin);</w:t>
      </w:r>
    </w:p>
    <w:p w:rsidR="00000000" w:rsidRDefault="00F22DEA">
      <w:pPr>
        <w:numPr>
          <w:ilvl w:val="2"/>
          <w:numId w:val="1"/>
        </w:numPr>
        <w:tabs>
          <w:tab w:val="left" w:pos="1660"/>
          <w:tab w:val="left" w:pos="2160"/>
        </w:tabs>
        <w:autoSpaceDE w:val="0"/>
        <w:ind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ils ne se verront pas recruter en CDD d'une an</w:t>
      </w:r>
      <w:r>
        <w:rPr>
          <w:rFonts w:ascii="Times New Roman" w:hAnsi="Times New Roman"/>
        </w:rPr>
        <w:t xml:space="preserve">née sur le fondement de l'article 6 </w:t>
      </w:r>
      <w:proofErr w:type="spellStart"/>
      <w:r>
        <w:rPr>
          <w:rFonts w:ascii="Times New Roman" w:hAnsi="Times New Roman"/>
        </w:rPr>
        <w:t>quinquies</w:t>
      </w:r>
      <w:proofErr w:type="spellEnd"/>
      <w:r>
        <w:rPr>
          <w:rFonts w:ascii="Times New Roman" w:hAnsi="Times New Roman"/>
        </w:rPr>
        <w:t xml:space="preserve"> de la loi n°84-16 du 11 janvier 1984 dans l'hypothèse où ils rejoindraient un nouvel employeur (alors même qu'ils occuperaient un emploi dévolu à un agent titulaire);</w:t>
      </w:r>
    </w:p>
    <w:p w:rsidR="00000000" w:rsidRDefault="00F22DEA">
      <w:pPr>
        <w:numPr>
          <w:ilvl w:val="2"/>
          <w:numId w:val="1"/>
        </w:numPr>
        <w:tabs>
          <w:tab w:val="left" w:pos="1660"/>
          <w:tab w:val="left" w:pos="2160"/>
        </w:tabs>
        <w:autoSpaceDE w:val="0"/>
        <w:ind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ils devront être recrutés en CDI s'ils ch</w:t>
      </w:r>
      <w:r>
        <w:rPr>
          <w:rFonts w:ascii="Times New Roman" w:hAnsi="Times New Roman"/>
        </w:rPr>
        <w:t>oisissent de rejoindre un EPA et à la condition qu'ils soient aujourd'hui en CDI (portabilité imposée)</w:t>
      </w:r>
    </w:p>
    <w:p w:rsidR="00000000" w:rsidRDefault="00F22DEA">
      <w:pPr>
        <w:autoSpaceDE w:val="0"/>
        <w:jc w:val="both"/>
        <w:rPr>
          <w:rFonts w:ascii="Times New Roman" w:hAnsi="Times New Roman"/>
        </w:rPr>
      </w:pPr>
    </w:p>
    <w:p w:rsidR="00F22DEA" w:rsidRDefault="00F22DEA">
      <w:bookmarkStart w:id="0" w:name="_GoBack"/>
      <w:bookmarkEnd w:id="0"/>
    </w:p>
    <w:sectPr w:rsidR="00F22D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⁃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⁃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⁃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51"/>
    <w:rsid w:val="007C5A51"/>
    <w:rsid w:val="00987C8A"/>
    <w:rsid w:val="00F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6A72E00-E136-49BD-96E8-90829575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mbria" w:eastAsia="Cambria" w:hAnsi="Cambria"/>
      <w:sz w:val="24"/>
      <w:szCs w:val="24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A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A51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</dc:creator>
  <cp:keywords/>
  <cp:lastModifiedBy>Francis Steinbock</cp:lastModifiedBy>
  <cp:revision>2</cp:revision>
  <cp:lastPrinted>2014-03-17T09:08:00Z</cp:lastPrinted>
  <dcterms:created xsi:type="dcterms:W3CDTF">2014-03-17T09:16:00Z</dcterms:created>
  <dcterms:modified xsi:type="dcterms:W3CDTF">2014-03-17T09:16:00Z</dcterms:modified>
</cp:coreProperties>
</file>