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Evolution des modalités d’exercice de la tutelle pour les opérateurs actuellement en tutelle « partagée »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</w:r>
    </w:p>
    <w:tbl>
      <w:tblPr>
        <w:jc w:val="center"/>
        <w:tblBorders/>
      </w:tblPr>
      <w:tblGrid>
        <w:gridCol w:w="3456"/>
        <w:gridCol w:w="3994"/>
        <w:gridCol w:w="266"/>
        <w:gridCol w:w="6275"/>
      </w:tblGrid>
      <w:tr>
        <w:trPr>
          <w:cantSplit w:val="false"/>
        </w:trPr>
        <w:tc>
          <w:tcPr>
            <w:tcW w:type="dxa" w:w="34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</w:r>
          </w:p>
        </w:tc>
        <w:tc>
          <w:tcPr>
            <w:tcW w:type="dxa" w:w="3994"/>
            <w:gridSpan w:val="2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Situation actuelle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26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6275"/>
            <w:gridSpan w:val="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Situation projetée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</w:r>
          </w:p>
        </w:tc>
        <w:tc>
          <w:tcPr>
            <w:tcW w:type="dxa" w:w="2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Direction/service exerçant la tutelle administrative et financière</w:t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Direction/service exerçant la tutelle de contenu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Direction/service exerçant la tutelle administrative et financière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Direction/service exerçant la tutelle administrative, financière et de contenu 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Direction/service exerçant la tutelle de contenu</w:t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Cité nationale de l’histoire de l’immigration, Versailles, RMN-GP, INRAP, Musée du Louvre, Musée Picasso, Centre des monuments nationaux</w:t>
            </w:r>
          </w:p>
        </w:tc>
        <w:tc>
          <w:tcPr>
            <w:tcW w:type="dxa" w:w="204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BDO</w:t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DGP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DGP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Opéra national de Paris, Opéra comique, Sèvres-Cité de la céramique, CNSMD-P, CNSMD-L, ENSBA, Palais de Tokyo, Comédie Française, EPPGHV</w:t>
            </w:r>
          </w:p>
        </w:tc>
        <w:tc>
          <w:tcPr>
            <w:tcW w:type="dxa" w:w="2041"/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DGCA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DGCA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Bibliothèque nationale de France</w:t>
            </w:r>
          </w:p>
        </w:tc>
        <w:tc>
          <w:tcPr>
            <w:tcW w:type="dxa" w:w="2041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DGMIC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DGMIC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Philharmonie/Cité de la musique/Salle Pleyel</w:t>
            </w:r>
          </w:p>
        </w:tc>
        <w:tc>
          <w:tcPr>
            <w:tcW w:type="dxa" w:w="2041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DGCA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(présence jusqu’à la création du nouvel EP)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DGCA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CNAC GP</w:t>
            </w:r>
          </w:p>
        </w:tc>
        <w:tc>
          <w:tcPr>
            <w:tcW w:type="dxa" w:w="2041"/>
            <w:vMerge w:val="restart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DGP/DGCA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</w:p>
          <w:p>
            <w:pPr>
              <w:pStyle w:val="style0"/>
              <w:jc w:val="center"/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sz w:val="18"/>
                <w:szCs w:val="18"/>
              </w:rPr>
              <w:t>(présence pour coordonner la tutelle multiple)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DGP/DGCA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Universcience</w:t>
            </w:r>
          </w:p>
        </w:tc>
        <w:tc>
          <w:tcPr>
            <w:tcW w:type="dxa" w:w="204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SCPCI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SCPCI</w:t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OPPIC</w:t>
            </w:r>
          </w:p>
        </w:tc>
        <w:tc>
          <w:tcPr>
            <w:tcW w:type="dxa" w:w="204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4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CNC</w:t>
            </w:r>
          </w:p>
        </w:tc>
        <w:tc>
          <w:tcPr>
            <w:tcW w:type="dxa" w:w="204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3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Cinémathèque, ENSMIS</w:t>
            </w:r>
          </w:p>
        </w:tc>
        <w:tc>
          <w:tcPr>
            <w:tcW w:type="dxa" w:w="2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CNC sur le plan financier et soutien administratif du BDO</w:t>
            </w:r>
          </w:p>
        </w:tc>
        <w:tc>
          <w:tcPr>
            <w:tcW w:type="dxa" w:w="1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CNC</w:t>
            </w:r>
          </w:p>
        </w:tc>
        <w:tc>
          <w:tcPr>
            <w:tcW w:type="dxa" w:w="266"/>
            <w:tcBorders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DABS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(soutien administratif en dehors des aspects budgétaires)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CNC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1134" w:footer="0" w:gutter="0" w:header="0" w:left="1418" w:right="1418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0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libri" w:cs="Calibri" w:eastAsia="Lucida Sans Unicode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Segoe UI" w:cs="Segoe UI" w:hAnsi="Segoe UI"/>
      <w:sz w:val="18"/>
      <w:szCs w:val="18"/>
    </w:rPr>
  </w:style>
  <w:style w:styleId="style17" w:type="character">
    <w:name w:val="ListLabel 1"/>
    <w:next w:val="style17"/>
    <w:rPr>
      <w:rFonts w:cs="Calibri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Titre"/>
    <w:basedOn w:val="style0"/>
    <w:next w:val="style20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20" w:type="paragraph">
    <w:name w:val="Corps de texte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ascii="Liberation Sans" w:cs="Mangal" w:hAnsi="Liberation Sans"/>
    </w:rPr>
  </w:style>
  <w:style w:styleId="style22" w:type="paragraph">
    <w:name w:val="Légende"/>
    <w:basedOn w:val="style0"/>
    <w:next w:val="style22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ascii="Liberation Sans" w:cs="Mangal" w:hAnsi="Liberation Sans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  <w:style w:styleId="style25" w:type="paragraph">
    <w:name w:val="Balloon Text"/>
    <w:basedOn w:val="style0"/>
    <w:next w:val="style25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2014-03-11T08:40:00.00Z</dcterms:created>
  <dc:creator>Francis Steinbock</dc:creator>
  <cp:lastModifiedBy>Francis Steinbock</cp:lastModifiedBy>
  <cp:lastPrinted>2014-03-27T17:21:00.00Z</cp:lastPrinted>
  <dcterms:modified xsi:type="dcterms:W3CDTF">2014-06-19T07:42:00.00Z</dcterms:modified>
  <cp:revision>8</cp:revision>
</cp:coreProperties>
</file>