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15" w:before="0" w:after="0"/>
        <w:jc w:val="center"/>
        <w:rPr>
          <w:sz w:val="28"/>
          <w:u w:val="single"/>
          <w:sz w:val="28"/>
          <w:szCs w:val="28"/>
        </w:rPr>
      </w:pPr>
      <w:r>
        <w:rPr>
          <w:sz w:val="28"/>
          <w:szCs w:val="28"/>
          <w:u w:val="single"/>
        </w:rPr>
        <w:t>Commission formation MCC – 18 septembre 2015</w:t>
      </w:r>
      <w:r/>
    </w:p>
    <w:p>
      <w:pPr>
        <w:pStyle w:val="Normal"/>
        <w:spacing w:lineRule="atLeast" w:line="115" w:before="0" w:after="200"/>
        <w:jc w:val="center"/>
        <w:rPr>
          <w:sz w:val="28"/>
          <w:u w:val="none"/>
          <w:sz w:val="28"/>
          <w:szCs w:val="28"/>
        </w:rPr>
      </w:pPr>
      <w:r>
        <w:rPr>
          <w:sz w:val="28"/>
          <w:szCs w:val="28"/>
          <w:u w:val="none"/>
        </w:rPr>
        <w:t>Compte-rendu FSU</w:t>
      </w:r>
      <w:r/>
    </w:p>
    <w:p>
      <w:pPr>
        <w:pStyle w:val="Normal"/>
        <w:spacing w:lineRule="atLeast" w:line="115"/>
        <w:jc w:val="both"/>
        <w:rPr>
          <w:u w:val="none"/>
        </w:rPr>
      </w:pPr>
      <w:r>
        <w:rPr>
          <w:u w:val="single"/>
        </w:rPr>
        <w:t>Administration :</w:t>
      </w:r>
      <w:r>
        <w:rPr>
          <w:u w:val="none"/>
        </w:rPr>
        <w:t xml:space="preserve"> C. Chérie (DRH MCC), F. Grimaud (chef serv. Formation MCC), DGPat, DGMIC, DGCA, BNF, Versailles, B. Leroy (Formation Louvre), ...</w:t>
      </w:r>
      <w:r/>
    </w:p>
    <w:p>
      <w:pPr>
        <w:pStyle w:val="Normal"/>
        <w:spacing w:lineRule="atLeast" w:line="115" w:before="0" w:after="0"/>
        <w:jc w:val="both"/>
      </w:pPr>
      <w:r>
        <w:rPr>
          <w:u w:val="single"/>
        </w:rPr>
        <w:t>Représentts personnel :</w:t>
      </w:r>
      <w:r>
        <w:rPr/>
        <w:t xml:space="preserve"> L. Hamelin (1 Fsu) + ?? titulaires Cgt, Cfdt, Sud (abs.?), Cftc/Unsa</w:t>
      </w:r>
      <w:r/>
    </w:p>
    <w:p>
      <w:pPr>
        <w:pStyle w:val="Normal"/>
        <w:spacing w:lineRule="atLeast" w:line="115" w:before="0" w:after="0"/>
        <w:jc w:val="both"/>
        <w:rPr>
          <w:sz w:val="22"/>
          <w:sz w:val="22"/>
          <w:szCs w:val="22"/>
          <w:rFonts w:ascii="Calibri" w:hAnsi="Calibri" w:eastAsia="Lucida Sans Unicode" w:cs="Calibri"/>
          <w:color w:val="00000A"/>
          <w:lang w:val="fr-FR" w:eastAsia="en-US" w:bidi="ar-SA"/>
        </w:rPr>
      </w:pPr>
      <w:r>
        <w:rPr/>
      </w:r>
      <w:r/>
    </w:p>
    <w:p>
      <w:pPr>
        <w:pStyle w:val="Normal"/>
        <w:spacing w:lineRule="atLeast" w:line="115"/>
        <w:jc w:val="both"/>
      </w:pPr>
      <w:r>
        <w:rPr>
          <w:u w:val="single"/>
        </w:rPr>
        <w:t xml:space="preserve">Durée prévue </w:t>
      </w:r>
      <w:r>
        <w:rPr>
          <w:u w:val="none"/>
        </w:rPr>
        <w:t xml:space="preserve">(convoc) : </w:t>
      </w:r>
      <w:r>
        <w:rPr/>
        <w:t>matinée (9h30), finalement tte journée (&gt; vers 16h30)</w:t>
      </w:r>
      <w:r/>
    </w:p>
    <w:p>
      <w:pPr>
        <w:pStyle w:val="Normal"/>
        <w:tabs>
          <w:tab w:val="left" w:pos="2445" w:leader="none"/>
        </w:tabs>
        <w:spacing w:lineRule="atLeast" w:line="115"/>
        <w:jc w:val="left"/>
      </w:pPr>
      <w:r>
        <w:rPr>
          <w:u w:val="single"/>
        </w:rPr>
        <w:t>Documents joints</w:t>
      </w:r>
      <w:r>
        <w:rPr>
          <w:u w:val="none"/>
        </w:rPr>
        <w:t> :</w:t>
      </w:r>
      <w:r>
        <w:rPr/>
        <w:t xml:space="preserve"> </w:t>
        <w:tab/>
        <w:t>- CR CF du 6 mars 2015</w:t>
        <w:br/>
        <w:tab/>
        <w:t>- Bilan 2014 (note présentation) : MCC + annexes</w:t>
        <w:br/>
        <w:tab/>
        <w:t xml:space="preserve">- Bilans 2014 (note présentation) : </w:t>
        <w:br/>
        <w:tab/>
        <w:t>SG, DGPat, DGCA, DGMIC, BNF, Versailles, Louvre</w:t>
      </w:r>
      <w:r/>
    </w:p>
    <w:p>
      <w:pPr>
        <w:pStyle w:val="Normal"/>
        <w:tabs>
          <w:tab w:val="left" w:pos="2460" w:leader="none"/>
        </w:tabs>
        <w:spacing w:lineRule="atLeast" w:line="115"/>
        <w:jc w:val="left"/>
        <w:rPr>
          <w:b w:val="false"/>
          <w:b w:val="false"/>
          <w:bCs w:val="false"/>
          <w:color w:val="DC2300"/>
        </w:rPr>
      </w:pPr>
      <w:r>
        <w:rPr>
          <w:b/>
          <w:bCs/>
          <w:color w:val="DC2300"/>
        </w:rPr>
        <w:tab/>
        <w:t xml:space="preserve">Attention : </w:t>
      </w:r>
      <w:r>
        <w:rPr>
          <w:b w:val="false"/>
          <w:bCs w:val="false"/>
          <w:color w:val="DC2300"/>
        </w:rPr>
        <w:t>Laurence= abs. l’après-midi</w:t>
      </w:r>
      <w:r/>
    </w:p>
    <w:p>
      <w:pPr>
        <w:pStyle w:val="Normal"/>
        <w:spacing w:lineRule="atLeast" w:line="115"/>
        <w:jc w:val="both"/>
        <w:rPr>
          <w:u w:val="single"/>
        </w:rPr>
      </w:pPr>
      <w:r>
        <w:rPr>
          <w:u w:val="single"/>
        </w:rPr>
        <w:t>Points à l’ordre du jour  (convoc):</w:t>
      </w:r>
      <w:r/>
    </w:p>
    <w:p>
      <w:pPr>
        <w:pStyle w:val="ListParagraph"/>
        <w:tabs>
          <w:tab w:val="left" w:pos="315" w:leader="none"/>
        </w:tabs>
        <w:spacing w:lineRule="atLeast" w:line="115"/>
        <w:ind w:left="0" w:right="0" w:hanging="0"/>
        <w:jc w:val="both"/>
        <w:rPr>
          <w:sz w:val="22"/>
          <w:u w:val="none"/>
          <w:b w:val="false"/>
          <w:sz w:val="22"/>
          <w:b w:val="false"/>
          <w:szCs w:val="22"/>
          <w:bCs w:val="false"/>
        </w:rPr>
      </w:pPr>
      <w:r>
        <w:rPr/>
        <w:t xml:space="preserve">1. </w:t>
        <w:tab/>
      </w:r>
      <w:r>
        <w:rPr>
          <w:b w:val="false"/>
          <w:bCs w:val="false"/>
          <w:sz w:val="22"/>
          <w:szCs w:val="22"/>
          <w:u w:val="none"/>
        </w:rPr>
        <w:t>Bilan 2014 pour tout le ministère</w:t>
      </w:r>
      <w:r/>
    </w:p>
    <w:p>
      <w:pPr>
        <w:pStyle w:val="ListParagraph"/>
        <w:tabs>
          <w:tab w:val="left" w:pos="315" w:leader="none"/>
        </w:tabs>
        <w:spacing w:lineRule="atLeast" w:line="115"/>
        <w:ind w:left="0" w:right="0" w:hanging="0"/>
        <w:jc w:val="both"/>
        <w:rPr>
          <w:sz w:val="22"/>
          <w:sz w:val="22"/>
          <w:szCs w:val="22"/>
        </w:rPr>
      </w:pPr>
      <w:r>
        <w:rPr/>
        <w:t xml:space="preserve">2. </w:t>
        <w:tab/>
      </w:r>
      <w:r>
        <w:rPr>
          <w:sz w:val="22"/>
          <w:szCs w:val="22"/>
        </w:rPr>
        <w:t>Questions diverses</w:t>
      </w:r>
      <w:r/>
    </w:p>
    <w:p>
      <w:pPr>
        <w:pStyle w:val="ListParagraph"/>
        <w:tabs>
          <w:tab w:val="left" w:pos="315" w:leader="none"/>
        </w:tabs>
        <w:spacing w:lineRule="atLeast" w:line="115"/>
        <w:ind w:left="0" w:right="0" w:hanging="0"/>
        <w:jc w:val="both"/>
        <w:rPr>
          <w:sz w:val="22"/>
          <w:sz w:val="22"/>
          <w:szCs w:val="22"/>
          <w:rFonts w:ascii="Calibri" w:hAnsi="Calibri" w:eastAsia="Lucida Sans Unicode" w:cs="Calibri"/>
          <w:color w:val="00000A"/>
          <w:lang w:val="fr-FR" w:eastAsia="en-US" w:bidi="ar-SA"/>
        </w:rPr>
      </w:pPr>
      <w:r>
        <w:rPr/>
      </w:r>
      <w:r/>
    </w:p>
    <w:p>
      <w:pPr>
        <w:pStyle w:val="ListParagraph"/>
        <w:tabs>
          <w:tab w:val="left" w:pos="315" w:leader="none"/>
        </w:tabs>
        <w:spacing w:lineRule="atLeast" w:line="115"/>
        <w:ind w:left="0" w:right="0" w:hanging="0"/>
        <w:jc w:val="both"/>
        <w:rPr>
          <w:sz w:val="22"/>
          <w:sz w:val="22"/>
          <w:szCs w:val="22"/>
        </w:rPr>
      </w:pPr>
      <w:r>
        <w:rPr>
          <w:sz w:val="22"/>
          <w:szCs w:val="22"/>
        </w:rPr>
        <w:t>–</w:t>
      </w:r>
      <w:r>
        <w:rPr>
          <w:sz w:val="22"/>
          <w:szCs w:val="22"/>
        </w:rPr>
        <w:t>------------------</w:t>
      </w:r>
      <w:r/>
    </w:p>
    <w:p>
      <w:pPr>
        <w:pStyle w:val="Normal"/>
        <w:spacing w:lineRule="atLeast" w:line="115"/>
      </w:pPr>
      <w:r>
        <w:rPr>
          <w:b/>
          <w:bCs/>
        </w:rPr>
        <w:t>C. Chérie</w:t>
      </w:r>
      <w:r>
        <w:rPr/>
        <w:tab/>
        <w:t>introduit la séance avec une « mise au point » quant au ton adopté par les OS ; en effet, B. Leroy (Louvre) ne siégera pas suite aux attaques verbales « personnelles » proférées en mars dernier.</w:t>
      </w:r>
      <w:r/>
    </w:p>
    <w:p>
      <w:pPr>
        <w:pStyle w:val="Normal"/>
        <w:spacing w:lineRule="atLeast" w:line="115"/>
      </w:pPr>
      <w:r>
        <w:rPr>
          <w:b/>
          <w:bCs/>
        </w:rPr>
        <w:t>Snac-Fsu</w:t>
      </w:r>
      <w:r>
        <w:rPr/>
        <w:tab/>
        <w:t>s’inscrit en faux concernant l’aspect personnel des attaques : en aucun cas les remarques, notamment celles sur l’usage abusif du DIF au Louvre, ne vise la personne. En l’occurrence, il s’agit de viser la politique RH du Louvre, qui n’a rien fait pour rétablir le droit des agents, pourtant alertée depuis 2/3 ans du pb. De plus, l’administration centrale avait été interpelée (CAP AA via M. Oberlis) mais n’a pas bougé.</w:t>
      </w:r>
      <w:r/>
    </w:p>
    <w:p>
      <w:pPr>
        <w:pStyle w:val="Normal"/>
        <w:spacing w:lineRule="atLeast" w:line="115"/>
      </w:pPr>
      <w:r>
        <w:rPr>
          <w:b/>
          <w:bCs/>
        </w:rPr>
        <w:t>CGT</w:t>
      </w:r>
      <w:r>
        <w:rPr/>
        <w:tab/>
        <w:tab/>
        <w:t>idem : jamais d’attaques personnelles mais défense des agents</w:t>
      </w:r>
      <w:r/>
    </w:p>
    <w:p>
      <w:pPr>
        <w:pStyle w:val="Normal"/>
        <w:spacing w:lineRule="atLeast" w:line="115"/>
        <w:rPr>
          <w:sz w:val="22"/>
          <w:sz w:val="22"/>
          <w:szCs w:val="22"/>
          <w:rFonts w:ascii="Calibri" w:hAnsi="Calibri" w:eastAsia="Lucida Sans Unicode" w:cs="Calibri"/>
          <w:color w:val="00000A"/>
          <w:lang w:val="fr-FR" w:eastAsia="en-US" w:bidi="ar-SA"/>
        </w:rPr>
      </w:pPr>
      <w:r>
        <w:rPr/>
        <w:t>–</w:t>
      </w:r>
      <w:r>
        <w:rPr/>
        <w:t>------------------</w:t>
      </w:r>
      <w:r/>
    </w:p>
    <w:p>
      <w:pPr>
        <w:pStyle w:val="Normal"/>
        <w:spacing w:lineRule="atLeast" w:line="115" w:before="0" w:after="113"/>
        <w:rPr>
          <w:u w:val="single"/>
          <w:b w:val="false"/>
          <w:b w:val="false"/>
          <w:bCs w:val="false"/>
        </w:rPr>
      </w:pPr>
      <w:r>
        <w:rPr>
          <w:b/>
          <w:bCs/>
          <w:u w:val="single"/>
        </w:rPr>
        <w:t>Bilan de formation</w:t>
      </w:r>
      <w:r>
        <w:rPr>
          <w:b w:val="false"/>
          <w:bCs w:val="false"/>
          <w:u w:val="single"/>
        </w:rPr>
        <w:t> : généralités &amp; méthodo</w:t>
      </w:r>
      <w:r/>
    </w:p>
    <w:p>
      <w:pPr>
        <w:pStyle w:val="ListParagraph"/>
        <w:widowControl/>
        <w:tabs>
          <w:tab w:val="left" w:pos="765" w:leader="none"/>
        </w:tabs>
        <w:suppressAutoHyphens w:val="true"/>
        <w:spacing w:lineRule="atLeast" w:line="115" w:before="0" w:after="113"/>
        <w:ind w:left="0" w:right="0" w:hanging="0"/>
        <w:jc w:val="left"/>
        <w:rPr>
          <w:sz w:val="20"/>
          <w:u w:val="none"/>
          <w:b w:val="false"/>
          <w:sz w:val="20"/>
          <w:b w:val="false"/>
          <w:szCs w:val="20"/>
          <w:bCs w:val="false"/>
        </w:rPr>
      </w:pPr>
      <w:r>
        <w:rPr>
          <w:b/>
          <w:bCs/>
          <w:sz w:val="20"/>
          <w:szCs w:val="20"/>
          <w:u w:val="single"/>
        </w:rPr>
        <w:t>V. Astien</w:t>
      </w:r>
      <w:r>
        <w:rPr>
          <w:b w:val="false"/>
          <w:bCs w:val="false"/>
          <w:sz w:val="20"/>
          <w:szCs w:val="20"/>
          <w:u w:val="none"/>
        </w:rPr>
        <w:t xml:space="preserve"> </w:t>
        <w:tab/>
        <w:t>88 structures interrogées ; globalement, augmentation du nombre de stagiaires (ex. +22 % au SG) &amp; baisse des durées de formation</w:t>
      </w:r>
      <w:r/>
    </w:p>
    <w:p>
      <w:pPr>
        <w:pStyle w:val="ListParagraph"/>
        <w:spacing w:lineRule="atLeast" w:line="115"/>
        <w:jc w:val="both"/>
        <w:rPr>
          <w:sz w:val="20"/>
          <w:sz w:val="20"/>
          <w:szCs w:val="20"/>
          <w:rFonts w:ascii="Calibri" w:hAnsi="Calibri" w:eastAsia="Lucida Sans Unicode" w:cs="Calibri"/>
          <w:color w:val="00000A"/>
          <w:lang w:val="fr-FR" w:eastAsia="en-US" w:bidi="ar-SA"/>
        </w:rPr>
      </w:pPr>
      <w:r>
        <w:rPr>
          <w:sz w:val="20"/>
          <w:szCs w:val="20"/>
        </w:rPr>
      </w:r>
      <w:r/>
    </w:p>
    <w:p>
      <w:pPr>
        <w:pStyle w:val="ListParagraph"/>
        <w:tabs>
          <w:tab w:val="left" w:pos="750" w:leader="none"/>
        </w:tabs>
        <w:spacing w:lineRule="atLeast" w:line="115" w:before="0" w:after="0"/>
        <w:ind w:left="0" w:right="0" w:hanging="0"/>
        <w:contextualSpacing/>
        <w:rPr>
          <w:sz w:val="20"/>
          <w:b w:val="false"/>
          <w:sz w:val="20"/>
          <w:b w:val="false"/>
          <w:szCs w:val="20"/>
          <w:bCs w:val="false"/>
        </w:rPr>
      </w:pPr>
      <w:bookmarkStart w:id="0" w:name="__DdeLink__1244_647038997"/>
      <w:r>
        <w:rPr>
          <w:b/>
          <w:bCs/>
          <w:sz w:val="20"/>
          <w:szCs w:val="20"/>
          <w:u w:val="single"/>
        </w:rPr>
        <w:t>CGT</w:t>
      </w:r>
      <w:r>
        <w:rPr>
          <w:sz w:val="20"/>
          <w:szCs w:val="20"/>
        </w:rPr>
        <w:t xml:space="preserve"> </w:t>
        <w:tab/>
      </w:r>
      <w:bookmarkEnd w:id="0"/>
      <w:r>
        <w:rPr>
          <w:b w:val="false"/>
          <w:bCs w:val="false"/>
          <w:sz w:val="20"/>
          <w:szCs w:val="20"/>
        </w:rPr>
        <w:t>(S. Méreau) cite C. Chérie, juillet 2014, qui confirmait l’importance de la formation et la nécessité des moyens à y consacrer.</w:t>
        <w:br/>
        <w:tab/>
        <w:t xml:space="preserve">Au-delà des chiffres, souligne l’égale </w:t>
      </w:r>
      <w:r>
        <w:rPr>
          <w:b/>
          <w:bCs/>
          <w:color w:val="579D1C"/>
          <w:sz w:val="20"/>
          <w:szCs w:val="20"/>
        </w:rPr>
        <w:t>importance du qualitatif</w:t>
      </w:r>
      <w:r>
        <w:rPr>
          <w:b w:val="false"/>
          <w:bCs w:val="false"/>
          <w:sz w:val="20"/>
          <w:szCs w:val="20"/>
        </w:rPr>
        <w:t xml:space="preserve"> &amp; du quantitatif &gt; nécessité d’obtenir une analyse dégageant des perspectives :</w:t>
      </w:r>
      <w:r/>
    </w:p>
    <w:p>
      <w:pPr>
        <w:pStyle w:val="ListParagraph"/>
        <w:tabs>
          <w:tab w:val="left" w:pos="750" w:leader="none"/>
        </w:tabs>
        <w:spacing w:lineRule="atLeast" w:line="115" w:before="0" w:after="0"/>
        <w:ind w:left="0" w:right="0" w:hanging="0"/>
        <w:contextualSpacing/>
        <w:rPr>
          <w:sz w:val="20"/>
          <w:b w:val="false"/>
          <w:sz w:val="20"/>
          <w:b w:val="false"/>
          <w:szCs w:val="20"/>
          <w:bCs w:val="false"/>
        </w:rPr>
      </w:pPr>
      <w:r>
        <w:rPr>
          <w:b w:val="false"/>
          <w:bCs w:val="false"/>
          <w:sz w:val="20"/>
          <w:szCs w:val="20"/>
        </w:rPr>
        <w:tab/>
        <w:t xml:space="preserve">- incluant les questions </w:t>
      </w:r>
      <w:r>
        <w:rPr>
          <w:b/>
          <w:bCs/>
          <w:color w:val="579D1C"/>
          <w:sz w:val="20"/>
          <w:szCs w:val="20"/>
        </w:rPr>
        <w:t>GPEC</w:t>
      </w:r>
      <w:r>
        <w:rPr>
          <w:b w:val="false"/>
          <w:bCs w:val="false"/>
          <w:sz w:val="20"/>
          <w:szCs w:val="20"/>
        </w:rPr>
        <w:t xml:space="preserve"> (gestion prévisionnelle des emplois et compétences),</w:t>
      </w:r>
      <w:r/>
    </w:p>
    <w:p>
      <w:pPr>
        <w:pStyle w:val="ListParagraph"/>
        <w:tabs>
          <w:tab w:val="left" w:pos="750" w:leader="none"/>
        </w:tabs>
        <w:spacing w:lineRule="atLeast" w:line="115" w:before="0" w:after="0"/>
        <w:ind w:left="0" w:right="0" w:hanging="0"/>
        <w:contextualSpacing/>
        <w:rPr>
          <w:sz w:val="20"/>
          <w:b w:val="false"/>
          <w:sz w:val="20"/>
          <w:b w:val="false"/>
          <w:szCs w:val="20"/>
          <w:bCs w:val="false"/>
        </w:rPr>
      </w:pPr>
      <w:r>
        <w:rPr>
          <w:b w:val="false"/>
          <w:bCs w:val="false"/>
          <w:sz w:val="20"/>
          <w:szCs w:val="20"/>
        </w:rPr>
        <w:tab/>
        <w:t>- travailleurs pauvres au MCC qui n’ont aucun déroulement de carrière car aucun accompagnement dans leur carrière,</w:t>
      </w:r>
      <w:r/>
    </w:p>
    <w:p>
      <w:pPr>
        <w:pStyle w:val="ListParagraph"/>
        <w:tabs>
          <w:tab w:val="left" w:pos="750" w:leader="none"/>
        </w:tabs>
        <w:spacing w:lineRule="atLeast" w:line="115" w:before="0" w:after="0"/>
        <w:ind w:left="0" w:right="0" w:hanging="0"/>
        <w:contextualSpacing/>
        <w:rPr>
          <w:sz w:val="20"/>
          <w:b w:val="false"/>
          <w:sz w:val="20"/>
          <w:b w:val="false"/>
          <w:szCs w:val="20"/>
          <w:bCs w:val="false"/>
        </w:rPr>
      </w:pPr>
      <w:r>
        <w:rPr>
          <w:b w:val="false"/>
          <w:bCs w:val="false"/>
          <w:sz w:val="20"/>
          <w:szCs w:val="20"/>
        </w:rPr>
        <w:tab/>
        <w:t>- quel aboutissement des bilans de compétence effectués,</w:t>
      </w:r>
      <w:r/>
    </w:p>
    <w:p>
      <w:pPr>
        <w:pStyle w:val="ListParagraph"/>
        <w:tabs>
          <w:tab w:val="left" w:pos="750" w:leader="none"/>
        </w:tabs>
        <w:spacing w:lineRule="atLeast" w:line="115" w:before="0" w:after="0"/>
        <w:ind w:left="0" w:right="0" w:hanging="0"/>
        <w:contextualSpacing/>
        <w:rPr>
          <w:sz w:val="20"/>
          <w:b w:val="false"/>
          <w:sz w:val="20"/>
          <w:b w:val="false"/>
          <w:szCs w:val="20"/>
          <w:bCs w:val="false"/>
        </w:rPr>
      </w:pPr>
      <w:r>
        <w:rPr>
          <w:b w:val="false"/>
          <w:bCs w:val="false"/>
          <w:sz w:val="20"/>
          <w:szCs w:val="20"/>
        </w:rPr>
        <w:tab/>
        <w:t>- qualité de vie au travail (QVT) est-elle améliorée suite aux formations « management » (RPS, …),</w:t>
      </w:r>
      <w:r/>
    </w:p>
    <w:p>
      <w:pPr>
        <w:pStyle w:val="ListParagraph"/>
        <w:tabs>
          <w:tab w:val="left" w:pos="750" w:leader="none"/>
        </w:tabs>
        <w:spacing w:lineRule="atLeast" w:line="115" w:before="0" w:after="0"/>
        <w:ind w:left="0" w:right="0" w:hanging="0"/>
        <w:contextualSpacing/>
        <w:rPr>
          <w:sz w:val="20"/>
          <w:b w:val="false"/>
          <w:sz w:val="20"/>
          <w:b w:val="false"/>
          <w:szCs w:val="20"/>
          <w:bCs w:val="false"/>
        </w:rPr>
      </w:pPr>
      <w:r>
        <w:rPr>
          <w:b w:val="false"/>
          <w:bCs w:val="false"/>
          <w:sz w:val="20"/>
          <w:szCs w:val="20"/>
        </w:rPr>
        <w:tab/>
        <w:t>- au service formation, y a-t-il une amélioration des conditions de travail et des effectifs (+ pb espaces de travail)</w:t>
      </w:r>
      <w:r/>
    </w:p>
    <w:p>
      <w:pPr>
        <w:pStyle w:val="ListParagraph"/>
        <w:widowControl/>
        <w:tabs>
          <w:tab w:val="left" w:pos="750" w:leader="none"/>
        </w:tabs>
        <w:suppressAutoHyphens w:val="true"/>
        <w:spacing w:lineRule="atLeast" w:line="115" w:before="0" w:after="0"/>
        <w:ind w:left="75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 Chérie</w:t>
        <w:tab/>
      </w:r>
      <w:r>
        <w:rPr>
          <w:b w:val="false"/>
          <w:bCs w:val="false"/>
          <w:color w:val="000000"/>
          <w:sz w:val="20"/>
          <w:szCs w:val="20"/>
          <w:u w:val="none"/>
        </w:rPr>
        <w:tab/>
        <w:t>comprend les remarques et questions posées mais souligne la difficulté de connaître les résultats de la politique de formation.</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En citant son propre exemple (promotion via formation continue), explique qu’il faut être demandeur et actif pour se former.</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GPEC : en cours de mise en place</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Formation = amélioration sociale</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CFDT (Arnaud)</w:t>
      </w:r>
      <w:r>
        <w:rPr>
          <w:b w:val="false"/>
          <w:bCs w:val="false"/>
          <w:color w:val="000000"/>
          <w:sz w:val="20"/>
          <w:szCs w:val="20"/>
          <w:u w:val="none"/>
        </w:rPr>
        <w:tab/>
        <w:t>demande pourquoi certains EP n’ont pas répondu</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 Chérie</w:t>
        <w:tab/>
      </w:r>
      <w:r>
        <w:rPr>
          <w:b w:val="false"/>
          <w:bCs w:val="false"/>
          <w:color w:val="000000"/>
          <w:sz w:val="20"/>
          <w:szCs w:val="20"/>
          <w:u w:val="none"/>
        </w:rPr>
        <w:tab/>
        <w:t>appellera chacun : les réponses nous seront transmises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Snac-Fsu</w:t>
        <w:tab/>
      </w:r>
      <w:r>
        <w:rPr>
          <w:b w:val="false"/>
          <w:bCs w:val="false"/>
          <w:color w:val="000000"/>
          <w:sz w:val="20"/>
          <w:szCs w:val="20"/>
          <w:u w:val="none"/>
        </w:rPr>
        <w:tab/>
        <w:t>demande idéalement des graphiques pour visualiser les chiffres ainsi que des résultats « relatifs » plus systématiques (existent à la marge)</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RH (FG?)</w:t>
      </w:r>
      <w:r>
        <w:rPr>
          <w:b w:val="false"/>
          <w:bCs w:val="false"/>
          <w:color w:val="000000"/>
          <w:sz w:val="20"/>
          <w:szCs w:val="20"/>
          <w:u w:val="none"/>
        </w:rPr>
        <w:tab/>
        <w:tab/>
        <w:t>essaiera de le faire dans la mesure du possible car effectivement utiles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Sud (Cliquet)</w:t>
      </w:r>
      <w:r>
        <w:rPr>
          <w:b w:val="false"/>
          <w:bCs w:val="false"/>
          <w:color w:val="000000"/>
          <w:sz w:val="20"/>
          <w:szCs w:val="20"/>
          <w:u w:val="none"/>
        </w:rPr>
        <w:tab/>
      </w:r>
      <w:r>
        <w:rPr>
          <w:b/>
          <w:bCs/>
          <w:color w:val="579D1C"/>
          <w:sz w:val="20"/>
          <w:szCs w:val="20"/>
          <w:u w:val="none"/>
        </w:rPr>
        <w:t>Formaction</w:t>
      </w:r>
      <w:r>
        <w:rPr>
          <w:b w:val="false"/>
          <w:bCs w:val="false"/>
          <w:color w:val="000000"/>
          <w:sz w:val="20"/>
          <w:szCs w:val="20"/>
          <w:u w:val="none"/>
        </w:rPr>
        <w:t xml:space="preserve"> et ses outils (ex. inscription uniquement par mél) ne sont pas accessibles à tous les agents du MCC (ex. ASM, pas de poste informatique) = </w:t>
      </w:r>
      <w:r>
        <w:rPr>
          <w:b/>
          <w:bCs/>
          <w:color w:val="579D1C"/>
          <w:sz w:val="20"/>
          <w:szCs w:val="20"/>
          <w:u w:val="none"/>
        </w:rPr>
        <w:t>frein catégoriel</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V. Astien</w:t>
      </w:r>
      <w:r>
        <w:rPr>
          <w:b w:val="false"/>
          <w:bCs w:val="false"/>
          <w:color w:val="000000"/>
          <w:sz w:val="20"/>
          <w:szCs w:val="20"/>
          <w:u w:val="none"/>
        </w:rPr>
        <w:tab/>
        <w:tab/>
        <w:t>n’était pas informée de cette situation (agents sans mél)</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Snac-Fsu</w:t>
        <w:tab/>
      </w:r>
      <w:r>
        <w:rPr>
          <w:b w:val="false"/>
          <w:bCs w:val="false"/>
          <w:color w:val="000000"/>
          <w:sz w:val="20"/>
          <w:szCs w:val="20"/>
          <w:u w:val="none"/>
        </w:rPr>
        <w:tab/>
        <w:t>demande si volet « formation &amp; GPEC » inclus dans les formations « management »</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 Chérie</w:t>
        <w:tab/>
      </w:r>
      <w:r>
        <w:rPr>
          <w:b w:val="false"/>
          <w:bCs w:val="false"/>
          <w:color w:val="000000"/>
          <w:sz w:val="20"/>
          <w:szCs w:val="20"/>
          <w:u w:val="none"/>
        </w:rPr>
        <w:tab/>
        <w:t>constat d’une montée de n</w:t>
      </w:r>
      <w:r>
        <w:rPr>
          <w:b w:val="false"/>
          <w:bCs w:val="false"/>
          <w:color w:val="000000"/>
          <w:sz w:val="20"/>
          <w:szCs w:val="20"/>
          <w:u w:val="none"/>
        </w:rPr>
        <w:t>i</w:t>
      </w:r>
      <w:r>
        <w:rPr>
          <w:b w:val="false"/>
          <w:bCs w:val="false"/>
          <w:color w:val="000000"/>
          <w:sz w:val="20"/>
          <w:szCs w:val="20"/>
          <w:u w:val="none"/>
        </w:rPr>
        <w:t xml:space="preserve">veau des </w:t>
      </w:r>
      <w:r>
        <w:rPr>
          <w:b/>
          <w:bCs/>
          <w:color w:val="579D1C"/>
          <w:sz w:val="20"/>
          <w:szCs w:val="20"/>
          <w:u w:val="none"/>
        </w:rPr>
        <w:t xml:space="preserve">compétences managériales </w:t>
      </w:r>
      <w:r>
        <w:rPr>
          <w:b w:val="false"/>
          <w:bCs w:val="false"/>
          <w:color w:val="000000"/>
          <w:sz w:val="20"/>
          <w:szCs w:val="20"/>
          <w:u w:val="none"/>
        </w:rPr>
        <w:t>notamment pour les questions d’évaluation, avec son volet formations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CGT V.Harnay (Inrap)</w:t>
      </w:r>
      <w:r>
        <w:rPr>
          <w:b w:val="false"/>
          <w:bCs w:val="false"/>
          <w:color w:val="000000"/>
          <w:sz w:val="20"/>
          <w:szCs w:val="20"/>
          <w:u w:val="none"/>
        </w:rPr>
        <w:t>pas de volet formation dans la fiche évaluation de l’Inrap &gt; pb Inrap : massivement pas d’entretiens d’évaluation</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CGT (S. Lagarde)</w:t>
      </w:r>
      <w:r>
        <w:rPr>
          <w:b w:val="false"/>
          <w:bCs w:val="false"/>
          <w:color w:val="000000"/>
          <w:sz w:val="20"/>
          <w:szCs w:val="20"/>
          <w:u w:val="none"/>
        </w:rPr>
        <w:tab/>
        <w:t>idem à la BPI : refus de formation pour cause d’absence d’évaluation</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F. Grimaud</w:t>
      </w:r>
      <w:r>
        <w:rPr>
          <w:b w:val="false"/>
          <w:bCs w:val="false"/>
          <w:color w:val="000000"/>
          <w:sz w:val="20"/>
          <w:szCs w:val="20"/>
          <w:u w:val="none"/>
        </w:rPr>
        <w:tab/>
        <w:t>...Bilan général : amélioration de la part des formés sur les non-formés ; catégories A = moins formés ; +4 % de stagiaires ; baisse de 20 % de jours de formation (- de formations de + de 5 jours).</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DIF : id. baisse nombre jours, hausse nombre d’agents</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DRAC : SG paiera, dès 2016, les frais de déplacement des stagiaires (à la place des Dracs)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CGT (VH)</w:t>
        <w:tab/>
      </w:r>
      <w:r>
        <w:rPr>
          <w:b w:val="false"/>
          <w:bCs w:val="false"/>
          <w:color w:val="000000"/>
          <w:sz w:val="20"/>
          <w:szCs w:val="20"/>
          <w:u w:val="none"/>
        </w:rPr>
        <w:t xml:space="preserve">DIF peu utilisé car compliqué </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CFDT</w:t>
      </w:r>
      <w:r>
        <w:rPr>
          <w:b w:val="false"/>
          <w:bCs w:val="false"/>
          <w:color w:val="000000"/>
          <w:sz w:val="20"/>
          <w:szCs w:val="20"/>
          <w:u w:val="none"/>
        </w:rPr>
        <w:tab/>
        <w:t xml:space="preserve">pb utilisation du DIF quand </w:t>
      </w:r>
      <w:r>
        <w:rPr>
          <w:b/>
          <w:bCs/>
          <w:color w:val="579D1C"/>
          <w:sz w:val="20"/>
          <w:szCs w:val="20"/>
          <w:u w:val="none"/>
        </w:rPr>
        <w:t>préparation de concours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CGT</w:t>
      </w:r>
      <w:r>
        <w:rPr>
          <w:b w:val="false"/>
          <w:bCs w:val="false"/>
          <w:color w:val="000000"/>
          <w:sz w:val="20"/>
          <w:szCs w:val="20"/>
          <w:u w:val="none"/>
        </w:rPr>
        <w:tab/>
        <w:t>demandes DIF imposent de présenter un projet écrit ; attention aux réponses négatives orales &gt; imposer de recevoir des réponses écrites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F. Grimaud</w:t>
      </w:r>
      <w:r>
        <w:rPr>
          <w:b w:val="false"/>
          <w:bCs w:val="false"/>
          <w:color w:val="000000"/>
          <w:sz w:val="20"/>
          <w:szCs w:val="20"/>
          <w:u w:val="none"/>
        </w:rPr>
        <w:tab/>
        <w:t>il faut absolument formaliser sa demande</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Mme Serré</w:t>
      </w:r>
      <w:r>
        <w:rPr>
          <w:b w:val="false"/>
          <w:bCs w:val="false"/>
          <w:color w:val="000000"/>
          <w:sz w:val="20"/>
          <w:szCs w:val="20"/>
          <w:u w:val="none"/>
        </w:rPr>
        <w:tab/>
        <w:t>les agents ne sont pas formés, notamment sur le DIF</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Snac-Fsu</w:t>
        <w:tab/>
      </w:r>
      <w:r>
        <w:rPr>
          <w:b w:val="false"/>
          <w:bCs w:val="false"/>
          <w:color w:val="000000"/>
          <w:sz w:val="20"/>
          <w:szCs w:val="20"/>
          <w:u w:val="none"/>
        </w:rPr>
        <w:tab/>
        <w:t>souligne l’inégale faculté de rédiger des projets personnels pour obtenir (ou pas) la formation demandée via DIF</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ab/>
        <w:t xml:space="preserve">Proposer plus souvent, car encore trop peu utilisés, les bilans de compétence (le mieux), mais aussi éventuellement un </w:t>
      </w:r>
      <w:r>
        <w:rPr>
          <w:b/>
          <w:bCs/>
          <w:color w:val="579D1C"/>
          <w:sz w:val="20"/>
          <w:szCs w:val="20"/>
          <w:u w:val="none"/>
        </w:rPr>
        <w:t>entretien ou un bilan de carrière</w:t>
      </w:r>
      <w:r>
        <w:rPr>
          <w:b w:val="false"/>
          <w:bCs w:val="false"/>
          <w:color w:val="000000"/>
          <w:sz w:val="20"/>
          <w:szCs w:val="20"/>
          <w:u w:val="none"/>
        </w:rPr>
        <w:t>.</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FG</w:t>
      </w:r>
      <w:r>
        <w:rPr>
          <w:b w:val="false"/>
          <w:bCs w:val="false"/>
          <w:color w:val="000000"/>
          <w:sz w:val="20"/>
          <w:szCs w:val="20"/>
          <w:u w:val="none"/>
        </w:rPr>
        <w:tab/>
        <w:t>...suite bilan : +22 % de formation en management, + 49 formations nouvelles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A. Pasquet</w:t>
      </w:r>
      <w:r>
        <w:rPr>
          <w:b w:val="false"/>
          <w:bCs w:val="false"/>
          <w:color w:val="000000"/>
          <w:sz w:val="20"/>
          <w:szCs w:val="20"/>
          <w:u w:val="none"/>
        </w:rPr>
        <w:tab/>
        <w:t>statistiques à venir pour 2015 : réussites aux concours suite à leur préparations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Snac-Fsu</w:t>
        <w:tab/>
      </w:r>
      <w:r>
        <w:rPr>
          <w:b w:val="false"/>
          <w:bCs w:val="false"/>
          <w:color w:val="000000"/>
          <w:sz w:val="20"/>
          <w:szCs w:val="20"/>
          <w:u w:val="none"/>
        </w:rPr>
        <w:tab/>
        <w:t xml:space="preserve">pb préparations aux concours : décalage (temps/qualité) entre EP &amp; SG = responsabilité de la </w:t>
        <w:tab/>
        <w:tab/>
        <w:t>RH-MCC + demande si précisions sur futur concours Sauvadet conservateurs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CGT (VR)</w:t>
        <w:tab/>
      </w:r>
      <w:r>
        <w:rPr>
          <w:b w:val="false"/>
          <w:bCs w:val="false"/>
          <w:color w:val="000000"/>
          <w:sz w:val="20"/>
          <w:szCs w:val="20"/>
          <w:u w:val="none"/>
        </w:rPr>
        <w:tab/>
        <w:t>besoin d’annales pour les concours ainsi que de rapports des jurys</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RH-MCC</w:t>
        <w:tab/>
      </w:r>
      <w:r>
        <w:rPr>
          <w:b w:val="false"/>
          <w:bCs w:val="false"/>
          <w:color w:val="000000"/>
          <w:sz w:val="20"/>
          <w:szCs w:val="20"/>
          <w:u w:val="none"/>
        </w:rPr>
        <w:tab/>
        <w:t>pb techniques sur le dernier tableau des concours + Sauvadet : conservateur du Patrimoine = pas encore édité/daté</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CGT (S. Patureau)</w:t>
      </w:r>
      <w:r>
        <w:rPr>
          <w:b w:val="false"/>
          <w:bCs w:val="false"/>
          <w:color w:val="000000"/>
          <w:sz w:val="20"/>
          <w:szCs w:val="20"/>
          <w:u w:val="none"/>
        </w:rPr>
        <w:tab/>
        <w:t>BNF : budget à part &gt; limite les possibilités à l’interne + limite les liens entre agents du MCC</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FG</w:t>
      </w:r>
      <w:r>
        <w:rPr>
          <w:b w:val="false"/>
          <w:bCs w:val="false"/>
          <w:color w:val="000000"/>
          <w:sz w:val="20"/>
          <w:szCs w:val="20"/>
          <w:u w:val="none"/>
        </w:rPr>
        <w:tab/>
        <w:t>évoque la coupure budgétaire entre le Titre 2 &amp; le Titre 3 (budgets différents)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6"/>
          <w:szCs w:val="26"/>
          <w:u w:val="single"/>
        </w:rPr>
        <w:t>Versailles</w:t>
      </w:r>
      <w:r>
        <w:rPr>
          <w:b w:val="false"/>
          <w:bCs w:val="false"/>
          <w:color w:val="000000"/>
          <w:sz w:val="20"/>
          <w:szCs w:val="20"/>
          <w:u w:val="none"/>
        </w:rPr>
        <w:tab/>
        <w:t>présente son bilan</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OS (ttes)</w:t>
      </w:r>
      <w:r>
        <w:rPr>
          <w:b w:val="false"/>
          <w:bCs w:val="false"/>
          <w:color w:val="000000"/>
          <w:sz w:val="20"/>
          <w:szCs w:val="20"/>
          <w:u w:val="none"/>
        </w:rPr>
        <w:tab/>
        <w:tab/>
        <w:t xml:space="preserve">alertent sur le nombre important de </w:t>
      </w:r>
      <w:r>
        <w:rPr>
          <w:b/>
          <w:bCs/>
          <w:color w:val="579D1C"/>
          <w:sz w:val="20"/>
          <w:szCs w:val="20"/>
          <w:u w:val="none"/>
        </w:rPr>
        <w:t>refus de formation</w:t>
      </w:r>
      <w:r>
        <w:rPr>
          <w:b w:val="false"/>
          <w:bCs w:val="false"/>
          <w:color w:val="000000"/>
          <w:sz w:val="20"/>
          <w:szCs w:val="20"/>
          <w:u w:val="none"/>
        </w:rPr>
        <w:t xml:space="preserve"> ainsi que du taux élevé d’</w:t>
      </w:r>
      <w:r>
        <w:rPr>
          <w:b/>
          <w:bCs/>
          <w:color w:val="579D1C"/>
          <w:sz w:val="20"/>
          <w:szCs w:val="20"/>
          <w:u w:val="none"/>
        </w:rPr>
        <w:t>absentéisme</w:t>
      </w:r>
      <w:r>
        <w:rPr>
          <w:b w:val="false"/>
          <w:bCs w:val="false"/>
          <w:color w:val="000000"/>
          <w:sz w:val="20"/>
          <w:szCs w:val="20"/>
          <w:u w:val="none"/>
        </w:rPr>
        <w:t> : symptôme de tension entre manque d’effectif et disponibilité des agents pour se former</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Snac-Fsu</w:t>
        <w:tab/>
      </w:r>
      <w:r>
        <w:rPr>
          <w:b w:val="false"/>
          <w:bCs w:val="false"/>
          <w:color w:val="000000"/>
          <w:sz w:val="20"/>
          <w:szCs w:val="20"/>
          <w:u w:val="none"/>
        </w:rPr>
        <w:tab/>
        <w:t>bravo pour niveau élevé d’information dans le bilan présenté (ex. niveaux T1, T2, T3 indiqués ; raisons de refus listées et quantifiées, …)</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ab/>
        <w:t>&gt; demande ce même niveau d’information pour tous les bilans/restitutions présentés, et une uniformisation des données (rubriques, précision, …) + globalement, possibilité d’imprimer en N/B avec tjrs information lisible.</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FG</w:t>
      </w:r>
      <w:r>
        <w:rPr>
          <w:b w:val="false"/>
          <w:bCs w:val="false"/>
          <w:color w:val="000000"/>
          <w:sz w:val="20"/>
          <w:szCs w:val="20"/>
          <w:u w:val="none"/>
        </w:rPr>
        <w:tab/>
        <w:t>continuera à s’y atteler (gros travail déjà fait + bilans différents repris par le SG avant transmission)</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8"/>
          <w:szCs w:val="28"/>
          <w:u w:val="single"/>
        </w:rPr>
        <w:t>BNF</w:t>
      </w:r>
      <w:r>
        <w:rPr>
          <w:b w:val="false"/>
          <w:bCs w:val="false"/>
          <w:color w:val="000000"/>
          <w:sz w:val="20"/>
          <w:szCs w:val="20"/>
          <w:u w:val="none"/>
        </w:rPr>
        <w:tab/>
        <w:t>présente son bilan et en dégage les domaines majeurs + baisse du nombre de préparations-concours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CGT (SP)</w:t>
      </w:r>
      <w:r>
        <w:rPr>
          <w:b w:val="false"/>
          <w:bCs w:val="false"/>
          <w:color w:val="000000"/>
          <w:sz w:val="20"/>
          <w:szCs w:val="20"/>
          <w:u w:val="none"/>
        </w:rPr>
        <w:tab/>
        <w:t>id. remarques qu’au CT-BNF d’avril : amélioration depuis 2014 (hausses du budget et des formations) ; attention au décalage entre budget prévu et consommé &gt; à utiliser ; amélioration de la fréquentation de la catégorie C</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CFDT (Arnaud)</w:t>
      </w:r>
      <w:r>
        <w:rPr>
          <w:b w:val="false"/>
          <w:bCs w:val="false"/>
          <w:color w:val="000000"/>
          <w:sz w:val="20"/>
          <w:szCs w:val="20"/>
          <w:u w:val="none"/>
        </w:rPr>
        <w:tab/>
        <w:t>informe que le forum des formations aura aussi lieu sur le site Richelieu (comme à Fmitterand) = important de penser aux agents de tous les sites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Sud ?</w:t>
      </w:r>
      <w:r>
        <w:rPr>
          <w:b w:val="false"/>
          <w:bCs w:val="false"/>
          <w:color w:val="000000"/>
          <w:sz w:val="20"/>
          <w:szCs w:val="20"/>
          <w:u w:val="none"/>
        </w:rPr>
        <w:tab/>
        <w:t>BNF : la seule à avoir préparé le concours Sauvadet catégorie C (suite MCC avait trouvé trop chère sa préparation...&gt; pas pris en charge son organisation)</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8"/>
          <w:u w:val="single"/>
          <w:b/>
          <w:sz w:val="28"/>
          <w:b/>
          <w:szCs w:val="28"/>
          <w:bCs/>
          <w:color w:val="000000"/>
        </w:rPr>
      </w:pPr>
      <w:r>
        <w:rPr>
          <w:b/>
          <w:bCs/>
          <w:color w:val="000000"/>
          <w:sz w:val="28"/>
          <w:szCs w:val="28"/>
          <w:u w:val="single"/>
        </w:rPr>
        <w:t>DGMIC</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SLL (service livre &amp; lecture)</w:t>
      </w:r>
      <w:r>
        <w:rPr>
          <w:b w:val="false"/>
          <w:bCs w:val="false"/>
          <w:color w:val="000000"/>
          <w:sz w:val="20"/>
          <w:szCs w:val="20"/>
          <w:u w:val="none"/>
        </w:rPr>
        <w:t> : constat d’un bilan léger pour 2014 cause arrivées tardives des demandes (candidatures)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Snac-Fsu</w:t>
        <w:tab/>
      </w:r>
      <w:r>
        <w:rPr>
          <w:b w:val="false"/>
          <w:bCs w:val="false"/>
          <w:color w:val="000000"/>
          <w:sz w:val="20"/>
          <w:szCs w:val="20"/>
          <w:u w:val="none"/>
        </w:rPr>
        <w:tab/>
        <w:t xml:space="preserve">petit effectif/offre réduite + sujet connexe à celui de la BNF : </w:t>
        <w:br/>
        <w:tab/>
        <w:tab/>
        <w:t>pourquoi pas un rapprochement ?</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DGMIC</w:t>
      </w:r>
      <w:r>
        <w:rPr>
          <w:b w:val="false"/>
          <w:bCs w:val="false"/>
          <w:color w:val="000000"/>
          <w:sz w:val="20"/>
          <w:szCs w:val="20"/>
          <w:u w:val="none"/>
        </w:rPr>
        <w:t xml:space="preserve"> </w:t>
        <w:tab/>
        <w:tab/>
        <w:t>pas même terrain, ni même public, missions différentes par rapport à la BNF</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CGT</w:t>
      </w:r>
      <w:r>
        <w:rPr>
          <w:b w:val="false"/>
          <w:bCs w:val="false"/>
          <w:color w:val="000000"/>
          <w:sz w:val="20"/>
          <w:szCs w:val="20"/>
          <w:u w:val="none"/>
        </w:rPr>
        <w:tab/>
        <w:t>pourquoi baisse ?</w:t>
        <w:br/>
        <w:tab/>
        <w:t>+ rappel der commission : offre via Enssib (Lyon) = pb déplacement amène des désistements régulièrement</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DGMIC</w:t>
      </w:r>
      <w:r>
        <w:rPr>
          <w:b w:val="false"/>
          <w:bCs w:val="false"/>
          <w:color w:val="000000"/>
          <w:sz w:val="20"/>
          <w:szCs w:val="20"/>
          <w:u w:val="none"/>
        </w:rPr>
        <w:tab/>
        <w:t>mise en place récente d’une veille électronique territoriale : permet dorénavant de recueillir les besoins au plus près des agents sur le terrain</w:t>
        <w:br/>
        <w:tab/>
        <w:t>+ non, peu de désistements (en forte baisse pour 2014, contrairement à 2013)</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CFDT</w:t>
      </w:r>
      <w:r>
        <w:rPr>
          <w:b/>
          <w:bCs/>
          <w:color w:val="000000"/>
          <w:sz w:val="20"/>
          <w:szCs w:val="20"/>
          <w:u w:val="none"/>
        </w:rPr>
        <w:tab/>
      </w:r>
      <w:r>
        <w:rPr>
          <w:b w:val="false"/>
          <w:bCs w:val="false"/>
          <w:color w:val="000000"/>
          <w:sz w:val="20"/>
          <w:szCs w:val="20"/>
          <w:u w:val="none"/>
        </w:rPr>
        <w:t>précise que les formations initiales des conservateurs territoriaux ne sont plus organisées par la DGMIC</w:t>
        <w:br/>
        <w:tab/>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CGT (V.Renaud)</w:t>
      </w:r>
      <w:r>
        <w:rPr>
          <w:b w:val="false"/>
          <w:bCs w:val="false"/>
          <w:color w:val="000000"/>
          <w:sz w:val="20"/>
          <w:szCs w:val="20"/>
          <w:u w:val="none"/>
        </w:rPr>
        <w:tab/>
        <w:t>erreur stratégique du MCC de ne consacrer que trop peu de moyens à tout le pan « média » de la DGMIC</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DGMIC</w:t>
      </w:r>
      <w:r>
        <w:rPr>
          <w:b/>
          <w:bCs/>
          <w:color w:val="000000"/>
          <w:sz w:val="20"/>
          <w:szCs w:val="20"/>
          <w:u w:val="none"/>
        </w:rPr>
        <w:tab/>
      </w:r>
      <w:r>
        <w:rPr>
          <w:b w:val="false"/>
          <w:bCs w:val="false"/>
          <w:color w:val="000000"/>
          <w:sz w:val="20"/>
          <w:szCs w:val="20"/>
          <w:u w:val="none"/>
        </w:rPr>
        <w:tab/>
        <w:t>évolution notable  du budget (5000 € pour 2015) correspondant à forte demande</w:t>
        <w:br/>
        <w:tab/>
        <w:tab/>
        <w:t xml:space="preserve">pb suite LRU (loi recherche universités) &gt; création de 12 </w:t>
      </w:r>
      <w:bookmarkStart w:id="1" w:name="__DdeLink__612_385908298"/>
      <w:r>
        <w:rPr>
          <w:b w:val="false"/>
          <w:bCs w:val="false"/>
          <w:color w:val="000000"/>
          <w:sz w:val="20"/>
          <w:szCs w:val="20"/>
          <w:u w:val="none"/>
        </w:rPr>
        <w:t>CRF (centre régionaux de formation)</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NB : CFPIC : centre de formation professionnelle de l’information et de la communication</w:t>
      </w:r>
      <w:bookmarkEnd w:id="1"/>
      <w:r>
        <w:rPr>
          <w:b w:val="false"/>
          <w:bCs w:val="false"/>
          <w:color w:val="000000"/>
          <w:sz w:val="20"/>
          <w:szCs w:val="20"/>
          <w:u w:val="none"/>
        </w:rPr>
        <w:b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 xml:space="preserve">Snac-Fsu : </w:t>
      </w:r>
      <w:r>
        <w:rPr>
          <w:b w:val="false"/>
          <w:bCs w:val="false"/>
          <w:color w:val="000000"/>
          <w:sz w:val="20"/>
          <w:szCs w:val="20"/>
          <w:u w:val="none"/>
        </w:rPr>
        <w:tab/>
        <w:t>ex. Louvre, CNC, ...= formats différent de fiche d’évaluation</w:t>
        <w:br/>
        <w:tab/>
        <w:tab/>
        <w:t>question de l’uniformisation des fiches d’évaluation à venir pour les centraliser &amp; informatiser</w:t>
        <w:br/>
        <w:tab/>
        <w:tab/>
        <w:t xml:space="preserve">+ </w:t>
      </w:r>
      <w:r>
        <w:rPr>
          <w:b/>
          <w:bCs/>
          <w:color w:val="579D1C"/>
          <w:sz w:val="20"/>
          <w:szCs w:val="20"/>
          <w:u w:val="none"/>
        </w:rPr>
        <w:t>CPF (compte personnel de formation)</w:t>
      </w:r>
      <w:r>
        <w:rPr>
          <w:b w:val="false"/>
          <w:bCs w:val="false"/>
          <w:color w:val="000000"/>
          <w:sz w:val="20"/>
          <w:szCs w:val="20"/>
          <w:u w:val="none"/>
        </w:rPr>
        <w:t>, déjà appliqué dans le privé &gt; ? prévu – quel calendrier – dans le public ( ? DGAFP)</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pPr>
      <w:r>
        <w:rPr>
          <w:b/>
          <w:bCs/>
          <w:color w:val="000000"/>
          <w:sz w:val="20"/>
          <w:szCs w:val="20"/>
          <w:u w:val="single"/>
        </w:rPr>
        <w:t>C. Chérie</w:t>
        <w:tab/>
        <w:t xml:space="preserve"> : </w:t>
      </w:r>
      <w:r>
        <w:rPr>
          <w:b w:val="false"/>
          <w:bCs w:val="false"/>
          <w:color w:val="000000"/>
          <w:sz w:val="20"/>
          <w:szCs w:val="20"/>
          <w:u w:val="none"/>
        </w:rPr>
        <w:tab/>
        <w:t>application « Renoi</w:t>
      </w:r>
      <w:r>
        <w:rPr>
          <w:b w:val="false"/>
          <w:bCs w:val="false"/>
          <w:color w:val="000000"/>
          <w:sz w:val="20"/>
          <w:szCs w:val="20"/>
          <w:u w:val="none"/>
        </w:rPr>
        <w:t>RH</w:t>
      </w:r>
      <w:r>
        <w:rPr>
          <w:b w:val="false"/>
          <w:bCs w:val="false"/>
          <w:color w:val="000000"/>
          <w:sz w:val="20"/>
          <w:szCs w:val="20"/>
          <w:u w:val="none"/>
        </w:rPr>
        <w:t> » uniformise les actes = seules les fiches T2 (admin. Centrale) y seront traitées</w:t>
        <w:br/>
        <w:t xml:space="preserve"> </w:t>
        <w:tab/>
        <w:tab/>
        <w:t>CPF pas encore prévu, pas d’actualité à la DGAFP là-dessus</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ab/>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CFDT (Arnaud)</w:t>
      </w:r>
      <w:r>
        <w:rPr>
          <w:b w:val="false"/>
          <w:bCs w:val="false"/>
          <w:color w:val="000000"/>
          <w:sz w:val="20"/>
          <w:szCs w:val="20"/>
          <w:u w:val="none"/>
        </w:rPr>
        <w:tab/>
        <w:t>demande uniformisation aussi avec les fiches de l’enseignement sup. &amp; rech., pour les personnels de bibliothèque</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8"/>
          <w:szCs w:val="28"/>
          <w:u w:val="single"/>
        </w:rPr>
        <w:t>DGCA</w:t>
      </w:r>
      <w:r>
        <w:rPr>
          <w:b w:val="false"/>
          <w:bCs w:val="false"/>
          <w:color w:val="000000"/>
          <w:sz w:val="20"/>
          <w:szCs w:val="20"/>
          <w:u w:val="none"/>
        </w:rPr>
        <w:tab/>
        <w:t>18000 € pour 2014 (33500 € en 2015)</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Sud</w:t>
      </w:r>
      <w:r>
        <w:rPr>
          <w:b w:val="false"/>
          <w:bCs w:val="false"/>
          <w:color w:val="000000"/>
          <w:sz w:val="20"/>
          <w:szCs w:val="20"/>
          <w:u w:val="none"/>
        </w:rPr>
        <w:tab/>
        <w:t>quid nombre de jours de formation ?</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Quel bilan pour les personnels des écoles (d’art, d’archi., …) ?</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pb compatibilité des outils entre établissements</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liens avec l’éducation nationale ?</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Avait pu lire (der CTM) sur le budget formation : passé de 350 à 650 €/agent</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N. Alim</w:t>
      </w:r>
      <w:r>
        <w:rPr>
          <w:b w:val="false"/>
          <w:bCs w:val="false"/>
          <w:color w:val="000000"/>
          <w:sz w:val="20"/>
          <w:szCs w:val="20"/>
          <w:u w:val="none"/>
        </w:rPr>
        <w:tab/>
        <w:t>budget : en hausse</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écoles : en effet, liens difficiles (ne répondent pas...) &gt; articulation compliquée</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t>professeurs : réflexion en cours pour des formations adaptées</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ab/>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8"/>
          <w:szCs w:val="28"/>
          <w:u w:val="single"/>
        </w:rPr>
        <w:t xml:space="preserve">Questions diverses </w:t>
      </w:r>
      <w:r>
        <w:rPr>
          <w:b w:val="false"/>
          <w:bCs w:val="false"/>
          <w:color w:val="000000"/>
          <w:sz w:val="20"/>
          <w:szCs w:val="20"/>
          <w:u w:val="none"/>
        </w:rPr>
        <w:t>(avant pause déj. + HMI démarre à Pyramide a/s pb immobilier AC – Bons-enfants)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CGT</w:t>
      </w:r>
      <w:r>
        <w:rPr>
          <w:b w:val="false"/>
          <w:bCs w:val="false"/>
          <w:color w:val="000000"/>
          <w:sz w:val="20"/>
          <w:szCs w:val="20"/>
          <w:u w:val="none"/>
        </w:rPr>
        <w:tab/>
        <w:t>a/s coût des salles de formation louées à Formeret : marché renouvelé en 2013 alors que très cher</w:t>
        <w:br/>
        <w:tab/>
        <w:t>+ niveau de prestation pour les formation-langues = vieillot et sans intérêt</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NB : marché de 4 ans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FG</w:t>
      </w:r>
      <w:r>
        <w:rPr>
          <w:b w:val="false"/>
          <w:bCs w:val="false"/>
          <w:color w:val="000000"/>
          <w:sz w:val="20"/>
          <w:szCs w:val="20"/>
          <w:u w:val="none"/>
        </w:rPr>
        <w:tab/>
        <w:t>répond qu’une négociation serrée a permis de baisser les coûts en 2014 mais aucun prestataire de salles, dans le quartier (obligatoire sinon coût en temps et transport), ne propose le même niveau de prestation</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bCs/>
          <w:color w:val="000000"/>
          <w:sz w:val="20"/>
          <w:szCs w:val="20"/>
          <w:u w:val="single"/>
        </w:rPr>
        <w:t>N. Astien</w:t>
      </w:r>
      <w:r>
        <w:rPr>
          <w:b w:val="false"/>
          <w:bCs w:val="false"/>
          <w:color w:val="000000"/>
          <w:sz w:val="20"/>
          <w:szCs w:val="20"/>
          <w:u w:val="none"/>
        </w:rPr>
        <w:tab/>
        <w:t>13 marchés renouvelés en 2015 = gros travail supplémentaire pour l’équipe</w:t>
      </w:r>
      <w:r/>
    </w:p>
    <w:p>
      <w:pPr>
        <w:pStyle w:val="ListParagraph"/>
        <w:widowControl/>
        <w:tabs>
          <w:tab w:val="left" w:pos="750" w:leader="none"/>
        </w:tabs>
        <w:suppressAutoHyphens w:val="true"/>
        <w:spacing w:lineRule="atLeast" w:line="115" w:before="0" w:after="0"/>
        <w:ind w:left="0" w:right="0" w:hanging="0"/>
        <w:contextualSpacing/>
        <w:rPr>
          <w:sz w:val="20"/>
          <w:u w:val="none"/>
          <w:b w:val="false"/>
          <w:sz w:val="20"/>
          <w:b w:val="false"/>
          <w:szCs w:val="20"/>
          <w:bCs w:val="false"/>
          <w:color w:val="000000"/>
        </w:rPr>
      </w:pPr>
      <w:r>
        <w:rPr>
          <w:b w:val="false"/>
          <w:bCs w:val="false"/>
          <w:color w:val="000000"/>
          <w:sz w:val="20"/>
          <w:szCs w:val="20"/>
          <w:u w:val="none"/>
        </w:rPr>
        <w:t>+ langues = pédagogies renouvelées</w:t>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rPr>
          <w:sz w:val="22"/>
          <w:sz w:val="22"/>
          <w:szCs w:val="22"/>
          <w:rFonts w:ascii="Calibri" w:hAnsi="Calibri" w:eastAsia="Lucida Sans Unicode" w:cs="Calibri"/>
          <w:color w:val="00000A"/>
          <w:lang w:val="fr-FR" w:eastAsia="en-US" w:bidi="ar-SA"/>
        </w:rPr>
      </w:pPr>
      <w:r>
        <w:rPr/>
      </w:r>
      <w:r/>
    </w:p>
    <w:p>
      <w:pPr>
        <w:pStyle w:val="ListParagraph"/>
        <w:widowControl/>
        <w:tabs>
          <w:tab w:val="left" w:pos="750" w:leader="none"/>
        </w:tabs>
        <w:suppressAutoHyphens w:val="true"/>
        <w:spacing w:lineRule="atLeast" w:line="115" w:before="0" w:after="0"/>
        <w:ind w:left="0" w:right="0" w:hanging="0"/>
        <w:contextualSpacing/>
      </w:pPr>
      <w:r>
        <w:rPr>
          <w:b w:val="false"/>
          <w:bCs w:val="false"/>
          <w:color w:val="000000"/>
          <w:sz w:val="20"/>
          <w:szCs w:val="20"/>
          <w:u w:val="none"/>
        </w:rPr>
        <w:t>séance poursuivie l’après-midi sans le Snac-Fsu...</w:t>
      </w:r>
      <w:r/>
    </w:p>
    <w:sectPr>
      <w:headerReference w:type="even" r:id="rId2"/>
      <w:headerReference w:type="default" r:id="rId3"/>
      <w:footerReference w:type="even" r:id="rId4"/>
      <w:footerReference w:type="default" r:id="rId5"/>
      <w:type w:val="nextPage"/>
      <w:pgSz w:w="11906" w:h="16838"/>
      <w:pgMar w:left="1417" w:right="1417" w:header="708" w:top="1417" w:footer="283" w:bottom="992" w:gutter="0"/>
      <w:pgNumType w:fmt="decimal"/>
      <w:formProt w:val="false"/>
      <w:textDirection w:val="lrTb"/>
      <w:docGrid w:type="default" w:linePitch="50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both"/>
      <w:rPr>
        <w:sz w:val="18"/>
        <w:sz w:val="18"/>
        <w:szCs w:val="18"/>
        <w:rFonts w:ascii="Calibri" w:hAnsi="Calibri" w:eastAsia="Lucida Sans Unicode" w:cs="Calibri"/>
        <w:color w:val="00000A"/>
        <w:lang w:val="fr-FR" w:eastAsia="en-US" w:bidi="ar-SA"/>
      </w:rPr>
    </w:pPr>
    <w:r>
      <w:rPr>
        <w:sz w:val="18"/>
        <w:szCs w:val="18"/>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both"/>
      <w:rPr>
        <w:sz w:val="22"/>
        <w:sz w:val="22"/>
        <w:szCs w:val="22"/>
        <w:rFonts w:ascii="Calibri" w:hAnsi="Calibri" w:eastAsia="Lucida Sans Unicode" w:cs="Calibri"/>
        <w:color w:val="00000A"/>
        <w:lang w:val="fr-FR" w:eastAsia="en-US" w:bidi="ar-SA"/>
      </w:rPr>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sz w:val="22"/>
        <w:sz w:val="22"/>
        <w:szCs w:val="22"/>
        <w:rFonts w:ascii="Calibri" w:hAnsi="Calibri" w:eastAsia="Lucida Sans Unicode" w:cs="Calibri"/>
        <w:color w:val="00000A"/>
        <w:lang w:val="fr-FR" w:eastAsia="en-US" w:bidi="ar-SA"/>
      </w:rPr>
    </w:pPr>
    <w:r>
      <w:rPr/>
    </w:r>
    <w:r/>
  </w:p>
</w:hdr>
</file>

<file path=word/settings.xml><?xml version="1.0" encoding="utf-8"?>
<w:settings xmlns:w="http://schemas.openxmlformats.org/wordprocessingml/2006/main">
  <w:zoom w:percent="100"/>
  <w:defaultTabStop w:val="708"/>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fr-FR" w:eastAsia="zh-CN" w:bidi="hi-IN"/>
      </w:rPr>
    </w:rPrDefault>
    <w:pPrDefault>
      <w:pPr/>
    </w:pPrDefault>
  </w:docDefaults>
  <w:style w:type="paragraph" w:styleId="Normal">
    <w:name w:val="Normal"/>
    <w:pPr>
      <w:widowControl/>
      <w:suppressAutoHyphens w:val="true"/>
      <w:bidi w:val="0"/>
      <w:spacing w:lineRule="auto" w:line="276" w:before="0" w:after="200"/>
      <w:jc w:val="left"/>
    </w:pPr>
    <w:rPr>
      <w:rFonts w:ascii="Calibri" w:hAnsi="Calibri" w:eastAsia="Lucida Sans Unicode" w:cs="Calibri"/>
      <w:color w:val="00000A"/>
      <w:sz w:val="22"/>
      <w:szCs w:val="22"/>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name w:val="Default Paragraph Font"/>
    <w:rPr/>
  </w:style>
  <w:style w:type="character" w:styleId="EntteCar">
    <w:name w:val="En-tête Car"/>
    <w:basedOn w:val="DefaultParagraphFont"/>
    <w:rPr/>
  </w:style>
  <w:style w:type="character" w:styleId="PieddepageCar">
    <w:name w:val="Pied de page Car"/>
    <w:basedOn w:val="DefaultParagraphFont"/>
    <w:rPr/>
  </w:style>
  <w:style w:type="character" w:styleId="ListLabel1">
    <w:name w:val="ListLabel 1"/>
    <w:rPr>
      <w:rFonts w:cs="Calibri"/>
    </w:rPr>
  </w:style>
  <w:style w:type="character" w:styleId="ListLabel2">
    <w:name w:val="ListLabel 2"/>
    <w:rPr>
      <w:rFonts w:cs="Courier New"/>
    </w:rPr>
  </w:style>
  <w:style w:type="character" w:styleId="ListLabel3">
    <w:name w:val="ListLabel 3"/>
    <w:rPr>
      <w:rFonts w:cs="Calibri"/>
    </w:rPr>
  </w:style>
  <w:style w:type="character" w:styleId="ListLabel4">
    <w:name w:val="ListLabel 4"/>
    <w:rPr>
      <w:rFonts w:cs="Courier New"/>
    </w:rPr>
  </w:style>
  <w:style w:type="character" w:styleId="ListLabel5">
    <w:name w:val="ListLabel 5"/>
    <w:rPr>
      <w:rFonts w:cs="Wingdings"/>
    </w:rPr>
  </w:style>
  <w:style w:type="character" w:styleId="ListLabel6">
    <w:name w:val="ListLabel 6"/>
    <w:rPr>
      <w:rFonts w:cs="Symbol"/>
    </w:rPr>
  </w:style>
  <w:style w:type="character" w:styleId="ListLabel7">
    <w:name w:val="ListLabel 7"/>
    <w:rPr>
      <w:rFonts w:cs="Calibri"/>
    </w:rPr>
  </w:style>
  <w:style w:type="character" w:styleId="ListLabel8">
    <w:name w:val="ListLabel 8"/>
    <w:rPr>
      <w:rFonts w:cs="Courier New"/>
    </w:rPr>
  </w:style>
  <w:style w:type="character" w:styleId="ListLabel9">
    <w:name w:val="ListLabel 9"/>
    <w:rPr>
      <w:rFonts w:cs="Wingdings"/>
    </w:rPr>
  </w:style>
  <w:style w:type="character" w:styleId="ListLabel10">
    <w:name w:val="ListLabel 10"/>
    <w:rPr>
      <w:rFonts w:cs="Symbol"/>
    </w:rPr>
  </w:style>
  <w:style w:type="character" w:styleId="ListLabel11">
    <w:name w:val="ListLabel 11"/>
    <w:rPr>
      <w:rFonts w:cs="Calibri"/>
    </w:rPr>
  </w:style>
  <w:style w:type="character" w:styleId="ListLabel12">
    <w:name w:val="ListLabel 12"/>
    <w:rPr>
      <w:rFonts w:cs="Courier New"/>
    </w:rPr>
  </w:style>
  <w:style w:type="character" w:styleId="ListLabel13">
    <w:name w:val="ListLabel 13"/>
    <w:rPr>
      <w:rFonts w:cs="Wingdings"/>
    </w:rPr>
  </w:style>
  <w:style w:type="character" w:styleId="ListLabel14">
    <w:name w:val="ListLabel 14"/>
    <w:rPr>
      <w:rFonts w:cs="Symbol"/>
    </w:rPr>
  </w:style>
  <w:style w:type="paragraph" w:styleId="Titre">
    <w:name w:val="Titre"/>
    <w:basedOn w:val="Normal"/>
    <w:next w:val="Corpsdetexte"/>
    <w:pPr>
      <w:keepNext/>
      <w:spacing w:before="240" w:after="120"/>
    </w:pPr>
    <w:rPr>
      <w:rFonts w:ascii="Liberation Sans" w:hAnsi="Liberation Sans" w:eastAsia="Lucida Sans Unicode" w:cs="Mangal"/>
      <w:sz w:val="28"/>
      <w:szCs w:val="28"/>
    </w:rPr>
  </w:style>
  <w:style w:type="paragraph" w:styleId="Corpsdetexte">
    <w:name w:val="Corps de texte"/>
    <w:basedOn w:val="Normal"/>
    <w:pPr>
      <w:spacing w:lineRule="auto" w:line="288" w:before="0" w:after="120"/>
    </w:pPr>
    <w:rPr/>
  </w:style>
  <w:style w:type="paragraph" w:styleId="Liste">
    <w:name w:val="Liste"/>
    <w:basedOn w:val="Corpsdetexte"/>
    <w:pPr/>
    <w:rPr>
      <w:rFonts w:ascii="Liberation Sans" w:hAnsi="Liberation Sans" w:cs="Mangal"/>
    </w:rPr>
  </w:style>
  <w:style w:type="paragraph" w:styleId="Lgende">
    <w:name w:val="Légende"/>
    <w:basedOn w:val="Normal"/>
    <w:pPr>
      <w:suppressLineNumbers/>
      <w:spacing w:before="120" w:after="120"/>
    </w:pPr>
    <w:rPr>
      <w:rFonts w:ascii="Liberation Sans" w:hAnsi="Liberation Sans" w:cs="Mangal"/>
      <w:i/>
      <w:iCs/>
      <w:sz w:val="24"/>
      <w:szCs w:val="24"/>
    </w:rPr>
  </w:style>
  <w:style w:type="paragraph" w:styleId="Index">
    <w:name w:val="Index"/>
    <w:basedOn w:val="Normal"/>
    <w:pPr>
      <w:suppressLineNumbers/>
    </w:pPr>
    <w:rPr>
      <w:rFonts w:ascii="Liberation Sans" w:hAnsi="Liberation Sans" w:cs="Mangal"/>
    </w:rPr>
  </w:style>
  <w:style w:type="paragraph" w:styleId="Entte">
    <w:name w:val="En-tête"/>
    <w:basedOn w:val="Normal"/>
    <w:pPr>
      <w:tabs>
        <w:tab w:val="center" w:pos="4536" w:leader="none"/>
        <w:tab w:val="right" w:pos="9072" w:leader="none"/>
      </w:tabs>
      <w:spacing w:lineRule="atLeast" w:line="100" w:before="0" w:after="0"/>
    </w:pPr>
    <w:rPr/>
  </w:style>
  <w:style w:type="paragraph" w:styleId="Pieddepage">
    <w:name w:val="Pied de page"/>
    <w:basedOn w:val="Normal"/>
    <w:pPr>
      <w:tabs>
        <w:tab w:val="center" w:pos="4536" w:leader="none"/>
        <w:tab w:val="right" w:pos="9072" w:leader="none"/>
      </w:tabs>
      <w:spacing w:lineRule="atLeast" w:line="100" w:before="0" w:after="0"/>
    </w:pPr>
    <w:rPr/>
  </w:style>
  <w:style w:type="paragraph" w:styleId="ListParagraph">
    <w:name w:val="List Paragraph"/>
    <w:basedOn w:val="Normal"/>
    <w:pPr>
      <w:spacing w:before="0" w:after="200"/>
      <w:ind w:left="720" w:right="0" w:hanging="0"/>
      <w:contextualSpacing/>
    </w:pPr>
    <w:rPr/>
  </w:style>
  <w:style w:type="paragraph" w:styleId="Citation">
    <w:name w:val="Citation"/>
    <w:basedOn w:val="Normal"/>
    <w:pPr/>
    <w:rPr/>
  </w:style>
  <w:style w:type="paragraph" w:styleId="Titreprincipal">
    <w:name w:val="Titre principal"/>
    <w:basedOn w:val="Titre"/>
    <w:pPr/>
    <w:rPr/>
  </w:style>
  <w:style w:type="paragraph" w:styleId="Soustitre">
    <w:name w:val="Sous-titre"/>
    <w:basedOn w:val="Titre"/>
    <w:pPr/>
    <w:rPr/>
  </w:style>
  <w:style w:type="paragraph" w:styleId="Contenudecadre">
    <w:name w:val="Contenu de cadre"/>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85</TotalTime>
  <Application>LibreOffice/4.3.7.2$Windows_x86 LibreOffice_project/8a35821d8636a03b8bf4e15b48f59794652c68ba</Application>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2015-02-06T13:04:00Z</dcterms:created>
  <dc:creator>Hamelin Laurence</dc:creator>
  <dc:language>fr-FR</dc:language>
  <dcterms:modified xsi:type="dcterms:W3CDTF">2016-02-29T11:26:22Z</dcterms:modified>
  <cp:revision>6</cp:revision>
</cp:coreProperties>
</file>