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glossary/_rels/document.xml.rels" ContentType="application/vnd.openxmlformats-package.relationship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pPr>
      <w:r>
        <w:rPr>
          <w:b w:val="false"/>
          <w:bCs w:val="false"/>
          <w:u w:val="single"/>
        </w:rPr>
        <w:t>Préparation commission formation MCC - 1</w:t>
      </w:r>
      <w:r>
        <w:rPr>
          <w:b w:val="false"/>
          <w:bCs w:val="false"/>
          <w:u w:val="single"/>
          <w:vertAlign w:val="superscript"/>
        </w:rPr>
        <w:t>er</w:t>
      </w:r>
      <w:r>
        <w:rPr>
          <w:b w:val="false"/>
          <w:bCs w:val="false"/>
          <w:u w:val="single"/>
        </w:rPr>
        <w:t xml:space="preserve"> juillet 2016</w:t>
      </w:r>
      <w:r/>
    </w:p>
    <w:p>
      <w:pPr>
        <w:pStyle w:val="ListParagraph"/>
        <w:numPr>
          <w:ilvl w:val="0"/>
          <w:numId w:val="1"/>
        </w:numPr>
        <w:spacing w:lineRule="auto" w:line="240" w:before="0" w:after="0"/>
      </w:pPr>
      <w:r>
        <w:rPr>
          <w:b w:val="false"/>
          <w:bCs w:val="false"/>
          <w:sz w:val="18"/>
          <w:szCs w:val="18"/>
        </w:rPr>
        <w:t xml:space="preserve">la note de </w:t>
      </w:r>
      <w:r>
        <w:rPr>
          <w:b/>
          <w:bCs/>
          <w:sz w:val="18"/>
          <w:szCs w:val="18"/>
        </w:rPr>
        <w:t>présentation du bilan 2015 de la formation professionnelle</w:t>
      </w:r>
      <w:r>
        <w:rPr>
          <w:b w:val="false"/>
          <w:bCs w:val="false"/>
          <w:sz w:val="18"/>
          <w:szCs w:val="18"/>
        </w:rPr>
        <w:t xml:space="preserve"> pour l'ensemble du ministère et </w:t>
      </w:r>
      <w:r>
        <w:rPr>
          <w:b/>
          <w:bCs/>
          <w:sz w:val="18"/>
          <w:szCs w:val="18"/>
        </w:rPr>
        <w:t>ses annexes</w:t>
      </w:r>
      <w:r>
        <w:rPr>
          <w:b w:val="false"/>
          <w:bCs w:val="false"/>
          <w:sz w:val="18"/>
          <w:szCs w:val="18"/>
        </w:rPr>
        <w:t xml:space="preserve"> ;</w:t>
      </w:r>
      <w:r/>
    </w:p>
    <w:p>
      <w:pPr>
        <w:pStyle w:val="ListParagraph"/>
        <w:numPr>
          <w:ilvl w:val="0"/>
          <w:numId w:val="1"/>
        </w:numPr>
        <w:spacing w:lineRule="auto" w:line="240" w:before="0" w:after="0"/>
      </w:pPr>
      <w:r>
        <w:rPr>
          <w:b w:val="false"/>
          <w:bCs w:val="false"/>
          <w:sz w:val="18"/>
          <w:szCs w:val="18"/>
        </w:rPr>
        <w:t xml:space="preserve">le </w:t>
      </w:r>
      <w:r>
        <w:rPr>
          <w:b/>
          <w:bCs/>
          <w:sz w:val="18"/>
          <w:szCs w:val="18"/>
        </w:rPr>
        <w:t>projet de note d'orientation pluriannuelle</w:t>
      </w:r>
      <w:r>
        <w:rPr>
          <w:b w:val="false"/>
          <w:bCs w:val="false"/>
          <w:sz w:val="18"/>
          <w:szCs w:val="18"/>
        </w:rPr>
        <w:t xml:space="preserve"> de la formation professionnelle continue pour la période 2017-2019 ;</w:t>
      </w:r>
      <w:r/>
    </w:p>
    <w:p>
      <w:pPr>
        <w:pStyle w:val="ListParagraph"/>
        <w:numPr>
          <w:ilvl w:val="0"/>
          <w:numId w:val="1"/>
        </w:numPr>
        <w:spacing w:lineRule="auto" w:line="240" w:before="0" w:after="0"/>
      </w:pPr>
      <w:r>
        <w:rPr>
          <w:b w:val="false"/>
          <w:bCs w:val="false"/>
          <w:sz w:val="18"/>
          <w:szCs w:val="18"/>
        </w:rPr>
        <w:t xml:space="preserve">le </w:t>
      </w:r>
      <w:r>
        <w:rPr>
          <w:b/>
          <w:bCs/>
          <w:sz w:val="18"/>
          <w:szCs w:val="18"/>
        </w:rPr>
        <w:t>compte-rendu de la réunion du groupe de travail</w:t>
      </w:r>
      <w:r>
        <w:rPr>
          <w:b w:val="false"/>
          <w:bCs w:val="false"/>
          <w:sz w:val="18"/>
          <w:szCs w:val="18"/>
        </w:rPr>
        <w:t xml:space="preserve"> de la commission formation du 10 mai dernier</w:t>
      </w:r>
      <w:r/>
    </w:p>
    <w:p>
      <w:pPr>
        <w:pStyle w:val="ListParagraph"/>
        <w:numPr>
          <w:ilvl w:val="0"/>
          <w:numId w:val="0"/>
        </w:numPr>
        <w:spacing w:lineRule="auto" w:line="240" w:before="0" w:after="0"/>
        <w:ind w:left="720" w:hanging="0"/>
        <w:contextualSpacing/>
        <w:rPr>
          <w:sz w:val="18"/>
          <w:sz w:val="18"/>
          <w:szCs w:val="18"/>
          <w:rFonts w:ascii="Calibri" w:hAnsi="Calibri" w:eastAsia="Calibri" w:cs="" w:asciiTheme="minorHAnsi" w:cstheme="minorBidi" w:eastAsiaTheme="minorHAnsi" w:hAnsiTheme="minorHAnsi"/>
          <w:color w:val="00000A"/>
          <w:lang w:val="fr-FR" w:eastAsia="en-US" w:bidi="ar-SA"/>
        </w:rPr>
      </w:pPr>
      <w:r>
        <w:rPr>
          <w:rFonts w:eastAsia="Calibri" w:cs="" w:cstheme="minorBidi" w:eastAsiaTheme="minorHAnsi"/>
          <w:color w:val="00000A"/>
          <w:sz w:val="18"/>
          <w:szCs w:val="18"/>
          <w:lang w:val="fr-FR" w:eastAsia="en-US" w:bidi="ar-SA"/>
        </w:rPr>
      </w:r>
      <w:r/>
    </w:p>
    <w:p>
      <w:pPr>
        <w:pStyle w:val="ListParagraph"/>
        <w:numPr>
          <w:ilvl w:val="0"/>
          <w:numId w:val="0"/>
        </w:numPr>
        <w:spacing w:lineRule="auto" w:line="240" w:before="0" w:after="0"/>
        <w:ind w:left="0" w:right="0" w:hanging="0"/>
        <w:contextualSpacing/>
        <w:jc w:val="center"/>
      </w:pPr>
      <w:r>
        <w:rPr>
          <w:sz w:val="18"/>
          <w:szCs w:val="18"/>
        </w:rPr>
        <w:t>-------------------------------------------------------------------------------</w:t>
      </w:r>
      <w:r/>
    </w:p>
    <w:p>
      <w:pPr>
        <w:pStyle w:val="Normal"/>
        <w:numPr>
          <w:ilvl w:val="0"/>
          <w:numId w:val="0"/>
        </w:numPr>
        <w:spacing w:lineRule="auto" w:line="240" w:before="0" w:after="0"/>
        <w:rPr>
          <w:sz w:val="18"/>
          <w:u w:val="single"/>
          <w:sz w:val="18"/>
          <w:szCs w:val="18"/>
          <w:rFonts w:ascii="Calibri" w:hAnsi="Calibri" w:eastAsia="Calibri" w:cs="" w:asciiTheme="minorHAnsi" w:cstheme="minorBidi" w:eastAsiaTheme="minorHAnsi" w:hAnsiTheme="minorHAnsi"/>
          <w:color w:val="579D1C"/>
          <w:lang w:val="fr-FR" w:eastAsia="en-US" w:bidi="ar-SA"/>
        </w:rPr>
      </w:pPr>
      <w:r>
        <w:rPr>
          <w:rFonts w:eastAsia="Calibri" w:cs="" w:cstheme="minorBidi" w:eastAsiaTheme="minorHAnsi"/>
          <w:color w:val="579D1C"/>
          <w:sz w:val="18"/>
          <w:szCs w:val="18"/>
          <w:u w:val="single"/>
          <w:lang w:val="fr-FR" w:eastAsia="en-US" w:bidi="ar-SA"/>
        </w:rPr>
        <w:t>en vert : à confirmer après le 1.7.16</w:t>
      </w:r>
      <w:r/>
    </w:p>
    <w:p>
      <w:pPr>
        <w:pStyle w:val="ListParagraph"/>
        <w:numPr>
          <w:ilvl w:val="0"/>
          <w:numId w:val="0"/>
        </w:numPr>
        <w:spacing w:lineRule="auto" w:line="240" w:before="0" w:after="0"/>
        <w:ind w:left="720" w:hanging="0"/>
      </w:pPr>
      <w:r>
        <w:rPr>
          <w:b/>
          <w:sz w:val="18"/>
          <w:szCs w:val="18"/>
        </w:rPr>
        <w:t>Présents</w:t>
      </w:r>
      <w:r/>
    </w:p>
    <w:p>
      <w:pPr>
        <w:pStyle w:val="Normal"/>
        <w:spacing w:lineRule="auto" w:line="240" w:before="0" w:after="0"/>
        <w:rPr>
          <w:sz w:val="18"/>
          <w:sz w:val="18"/>
          <w:szCs w:val="18"/>
        </w:rPr>
      </w:pPr>
      <w:r>
        <w:rPr>
          <w:color w:val="579D1C"/>
          <w:sz w:val="18"/>
          <w:szCs w:val="18"/>
          <w:u w:val="single"/>
        </w:rPr>
        <w:t>Administration/RH-Formation centrale &amp; Gdes direc° :</w:t>
      </w:r>
      <w:r>
        <w:rPr>
          <w:color w:val="579D1C"/>
          <w:sz w:val="18"/>
          <w:szCs w:val="18"/>
        </w:rPr>
        <w:t xml:space="preserve"> </w:t>
      </w:r>
      <w:r>
        <w:rPr>
          <w:b/>
          <w:color w:val="579D1C"/>
          <w:sz w:val="18"/>
          <w:szCs w:val="18"/>
        </w:rPr>
        <w:t>I. Gadrey</w:t>
      </w:r>
      <w:r>
        <w:rPr>
          <w:color w:val="579D1C"/>
          <w:sz w:val="18"/>
          <w:szCs w:val="18"/>
        </w:rPr>
        <w:t xml:space="preserve"> (ss direct. Politiq RH &amp; relations sociales) ; </w:t>
      </w:r>
      <w:r>
        <w:rPr>
          <w:b/>
          <w:color w:val="579D1C"/>
          <w:sz w:val="18"/>
          <w:szCs w:val="18"/>
        </w:rPr>
        <w:t>V. Astien</w:t>
      </w:r>
      <w:r>
        <w:rPr>
          <w:color w:val="579D1C"/>
          <w:sz w:val="18"/>
          <w:szCs w:val="18"/>
        </w:rPr>
        <w:t xml:space="preserve"> (cheffe départ. Recrutmnt mobilité &amp; forma°) ; </w:t>
      </w:r>
      <w:r>
        <w:rPr>
          <w:b/>
          <w:color w:val="579D1C"/>
          <w:sz w:val="18"/>
          <w:szCs w:val="18"/>
        </w:rPr>
        <w:t>F. Grimaud</w:t>
      </w:r>
      <w:r>
        <w:rPr>
          <w:color w:val="579D1C"/>
          <w:sz w:val="18"/>
          <w:szCs w:val="18"/>
        </w:rPr>
        <w:t xml:space="preserve"> (resp. pôle managemnt &amp; dévlpmt compét.) + resp. forma° </w:t>
      </w:r>
      <w:r>
        <w:rPr>
          <w:b/>
          <w:color w:val="579D1C"/>
          <w:sz w:val="18"/>
          <w:szCs w:val="18"/>
        </w:rPr>
        <w:t>DGPat</w:t>
      </w:r>
      <w:r>
        <w:rPr>
          <w:color w:val="579D1C"/>
          <w:sz w:val="18"/>
          <w:szCs w:val="18"/>
        </w:rPr>
        <w:t xml:space="preserve"> &amp; </w:t>
      </w:r>
      <w:r>
        <w:rPr>
          <w:b/>
          <w:color w:val="579D1C"/>
          <w:sz w:val="18"/>
          <w:szCs w:val="18"/>
        </w:rPr>
        <w:t>DGCA</w:t>
      </w:r>
      <w:r>
        <w:rPr>
          <w:color w:val="579D1C"/>
          <w:sz w:val="18"/>
          <w:szCs w:val="18"/>
        </w:rPr>
        <w:t xml:space="preserve"> &amp; </w:t>
      </w:r>
      <w:r>
        <w:rPr>
          <w:b/>
          <w:color w:val="579D1C"/>
          <w:sz w:val="18"/>
          <w:szCs w:val="18"/>
        </w:rPr>
        <w:t>DGMIC</w:t>
      </w:r>
      <w:r/>
    </w:p>
    <w:p>
      <w:pPr>
        <w:pStyle w:val="Normal"/>
        <w:spacing w:lineRule="auto" w:line="240" w:before="0" w:after="0"/>
      </w:pPr>
      <w:r>
        <w:rPr>
          <w:color w:val="579D1C"/>
          <w:sz w:val="18"/>
          <w:szCs w:val="18"/>
          <w:u w:val="single"/>
        </w:rPr>
        <w:t>OS :</w:t>
      </w:r>
      <w:r>
        <w:rPr>
          <w:color w:val="579D1C"/>
          <w:sz w:val="18"/>
          <w:szCs w:val="18"/>
        </w:rPr>
        <w:t xml:space="preserve"> CGT ; CFDT ; Sud-solidaire ; Snac-Fsu (LH)</w:t>
      </w:r>
      <w:r/>
    </w:p>
    <w:p>
      <w:pPr>
        <w:pStyle w:val="Normal"/>
        <w:spacing w:lineRule="auto" w:line="240" w:before="0" w:after="0"/>
        <w:rPr>
          <w:sz w:val="18"/>
          <w:sz w:val="18"/>
          <w:szCs w:val="18"/>
          <w:rFonts w:ascii="Calibri" w:hAnsi="Calibri" w:eastAsia="Calibri" w:cs="" w:asciiTheme="minorHAnsi" w:cstheme="minorBidi" w:eastAsiaTheme="minorHAnsi" w:hAnsiTheme="minorHAnsi"/>
          <w:color w:val="00000A"/>
          <w:lang w:val="fr-FR" w:eastAsia="en-US" w:bidi="ar-SA"/>
        </w:rPr>
      </w:pPr>
      <w:r>
        <w:rPr>
          <w:rFonts w:eastAsia="Calibri" w:cs="" w:cstheme="minorBidi" w:eastAsiaTheme="minorHAnsi"/>
          <w:color w:val="00000A"/>
          <w:sz w:val="18"/>
          <w:szCs w:val="18"/>
          <w:lang w:val="fr-FR" w:eastAsia="en-US" w:bidi="ar-SA"/>
        </w:rPr>
      </w:r>
      <w:r/>
    </w:p>
    <w:p>
      <w:pPr>
        <w:pStyle w:val="Normal"/>
        <w:spacing w:lineRule="auto" w:line="240" w:before="0" w:after="0"/>
        <w:rPr>
          <w:sz w:val="18"/>
          <w:sz w:val="18"/>
          <w:szCs w:val="18"/>
          <w:color w:val="CC0000"/>
        </w:rPr>
      </w:pPr>
      <w:r>
        <w:rPr/>
      </w:r>
      <w:r/>
    </w:p>
    <w:p>
      <w:pPr>
        <w:pStyle w:val="Normal"/>
        <w:spacing w:lineRule="auto" w:line="240" w:before="0" w:after="0"/>
        <w:rPr>
          <w:sz w:val="18"/>
          <w:b/>
          <w:sz w:val="18"/>
          <w:b/>
          <w:szCs w:val="18"/>
          <w:bCs/>
          <w:rFonts w:ascii="Calibri" w:hAnsi="Calibri" w:eastAsia="Calibri" w:cs="" w:asciiTheme="minorHAnsi" w:cstheme="minorBidi" w:eastAsiaTheme="minorHAnsi" w:hAnsiTheme="minorHAnsi"/>
          <w:color w:val="00000A"/>
          <w:lang w:val="fr-FR" w:eastAsia="en-US" w:bidi="ar-SA"/>
        </w:rPr>
      </w:pPr>
      <w:r>
        <w:rPr>
          <w:rFonts w:eastAsia="Calibri" w:cs="" w:cstheme="minorBidi" w:eastAsiaTheme="minorHAnsi"/>
          <w:b/>
          <w:bCs/>
          <w:color w:val="00000A"/>
          <w:sz w:val="18"/>
          <w:szCs w:val="18"/>
          <w:lang w:val="fr-FR" w:eastAsia="en-US" w:bidi="ar-SA"/>
        </w:rPr>
        <w:t>doc « projet note d’orientation plutiannuelle de la formation 2017-19 »</w:t>
      </w:r>
      <w:r/>
    </w:p>
    <w:p>
      <w:pPr>
        <w:pStyle w:val="Normal"/>
        <w:spacing w:lineRule="auto" w:line="240" w:before="0" w:after="0"/>
        <w:rPr>
          <w:sz w:val="18"/>
          <w:b/>
          <w:sz w:val="18"/>
          <w:b/>
          <w:szCs w:val="18"/>
          <w:bCs/>
          <w:rFonts w:ascii="Calibri" w:hAnsi="Calibri" w:eastAsia="Calibri" w:cs="" w:asciiTheme="minorHAnsi" w:cstheme="minorBidi" w:eastAsiaTheme="minorHAnsi" w:hAnsiTheme="minorHAnsi"/>
          <w:color w:val="00000A"/>
          <w:lang w:val="fr-FR" w:eastAsia="en-US" w:bidi="ar-SA"/>
        </w:rPr>
      </w:pPr>
      <w:r>
        <w:rPr>
          <w:rFonts w:eastAsia="Calibri" w:cs="" w:cstheme="minorBidi" w:eastAsiaTheme="minorHAnsi"/>
          <w:b/>
          <w:bCs/>
          <w:color w:val="00000A"/>
          <w:sz w:val="18"/>
          <w:szCs w:val="18"/>
          <w:lang w:val="fr-FR" w:eastAsia="en-US" w:bidi="ar-SA"/>
        </w:rPr>
      </w:r>
      <w:r/>
    </w:p>
    <w:p>
      <w:pPr>
        <w:pStyle w:val="Normal"/>
        <w:spacing w:lineRule="auto" w:line="240" w:before="0" w:after="0"/>
      </w:pPr>
      <w:r>
        <w:rPr>
          <w:b/>
          <w:bCs/>
          <w:sz w:val="18"/>
          <w:szCs w:val="18"/>
          <w:u w:val="single"/>
        </w:rPr>
        <w:t>p.3, 4</w:t>
      </w:r>
      <w:r>
        <w:rPr>
          <w:sz w:val="18"/>
          <w:szCs w:val="18"/>
          <w:u w:val="none"/>
        </w:rPr>
        <w:tab/>
        <w:t>« accompagnement des évolutions/transformations &gt; stabiliser/pérenniser les transformations »</w:t>
      </w:r>
      <w:r/>
    </w:p>
    <w:p>
      <w:pPr>
        <w:pStyle w:val="Normal"/>
        <w:spacing w:lineRule="auto" w:line="240" w:before="0" w:after="0"/>
      </w:pPr>
      <w:r>
        <w:rPr>
          <w:sz w:val="18"/>
          <w:szCs w:val="18"/>
          <w:u w:val="none"/>
        </w:rPr>
        <w:t>= ces évolutions échappent à leurs acteurs (directions et agents du MCC) car émanent du politique (niveau éxecutif national)</w:t>
      </w:r>
      <w:r/>
    </w:p>
    <w:p>
      <w:pPr>
        <w:pStyle w:val="Normal"/>
        <w:spacing w:lineRule="auto" w:line="240" w:before="0" w:after="0"/>
        <w:rPr>
          <w:sz w:val="18"/>
          <w:u w:val="none"/>
          <w:sz w:val="18"/>
          <w:szCs w:val="18"/>
        </w:rPr>
      </w:pPr>
      <w:r>
        <w:rPr/>
      </w:r>
      <w:r/>
    </w:p>
    <w:p>
      <w:pPr>
        <w:pStyle w:val="Normal"/>
        <w:spacing w:lineRule="auto" w:line="240" w:before="0" w:after="0"/>
        <w:jc w:val="both"/>
      </w:pPr>
      <w:r>
        <w:rPr>
          <w:sz w:val="18"/>
          <w:szCs w:val="18"/>
          <w:u w:val="none"/>
        </w:rPr>
        <w:t>« Ainsi la fonction formation doit-elle être placée au cœur des évolutions et associée systématiquement, en amont, aux projets, qu’il s’agisse de projet de transformation, de projets professionnels individuels ou de projets informatiques »</w:t>
      </w:r>
      <w:r/>
    </w:p>
    <w:p>
      <w:pPr>
        <w:pStyle w:val="Normal"/>
        <w:spacing w:lineRule="auto" w:line="240" w:before="0" w:after="0"/>
        <w:jc w:val="both"/>
      </w:pPr>
      <w:r>
        <w:rPr>
          <w:sz w:val="18"/>
          <w:szCs w:val="18"/>
          <w:u w:val="none"/>
        </w:rPr>
        <w:t>(...)</w:t>
      </w:r>
      <w:r/>
    </w:p>
    <w:p>
      <w:pPr>
        <w:pStyle w:val="Normal"/>
        <w:spacing w:lineRule="auto" w:line="240" w:before="0" w:after="0"/>
        <w:jc w:val="both"/>
      </w:pPr>
      <w:r>
        <w:rPr>
          <w:sz w:val="18"/>
          <w:szCs w:val="18"/>
          <w:u w:val="none"/>
        </w:rPr>
        <w:t>La politique de formation vise le développement professionnel des agents ainsi que leur développement</w:t>
      </w:r>
      <w:r/>
    </w:p>
    <w:p>
      <w:pPr>
        <w:pStyle w:val="Normal"/>
        <w:spacing w:lineRule="auto" w:line="240" w:before="0" w:after="0"/>
        <w:jc w:val="both"/>
      </w:pPr>
      <w:r>
        <w:rPr>
          <w:sz w:val="18"/>
          <w:szCs w:val="18"/>
          <w:u w:val="none"/>
        </w:rPr>
        <w:t xml:space="preserve">personnel </w:t>
      </w:r>
      <w:r>
        <w:rPr>
          <w:color w:val="C5000B"/>
          <w:sz w:val="18"/>
          <w:szCs w:val="18"/>
          <w:u w:val="none"/>
        </w:rPr>
        <w:t>2</w:t>
      </w:r>
      <w:r>
        <w:rPr>
          <w:sz w:val="18"/>
          <w:szCs w:val="18"/>
          <w:u w:val="none"/>
        </w:rPr>
        <w:t xml:space="preserve"> , à court, moyen et long terme. C’est pourquoi elle s’inscrit dans une démarche qui dépasse la simple</w:t>
      </w:r>
      <w:r/>
    </w:p>
    <w:p>
      <w:pPr>
        <w:pStyle w:val="Normal"/>
        <w:spacing w:lineRule="auto" w:line="240" w:before="0" w:after="0"/>
        <w:jc w:val="both"/>
      </w:pPr>
      <w:r>
        <w:rPr>
          <w:sz w:val="18"/>
          <w:szCs w:val="18"/>
          <w:u w:val="none"/>
        </w:rPr>
        <w:t>programmation annuelle pour couvrir une période plus longue en lien avec les réflexions sur les évolutions des</w:t>
      </w:r>
      <w:r/>
    </w:p>
    <w:p>
      <w:pPr>
        <w:pStyle w:val="Normal"/>
        <w:spacing w:lineRule="auto" w:line="240" w:before="0" w:after="0"/>
        <w:jc w:val="both"/>
      </w:pPr>
      <w:r>
        <w:rPr>
          <w:sz w:val="18"/>
          <w:szCs w:val="18"/>
          <w:u w:val="none"/>
        </w:rPr>
        <w:t>compétences recherchées par les services et attendues par les agents.</w:t>
      </w:r>
      <w:r/>
    </w:p>
    <w:p>
      <w:pPr>
        <w:pStyle w:val="Normal"/>
        <w:spacing w:lineRule="auto" w:line="240" w:before="0" w:after="0"/>
        <w:jc w:val="both"/>
      </w:pPr>
      <w:r>
        <w:rPr>
          <w:color w:val="C5000B"/>
          <w:sz w:val="14"/>
          <w:szCs w:val="14"/>
          <w:u w:val="none"/>
        </w:rPr>
        <w:t>2 :  décrets n° 2007-1470 du 15 octobre 2007 relatif à la formation professionnelle tout au long de la vie des fonctionnaires de</w:t>
      </w:r>
      <w:r/>
    </w:p>
    <w:p>
      <w:pPr>
        <w:pStyle w:val="Normal"/>
        <w:spacing w:lineRule="auto" w:line="240" w:before="0" w:after="0"/>
        <w:jc w:val="both"/>
      </w:pPr>
      <w:r>
        <w:rPr>
          <w:color w:val="C5000B"/>
          <w:sz w:val="14"/>
          <w:szCs w:val="14"/>
          <w:u w:val="none"/>
        </w:rPr>
        <w:t>l'Etat et n° 2007-1942 du 26 décembre 2007 relatif à la formation professionnelle des agents non titulaires de l'Etat et de ses établissements</w:t>
      </w:r>
      <w:r/>
    </w:p>
    <w:p>
      <w:pPr>
        <w:pStyle w:val="Normal"/>
        <w:spacing w:lineRule="auto" w:line="240" w:before="0" w:after="0"/>
        <w:jc w:val="both"/>
      </w:pPr>
      <w:r>
        <w:rPr>
          <w:color w:val="C5000B"/>
          <w:sz w:val="14"/>
          <w:szCs w:val="14"/>
          <w:u w:val="none"/>
        </w:rPr>
        <w:t>publics et des ouvriers affiliés au régime des pensions résultant du décret n° 2004-1056 du 5 octobre 2004</w:t>
      </w:r>
      <w:r/>
    </w:p>
    <w:p>
      <w:pPr>
        <w:pStyle w:val="Normal"/>
        <w:spacing w:lineRule="auto" w:line="240" w:before="0" w:after="0"/>
        <w:jc w:val="both"/>
        <w:rPr>
          <w:u w:val="none"/>
        </w:rPr>
      </w:pPr>
      <w:r>
        <w:rPr>
          <w:color w:val="C5000B"/>
          <w:sz w:val="14"/>
          <w:szCs w:val="14"/>
        </w:rPr>
      </w:r>
      <w:r/>
    </w:p>
    <w:p>
      <w:pPr>
        <w:pStyle w:val="Normal"/>
        <w:spacing w:lineRule="auto" w:line="240" w:before="0" w:after="0"/>
        <w:jc w:val="both"/>
      </w:pPr>
      <w:r>
        <w:rPr>
          <w:b/>
          <w:bCs/>
          <w:color w:val="000000"/>
          <w:sz w:val="18"/>
          <w:szCs w:val="18"/>
          <w:u w:val="single"/>
        </w:rPr>
        <w:t>p. 5</w:t>
      </w:r>
      <w:r>
        <w:rPr>
          <w:color w:val="000000"/>
          <w:sz w:val="18"/>
          <w:szCs w:val="18"/>
          <w:u w:val="none"/>
        </w:rPr>
        <w:t xml:space="preserve"> </w:t>
      </w:r>
      <w:r/>
    </w:p>
    <w:p>
      <w:pPr>
        <w:pStyle w:val="Normal"/>
        <w:spacing w:lineRule="auto" w:line="240" w:before="0" w:after="0"/>
        <w:jc w:val="both"/>
      </w:pPr>
      <w:r>
        <w:rPr>
          <w:color w:val="000000"/>
          <w:sz w:val="18"/>
          <w:szCs w:val="18"/>
          <w:u w:val="none"/>
        </w:rPr>
        <w:t>I. Rappel du cadre général</w:t>
      </w:r>
      <w:r/>
    </w:p>
    <w:p>
      <w:pPr>
        <w:pStyle w:val="Normal"/>
        <w:spacing w:lineRule="auto" w:line="240" w:before="227" w:after="113"/>
        <w:jc w:val="both"/>
      </w:pPr>
      <w:r>
        <w:rPr>
          <w:b/>
          <w:bCs/>
          <w:color w:val="000000"/>
          <w:sz w:val="22"/>
          <w:szCs w:val="22"/>
          <w:u w:val="none"/>
        </w:rPr>
        <w:t>A. formation professionnelle continue (FPC)</w:t>
      </w:r>
      <w:r/>
    </w:p>
    <w:p>
      <w:pPr>
        <w:pStyle w:val="Normal"/>
        <w:spacing w:lineRule="auto" w:line="240" w:before="0" w:after="0"/>
        <w:jc w:val="both"/>
      </w:pPr>
      <w:r>
        <w:rPr>
          <w:color w:val="000000"/>
          <w:sz w:val="18"/>
          <w:szCs w:val="18"/>
          <w:u w:val="single"/>
        </w:rPr>
        <w:t>Définition :</w:t>
      </w:r>
      <w:r>
        <w:rPr>
          <w:color w:val="000000"/>
          <w:sz w:val="18"/>
          <w:szCs w:val="18"/>
          <w:u w:val="none"/>
        </w:rPr>
        <w:t xml:space="preserve"> doit correspondre à l’ensemble de ces critères :</w:t>
      </w:r>
      <w:r/>
    </w:p>
    <w:p>
      <w:pPr>
        <w:pStyle w:val="Normal"/>
        <w:spacing w:lineRule="auto" w:line="240" w:before="0" w:after="0"/>
        <w:jc w:val="both"/>
      </w:pPr>
      <w:r>
        <w:rPr>
          <w:b/>
          <w:bCs/>
          <w:color w:val="000000"/>
          <w:sz w:val="18"/>
          <w:szCs w:val="18"/>
          <w:u w:val="none"/>
        </w:rPr>
        <w:t>1.</w:t>
      </w:r>
      <w:r>
        <w:rPr>
          <w:color w:val="000000"/>
          <w:sz w:val="18"/>
          <w:szCs w:val="18"/>
          <w:u w:val="none"/>
        </w:rPr>
        <w:t xml:space="preserve"> public précis (fonctions exercées, poste de travail occupé, compétences requises ou expérience professionnelle) ;</w:t>
      </w:r>
      <w:r/>
    </w:p>
    <w:p>
      <w:pPr>
        <w:pStyle w:val="Normal"/>
        <w:spacing w:lineRule="auto" w:line="240" w:before="0" w:after="0"/>
        <w:jc w:val="both"/>
      </w:pPr>
      <w:r>
        <w:rPr>
          <w:b/>
          <w:bCs/>
          <w:color w:val="000000"/>
          <w:sz w:val="18"/>
          <w:szCs w:val="18"/>
          <w:u w:val="none"/>
        </w:rPr>
        <w:t>2.</w:t>
      </w:r>
      <w:r>
        <w:rPr>
          <w:color w:val="000000"/>
          <w:sz w:val="18"/>
          <w:szCs w:val="18"/>
          <w:u w:val="none"/>
        </w:rPr>
        <w:t xml:space="preserve"> objectifs précis/mesurables en termes d'évolution des compétences pro (distinct des actions d’info ou de sensibilisation générale - Sensibilisation au handicap visuel, à la diversité femmes/hommes, etc. par ex.) ;</w:t>
      </w:r>
      <w:r/>
    </w:p>
    <w:p>
      <w:pPr>
        <w:pStyle w:val="Normal"/>
        <w:spacing w:lineRule="auto" w:line="240" w:before="0" w:after="0"/>
        <w:jc w:val="both"/>
      </w:pPr>
      <w:r>
        <w:rPr>
          <w:b/>
          <w:bCs/>
          <w:color w:val="000000"/>
          <w:sz w:val="18"/>
          <w:szCs w:val="18"/>
          <w:u w:val="none"/>
        </w:rPr>
        <w:t>3.</w:t>
      </w:r>
      <w:r>
        <w:rPr>
          <w:color w:val="000000"/>
          <w:sz w:val="18"/>
          <w:szCs w:val="18"/>
          <w:u w:val="none"/>
        </w:rPr>
        <w:t xml:space="preserve"> programme écrit, adapté aux objectifs, processus pédagogique détaillé au regard de son contenu, durée et modalités pédago ;</w:t>
      </w:r>
      <w:r/>
    </w:p>
    <w:p>
      <w:pPr>
        <w:pStyle w:val="Normal"/>
        <w:spacing w:lineRule="auto" w:line="240" w:before="0" w:after="0"/>
        <w:jc w:val="both"/>
      </w:pPr>
      <w:r>
        <w:rPr>
          <w:b/>
          <w:bCs/>
          <w:color w:val="000000"/>
          <w:sz w:val="18"/>
          <w:szCs w:val="18"/>
          <w:u w:val="none"/>
        </w:rPr>
        <w:t>4.</w:t>
      </w:r>
      <w:r>
        <w:rPr>
          <w:color w:val="000000"/>
          <w:sz w:val="18"/>
          <w:szCs w:val="18"/>
          <w:u w:val="none"/>
        </w:rPr>
        <w:t xml:space="preserve"> prévoir systématiquement à la fois un dispositif de suivi de l’exécution de l'action (émargements par demi-journée mini) et de mesure de l’acquisition des compétences au regard des objectifs pédagogiques initiaux (procédure d'évaluation) ;</w:t>
      </w:r>
      <w:r/>
    </w:p>
    <w:p>
      <w:pPr>
        <w:pStyle w:val="Normal"/>
        <w:spacing w:lineRule="auto" w:line="240" w:before="0" w:after="0"/>
        <w:jc w:val="both"/>
      </w:pPr>
      <w:r>
        <w:rPr>
          <w:b/>
          <w:bCs/>
          <w:color w:val="000000"/>
          <w:sz w:val="18"/>
          <w:szCs w:val="18"/>
          <w:u w:val="none"/>
        </w:rPr>
        <w:t>5.</w:t>
      </w:r>
      <w:r>
        <w:rPr>
          <w:color w:val="000000"/>
          <w:sz w:val="18"/>
          <w:szCs w:val="18"/>
          <w:u w:val="none"/>
        </w:rPr>
        <w:t xml:space="preserve"> être délivrée par un formateur, interne/externe, reconnu, qui encadre un nombre raisonnable de stagiaires pour permettre des échanges directs entre le formateur et le/les stagiaires et entre les stagiaires (stages collectifs, limite haute = 15 pers.) ;</w:t>
      </w:r>
      <w:r/>
    </w:p>
    <w:p>
      <w:pPr>
        <w:pStyle w:val="Normal"/>
        <w:spacing w:lineRule="auto" w:line="240" w:before="0" w:after="0"/>
        <w:jc w:val="both"/>
      </w:pPr>
      <w:r>
        <w:rPr>
          <w:b/>
          <w:bCs/>
          <w:color w:val="000000"/>
          <w:sz w:val="18"/>
          <w:szCs w:val="18"/>
          <w:u w:val="none"/>
        </w:rPr>
        <w:t>6.</w:t>
      </w:r>
      <w:r>
        <w:rPr>
          <w:color w:val="000000"/>
          <w:sz w:val="18"/>
          <w:szCs w:val="18"/>
          <w:u w:val="none"/>
        </w:rPr>
        <w:t xml:space="preserve"> prévoir une convocation formelle du stagiaire avant le début du stage + attestation en fin de stage (thème, nature, dates, durée).</w:t>
      </w:r>
      <w:r/>
    </w:p>
    <w:p>
      <w:pPr>
        <w:pStyle w:val="Normal"/>
        <w:spacing w:lineRule="auto" w:line="240" w:before="0" w:after="0"/>
        <w:jc w:val="both"/>
        <w:rPr>
          <w:u w:val="none"/>
        </w:rPr>
      </w:pPr>
      <w:r>
        <w:rPr>
          <w:color w:val="000000"/>
          <w:sz w:val="18"/>
          <w:szCs w:val="18"/>
        </w:rPr>
      </w:r>
      <w:r/>
    </w:p>
    <w:p>
      <w:pPr>
        <w:pStyle w:val="Normal"/>
        <w:spacing w:lineRule="auto" w:line="240" w:before="0" w:after="0"/>
        <w:jc w:val="both"/>
      </w:pPr>
      <w:r>
        <w:rPr>
          <w:b/>
          <w:bCs/>
          <w:color w:val="000000"/>
          <w:sz w:val="18"/>
          <w:szCs w:val="18"/>
          <w:u w:val="none"/>
        </w:rPr>
        <w:t>Autres actions visant au développement des compétences</w:t>
      </w:r>
      <w:r/>
    </w:p>
    <w:p>
      <w:pPr>
        <w:pStyle w:val="Normal"/>
        <w:spacing w:lineRule="auto" w:line="240" w:before="0" w:after="0"/>
        <w:jc w:val="both"/>
      </w:pPr>
      <w:r>
        <w:rPr>
          <w:b w:val="false"/>
          <w:bCs w:val="false"/>
          <w:color w:val="000000"/>
          <w:sz w:val="18"/>
          <w:szCs w:val="18"/>
          <w:u w:val="none"/>
        </w:rPr>
        <w:t xml:space="preserve">FPC distinguée d'autres types d'actions = </w:t>
      </w:r>
      <w:r>
        <w:rPr>
          <w:b/>
          <w:bCs/>
          <w:color w:val="000000"/>
          <w:sz w:val="18"/>
          <w:szCs w:val="18"/>
          <w:u w:val="none"/>
        </w:rPr>
        <w:t xml:space="preserve">développement des </w:t>
      </w:r>
      <w:r>
        <w:rPr>
          <w:b/>
          <w:bCs/>
          <w:color w:val="000000"/>
          <w:sz w:val="18"/>
          <w:szCs w:val="18"/>
          <w:u w:val="single"/>
        </w:rPr>
        <w:t>compétences</w:t>
      </w:r>
      <w:r>
        <w:rPr>
          <w:b w:val="false"/>
          <w:bCs w:val="false"/>
          <w:color w:val="000000"/>
          <w:sz w:val="18"/>
          <w:szCs w:val="18"/>
          <w:u w:val="none"/>
        </w:rPr>
        <w:t xml:space="preserve"> (conférences, séminaires, colloques, actions généralistes de sensibilisation ou de communication, visites d’établissement, rencontres professionnelles, etc.) ou de</w:t>
      </w:r>
      <w:r>
        <w:rPr>
          <w:b/>
          <w:bCs/>
          <w:color w:val="000000"/>
          <w:sz w:val="18"/>
          <w:szCs w:val="18"/>
          <w:u w:val="none"/>
        </w:rPr>
        <w:t xml:space="preserve"> l'</w:t>
      </w:r>
      <w:r>
        <w:rPr>
          <w:b/>
          <w:bCs/>
          <w:color w:val="000000"/>
          <w:sz w:val="18"/>
          <w:szCs w:val="18"/>
          <w:u w:val="single"/>
        </w:rPr>
        <w:t>accompagnement</w:t>
      </w:r>
      <w:r>
        <w:rPr>
          <w:b/>
          <w:bCs/>
          <w:color w:val="000000"/>
          <w:sz w:val="18"/>
          <w:szCs w:val="18"/>
          <w:u w:val="none"/>
        </w:rPr>
        <w:t xml:space="preserve"> professionnel </w:t>
      </w:r>
      <w:r>
        <w:rPr>
          <w:b w:val="false"/>
          <w:bCs w:val="false"/>
          <w:color w:val="000000"/>
          <w:sz w:val="18"/>
          <w:szCs w:val="18"/>
          <w:u w:val="none"/>
        </w:rPr>
        <w:t>(parcours d'intégration, tutorat, coaching, etc.)</w:t>
      </w:r>
      <w:r/>
    </w:p>
    <w:p>
      <w:pPr>
        <w:pStyle w:val="Normal"/>
        <w:spacing w:lineRule="auto" w:line="240" w:before="227" w:after="113"/>
        <w:jc w:val="both"/>
      </w:pPr>
      <w:r>
        <w:rPr>
          <w:b/>
          <w:bCs/>
          <w:color w:val="000000"/>
          <w:sz w:val="22"/>
          <w:szCs w:val="22"/>
          <w:u w:val="none"/>
        </w:rPr>
        <w:t>B. Pilotage et périmètres des plans de formation</w:t>
      </w:r>
      <w:r/>
    </w:p>
    <w:p>
      <w:pPr>
        <w:pStyle w:val="Normal"/>
        <w:spacing w:lineRule="auto" w:line="240" w:before="0" w:after="0"/>
        <w:jc w:val="both"/>
      </w:pPr>
      <w:r>
        <w:rPr>
          <w:b w:val="false"/>
          <w:bCs w:val="false"/>
          <w:color w:val="000000"/>
          <w:sz w:val="18"/>
          <w:szCs w:val="18"/>
          <w:u w:val="none"/>
        </w:rPr>
        <w:t>Le secrétariat général (SG) du MCC = définit et pilote la politique de formation du ministère, met en œuvre son propre plan de formation, anime le dialogue avec les représentants du personnel au niveau ministériel, est l'interlocuteur unique de la DGAFP, coordonne et appuie l'action des responsables locaux de formation,  réunit le réseau des responsables de formation du ministère une à deux fois par an (au moins 1 représentant/chaque service du ministère : directions d'administration centrale, DRAC, SCN, EPA.</w:t>
      </w:r>
      <w:r/>
    </w:p>
    <w:p>
      <w:pPr>
        <w:pStyle w:val="Normal"/>
        <w:spacing w:lineRule="auto" w:line="240" w:before="0" w:after="0"/>
        <w:jc w:val="both"/>
      </w:pPr>
      <w:r>
        <w:rPr>
          <w:b/>
          <w:bCs/>
          <w:color w:val="000000"/>
          <w:sz w:val="18"/>
          <w:szCs w:val="18"/>
          <w:u w:val="single"/>
        </w:rPr>
        <w:t>p. 6</w:t>
      </w:r>
      <w:r>
        <w:rPr>
          <w:b w:val="false"/>
          <w:bCs w:val="false"/>
          <w:color w:val="000000"/>
          <w:sz w:val="18"/>
          <w:szCs w:val="18"/>
          <w:u w:val="none"/>
        </w:rPr>
        <w:t xml:space="preserve"> Le périmètre des agents concernés par le plan de formation du ministère recouvre l'ensemble des agents de ce réseau.</w:t>
      </w:r>
      <w:r/>
    </w:p>
    <w:p>
      <w:pPr>
        <w:pStyle w:val="Normal"/>
        <w:spacing w:lineRule="auto" w:line="240" w:before="0" w:after="0"/>
        <w:jc w:val="both"/>
        <w:rPr>
          <w:u w:val="none"/>
          <w:b w:val="false"/>
          <w:b w:val="false"/>
          <w:bCs w:val="false"/>
        </w:rPr>
      </w:pPr>
      <w:r>
        <w:rPr>
          <w:b/>
          <w:bCs/>
          <w:color w:val="000000"/>
          <w:sz w:val="18"/>
          <w:szCs w:val="18"/>
        </w:rPr>
      </w:r>
      <w:r/>
    </w:p>
    <w:p>
      <w:pPr>
        <w:pStyle w:val="Normal"/>
        <w:spacing w:lineRule="auto" w:line="240" w:before="0" w:after="0"/>
        <w:jc w:val="both"/>
      </w:pPr>
      <w:r>
        <w:rPr>
          <w:b w:val="false"/>
          <w:bCs w:val="false"/>
          <w:color w:val="000000"/>
          <w:sz w:val="18"/>
          <w:szCs w:val="18"/>
          <w:u w:val="single"/>
        </w:rPr>
        <w:t>Principe de subsidiarité et de complémentarité :</w:t>
      </w:r>
      <w:r/>
    </w:p>
    <w:p>
      <w:pPr>
        <w:pStyle w:val="Normal"/>
        <w:spacing w:lineRule="auto" w:line="240" w:before="0" w:after="0"/>
        <w:jc w:val="both"/>
      </w:pPr>
      <w:r>
        <w:rPr>
          <w:b/>
          <w:bCs/>
          <w:color w:val="000000"/>
          <w:sz w:val="18"/>
          <w:szCs w:val="18"/>
          <w:u w:val="none"/>
        </w:rPr>
        <w:t xml:space="preserve">1. </w:t>
      </w:r>
      <w:r>
        <w:rPr>
          <w:b w:val="false"/>
          <w:bCs w:val="false"/>
          <w:color w:val="000000"/>
          <w:sz w:val="18"/>
          <w:szCs w:val="18"/>
          <w:u w:val="none"/>
        </w:rPr>
        <w:t>Les actions de formation des services d'administration centrale sont ouvertes à tous les agents du ministère...</w:t>
      </w:r>
      <w:r/>
    </w:p>
    <w:p>
      <w:pPr>
        <w:pStyle w:val="Normal"/>
        <w:spacing w:lineRule="auto" w:line="240" w:before="0" w:after="0"/>
        <w:jc w:val="both"/>
      </w:pPr>
      <w:r>
        <w:rPr>
          <w:b w:val="false"/>
          <w:bCs w:val="false"/>
          <w:color w:val="C5000B"/>
          <w:sz w:val="16"/>
          <w:szCs w:val="16"/>
          <w:u w:val="none"/>
        </w:rPr>
        <w:t>...</w:t>
      </w:r>
      <w:r>
        <w:rPr>
          <w:b w:val="false"/>
          <w:bCs w:val="false"/>
          <w:color w:val="C5000B"/>
          <w:sz w:val="16"/>
          <w:szCs w:val="16"/>
          <w:u w:val="single"/>
        </w:rPr>
        <w:t>Hormis les agents du musée du Louvre, de la bibliothèque nationale de France et de l’établissement public du château, du musée et du domaine</w:t>
      </w:r>
      <w:r/>
    </w:p>
    <w:p>
      <w:pPr>
        <w:pStyle w:val="Normal"/>
        <w:spacing w:lineRule="auto" w:line="240" w:before="0" w:after="0"/>
        <w:jc w:val="both"/>
      </w:pPr>
      <w:r>
        <w:rPr>
          <w:b w:val="false"/>
          <w:bCs w:val="false"/>
          <w:color w:val="C5000B"/>
          <w:sz w:val="16"/>
          <w:szCs w:val="16"/>
          <w:u w:val="single"/>
        </w:rPr>
        <w:t>national de Versailles</w:t>
      </w:r>
      <w:r>
        <w:rPr>
          <w:b w:val="false"/>
          <w:bCs w:val="false"/>
          <w:color w:val="C5000B"/>
          <w:sz w:val="16"/>
          <w:szCs w:val="16"/>
          <w:u w:val="none"/>
        </w:rPr>
        <w:t xml:space="preserve"> dont les plans de formation ont vocation à couvrir l'ensemble des domaines de formation. Les services de formation de ces</w:t>
      </w:r>
      <w:r/>
    </w:p>
    <w:p>
      <w:pPr>
        <w:pStyle w:val="Normal"/>
        <w:spacing w:lineRule="auto" w:line="240" w:before="0" w:after="0"/>
        <w:jc w:val="both"/>
      </w:pPr>
      <w:r>
        <w:rPr>
          <w:b w:val="false"/>
          <w:bCs w:val="false"/>
          <w:color w:val="C5000B"/>
          <w:sz w:val="16"/>
          <w:szCs w:val="16"/>
          <w:u w:val="none"/>
        </w:rPr>
        <w:t>établissements peuvent néanmoins, de manière dérogatoire, inscrire leurs agents aux formations collectives organisées par les services centraux</w:t>
      </w:r>
      <w:r/>
    </w:p>
    <w:p>
      <w:pPr>
        <w:pStyle w:val="Normal"/>
        <w:spacing w:lineRule="auto" w:line="240" w:before="0" w:after="0"/>
        <w:jc w:val="both"/>
      </w:pPr>
      <w:r>
        <w:rPr>
          <w:b w:val="false"/>
          <w:bCs w:val="false"/>
          <w:color w:val="C5000B"/>
          <w:sz w:val="16"/>
          <w:szCs w:val="16"/>
          <w:u w:val="none"/>
        </w:rPr>
        <w:t>en fonction des places disponibles.</w:t>
      </w:r>
      <w:r/>
    </w:p>
    <w:p>
      <w:pPr>
        <w:pStyle w:val="Normal"/>
        <w:spacing w:lineRule="auto" w:line="240" w:before="0" w:after="0"/>
        <w:jc w:val="both"/>
      </w:pPr>
      <w:r>
        <w:rPr>
          <w:b/>
          <w:bCs/>
          <w:color w:val="000000"/>
          <w:sz w:val="18"/>
          <w:szCs w:val="18"/>
          <w:u w:val="none"/>
        </w:rPr>
        <w:t>2.</w:t>
      </w:r>
      <w:r>
        <w:rPr>
          <w:b w:val="false"/>
          <w:bCs w:val="false"/>
          <w:color w:val="000000"/>
          <w:sz w:val="18"/>
          <w:szCs w:val="18"/>
          <w:u w:val="none"/>
        </w:rPr>
        <w:t xml:space="preserve"> En complément de cette offre nationale, DRAC et EP mettent en œuvre des formations à destination des agents de leur ressort pour des besoins spécifiques identifiés.</w:t>
      </w:r>
      <w:r/>
    </w:p>
    <w:p>
      <w:pPr>
        <w:pStyle w:val="Normal"/>
        <w:spacing w:lineRule="auto" w:line="240" w:before="0" w:after="0"/>
        <w:jc w:val="both"/>
      </w:pPr>
      <w:r>
        <w:rPr>
          <w:b/>
          <w:bCs/>
          <w:color w:val="000000"/>
          <w:sz w:val="18"/>
          <w:szCs w:val="18"/>
          <w:u w:val="none"/>
        </w:rPr>
        <w:t>3.</w:t>
      </w:r>
      <w:r>
        <w:rPr>
          <w:b w:val="false"/>
          <w:bCs w:val="false"/>
          <w:color w:val="000000"/>
          <w:sz w:val="18"/>
          <w:szCs w:val="18"/>
          <w:u w:val="none"/>
        </w:rPr>
        <w:t xml:space="preserve"> Les DRAC sont également les interlocutrices privilégiées des </w:t>
      </w:r>
      <w:r>
        <w:rPr>
          <w:b/>
          <w:bCs/>
          <w:color w:val="000000"/>
          <w:sz w:val="18"/>
          <w:szCs w:val="18"/>
          <w:u w:val="none"/>
        </w:rPr>
        <w:t>plates-formes régionales d'appui à la gestion des ressources humaines (PFRH)</w:t>
      </w:r>
      <w:r>
        <w:rPr>
          <w:b w:val="false"/>
          <w:bCs w:val="false"/>
          <w:color w:val="000000"/>
          <w:sz w:val="18"/>
          <w:szCs w:val="18"/>
          <w:u w:val="none"/>
        </w:rPr>
        <w:t xml:space="preserve"> pour la définition des plans régionaux interministériels de formation (garantes de l'adéquation offre interministérielle aux besoins spécifiques des personnels du MCC présents dans leur périmètre régional (…)</w:t>
      </w:r>
      <w:r/>
    </w:p>
    <w:p>
      <w:pPr>
        <w:pStyle w:val="Normal"/>
        <w:spacing w:lineRule="auto" w:line="240" w:before="227" w:after="113"/>
        <w:jc w:val="both"/>
      </w:pPr>
      <w:r>
        <w:rPr>
          <w:b/>
          <w:bCs/>
          <w:color w:val="000000"/>
          <w:sz w:val="22"/>
          <w:szCs w:val="22"/>
          <w:u w:val="none"/>
        </w:rPr>
        <w:t>C. Articulation des orientations interministérielles et ministérielles avec les plans annuels de formation</w:t>
      </w:r>
      <w:r/>
    </w:p>
    <w:p>
      <w:pPr>
        <w:pStyle w:val="Normal"/>
        <w:spacing w:lineRule="auto" w:line="240" w:before="0" w:after="0"/>
        <w:jc w:val="both"/>
      </w:pPr>
      <w:r>
        <w:rPr>
          <w:b w:val="false"/>
          <w:bCs w:val="false"/>
          <w:color w:val="000000"/>
          <w:sz w:val="18"/>
          <w:szCs w:val="18"/>
          <w:u w:val="none"/>
        </w:rPr>
        <w:t xml:space="preserve">… </w:t>
      </w:r>
      <w:r>
        <w:rPr>
          <w:b w:val="false"/>
          <w:bCs w:val="false"/>
          <w:color w:val="000000"/>
          <w:sz w:val="18"/>
          <w:szCs w:val="18"/>
          <w:u w:val="none"/>
        </w:rPr>
        <w:t xml:space="preserve">les demandes de formations correspondant à des </w:t>
      </w:r>
      <w:r>
        <w:rPr>
          <w:b w:val="false"/>
          <w:bCs w:val="false"/>
          <w:color w:val="000000"/>
          <w:sz w:val="18"/>
          <w:szCs w:val="18"/>
          <w:u w:val="single"/>
        </w:rPr>
        <w:t>besoins exprimés et validés à l'occasion des entretiens de formation</w:t>
      </w:r>
      <w:r>
        <w:rPr>
          <w:b w:val="false"/>
          <w:bCs w:val="false"/>
          <w:color w:val="000000"/>
          <w:sz w:val="18"/>
          <w:szCs w:val="18"/>
          <w:u w:val="none"/>
        </w:rPr>
        <w:t xml:space="preserve"> doivent être considérées comme </w:t>
      </w:r>
      <w:r>
        <w:rPr>
          <w:b w:val="false"/>
          <w:bCs w:val="false"/>
          <w:color w:val="000000"/>
          <w:sz w:val="18"/>
          <w:szCs w:val="18"/>
          <w:u w:val="single"/>
        </w:rPr>
        <w:t>prioritaires</w:t>
      </w:r>
      <w:r>
        <w:rPr>
          <w:b w:val="false"/>
          <w:bCs w:val="false"/>
          <w:color w:val="000000"/>
          <w:sz w:val="18"/>
          <w:szCs w:val="18"/>
          <w:u w:val="none"/>
        </w:rPr>
        <w:t>.</w:t>
      </w:r>
      <w:r/>
    </w:p>
    <w:sectPr>
      <w:footerReference w:type="default" r:id="rId2"/>
      <w:type w:val="nextPage"/>
      <w:pgSz w:w="11906" w:h="16838"/>
      <w:pgMar w:left="1134" w:right="1134" w:header="0" w:top="1134" w:footer="709" w:bottom="76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Pr>
    <w:r>
      <w:rPr/>
    </w:r>
    <w:r/>
  </w:p>
  <w:p>
    <w:pPr>
      <w:pStyle w:val="Pieddepage"/>
      <w:jc w:val="center"/>
    </w:pPr>
    <w:sdt>
      <w:sdtPr>
        <w:id w:val="27414"/>
      </w:sdtPr>
      <w:sdtContent>
        <w:r>
          <w:rPr>
            <w:sz w:val="16"/>
            <w:szCs w:val="16"/>
          </w:rPr>
          <w:t xml:space="preserve">commission formation MCC – </w:t>
        </w:r>
      </w:sdtContent>
    </w:sdt>
    <w:sdt>
      <w:sdtPr>
        <w:id w:val="19875"/>
      </w:sdtPr>
      <w:sdtContent>
        <w:r>
          <w:rPr>
            <w:sz w:val="16"/>
            <w:szCs w:val="16"/>
          </w:rPr>
          <w:t>1</w:t>
        </w:r>
      </w:sdtContent>
    </w:sdt>
    <w:sdt>
      <w:sdtPr>
        <w:id w:val="1088"/>
      </w:sdtPr>
      <w:sdtContent>
        <w:r>
          <w:rPr>
            <w:sz w:val="16"/>
            <w:szCs w:val="16"/>
            <w:vertAlign w:val="superscript"/>
          </w:rPr>
          <w:t>er</w:t>
        </w:r>
      </w:sdtContent>
    </w:sdt>
    <w:sdt>
      <w:sdtPr>
        <w:id w:val="1166"/>
      </w:sdtPr>
      <w:sdtContent>
        <w:r>
          <w:rPr>
            <w:sz w:val="16"/>
            <w:szCs w:val="16"/>
          </w:rPr>
          <w:t xml:space="preserve"> juillet</w:t>
        </w:r>
      </w:sdtContent>
    </w:sdt>
    <w:sdt>
      <w:sdtPr>
        <w:id w:val="6753"/>
      </w:sdtPr>
      <w:sdtContent>
        <w:r>
          <w:rPr>
            <w:sz w:val="16"/>
            <w:szCs w:val="16"/>
          </w:rPr>
          <w:t xml:space="preserve"> 2016</w:t>
        </w:r>
      </w:sdtContent>
    </w:sd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rPr/>
  </w:style>
  <w:style w:type="character" w:styleId="EntteCar" w:customStyle="1">
    <w:name w:val="En-tête Car"/>
    <w:basedOn w:val="DefaultParagraphFont"/>
    <w:link w:val="En-tte"/>
    <w:uiPriority w:val="99"/>
    <w:rsid w:val="00117b1a"/>
    <w:rPr/>
  </w:style>
  <w:style w:type="character" w:styleId="PieddepageCar" w:customStyle="1">
    <w:name w:val="Pied de page Car"/>
    <w:basedOn w:val="DefaultParagraphFont"/>
    <w:link w:val="Pieddepage"/>
    <w:uiPriority w:val="99"/>
    <w:rsid w:val="00117b1a"/>
    <w:rPr/>
  </w:style>
  <w:style w:type="character" w:styleId="TextedebullesCar" w:customStyle="1">
    <w:name w:val="Texte de bulles Car"/>
    <w:basedOn w:val="DefaultParagraphFont"/>
    <w:link w:val="Textedebulles"/>
    <w:uiPriority w:val="99"/>
    <w:semiHidden/>
    <w:rsid w:val="00117b1a"/>
    <w:rPr>
      <w:rFonts w:ascii="Tahoma" w:hAnsi="Tahoma" w:cs="Tahoma"/>
      <w:sz w:val="16"/>
      <w:szCs w:val="16"/>
    </w:rPr>
  </w:style>
  <w:style w:type="character" w:styleId="ListLabel1">
    <w:name w:val="ListLabel 1"/>
    <w:rPr>
      <w:rFonts w:eastAsia="Calibri" w:cs="Calibri"/>
    </w:rPr>
  </w:style>
  <w:style w:type="character" w:styleId="ListLabel2">
    <w:name w:val="ListLabel 2"/>
    <w:rPr>
      <w:rFonts w:cs="Courier New"/>
    </w:rPr>
  </w:style>
  <w:style w:type="character" w:styleId="ListLabel3">
    <w:name w:val="ListLabel 3"/>
    <w:rPr>
      <w:rFonts w:eastAsia="Calibri" w:cs=""/>
    </w:rPr>
  </w:style>
  <w:style w:type="character" w:styleId="ListLabel4">
    <w:name w:val="ListLabel 4"/>
    <w:rPr>
      <w:rFonts w:cs="Calibri"/>
    </w:rPr>
  </w:style>
  <w:style w:type="character" w:styleId="ListLabel5">
    <w:name w:val="ListLabel 5"/>
    <w:rPr>
      <w:rFonts w:cs="Courier New"/>
    </w:rPr>
  </w:style>
  <w:style w:type="character" w:styleId="ListLabel6">
    <w:name w:val="ListLabel 6"/>
    <w:rPr>
      <w:rFonts w:cs="Wingdings"/>
    </w:rPr>
  </w:style>
  <w:style w:type="character" w:styleId="ListLabel7">
    <w:name w:val="ListLabel 7"/>
    <w:rPr>
      <w:rFonts w:cs="Symbol"/>
    </w:rPr>
  </w:style>
  <w:style w:type="character" w:styleId="ListLabel8">
    <w:name w:val="ListLabel 8"/>
    <w:rPr>
      <w:rFonts w:cs="Calibri"/>
    </w:rPr>
  </w:style>
  <w:style w:type="character" w:styleId="ListLabel9">
    <w:name w:val="ListLabel 9"/>
    <w:rPr>
      <w:rFonts w:cs="Courier New"/>
    </w:rPr>
  </w:style>
  <w:style w:type="character" w:styleId="ListLabel10">
    <w:name w:val="ListLabel 10"/>
    <w:rPr>
      <w:rFonts w:cs="Wingdings"/>
    </w:rPr>
  </w:style>
  <w:style w:type="character" w:styleId="ListLabel11">
    <w:name w:val="ListLabel 11"/>
    <w:rPr>
      <w:rFonts w:cs="Symbol"/>
    </w:rPr>
  </w:style>
  <w:style w:type="character" w:styleId="Puces">
    <w:name w:val="Puces"/>
    <w:rPr>
      <w:rFonts w:ascii="OpenSymbol" w:hAnsi="OpenSymbol" w:eastAsia="OpenSymbol" w:cs="OpenSymbol"/>
    </w:rPr>
  </w:style>
  <w:style w:type="character" w:styleId="ListLabel12">
    <w:name w:val="ListLabel 12"/>
    <w:rPr>
      <w:rFonts w:cs="Calibri"/>
    </w:rPr>
  </w:style>
  <w:style w:type="character" w:styleId="ListLabel13">
    <w:name w:val="ListLabel 13"/>
    <w:rPr>
      <w:rFonts w:cs="Courier New"/>
    </w:rPr>
  </w:style>
  <w:style w:type="character" w:styleId="ListLabel14">
    <w:name w:val="ListLabel 14"/>
    <w:rPr>
      <w:rFonts w:cs="Wingdings"/>
    </w:rPr>
  </w:style>
  <w:style w:type="character" w:styleId="ListLabel15">
    <w:name w:val="ListLabel 15"/>
    <w:rPr>
      <w:rFonts w:cs="Symbol"/>
    </w:rPr>
  </w:style>
  <w:style w:type="character" w:styleId="ListLabel16">
    <w:name w:val="ListLabel 16"/>
    <w:rPr>
      <w:rFonts w:cs="Calibri"/>
    </w:rPr>
  </w:style>
  <w:style w:type="character" w:styleId="ListLabel17">
    <w:name w:val="ListLabel 17"/>
    <w:rPr>
      <w:rFonts w:cs="Courier New"/>
    </w:rPr>
  </w:style>
  <w:style w:type="character" w:styleId="ListLabel18">
    <w:name w:val="ListLabel 18"/>
    <w:rPr>
      <w:rFonts w:cs="Wingdings"/>
    </w:rPr>
  </w:style>
  <w:style w:type="character" w:styleId="ListLabel19">
    <w:name w:val="ListLabel 19"/>
    <w:rPr>
      <w:rFonts w:cs="Symbol"/>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ListParagraph">
    <w:name w:val="List Paragraph"/>
    <w:basedOn w:val="Normal"/>
    <w:uiPriority w:val="34"/>
    <w:qFormat/>
    <w:rsid w:val="00cd53a3"/>
    <w:pPr>
      <w:spacing w:before="0" w:after="200"/>
      <w:ind w:left="720" w:hanging="0"/>
      <w:contextualSpacing/>
    </w:pPr>
    <w:rPr/>
  </w:style>
  <w:style w:type="paragraph" w:styleId="Entte">
    <w:name w:val="En-tête"/>
    <w:basedOn w:val="Normal"/>
    <w:link w:val="En-tteCar"/>
    <w:uiPriority w:val="99"/>
    <w:unhideWhenUsed/>
    <w:rsid w:val="00117b1a"/>
    <w:pPr>
      <w:tabs>
        <w:tab w:val="center" w:pos="4536" w:leader="none"/>
        <w:tab w:val="right" w:pos="9072" w:leader="none"/>
      </w:tabs>
      <w:spacing w:lineRule="auto" w:line="240" w:before="0" w:after="0"/>
    </w:pPr>
    <w:rPr/>
  </w:style>
  <w:style w:type="paragraph" w:styleId="Pieddepage">
    <w:name w:val="Pied de page"/>
    <w:basedOn w:val="Normal"/>
    <w:link w:val="PieddepageCar"/>
    <w:uiPriority w:val="99"/>
    <w:unhideWhenUsed/>
    <w:rsid w:val="00117b1a"/>
    <w:pPr>
      <w:tabs>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rsid w:val="00117b1a"/>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FE3437AA88402CA8A77AA43ACE54F9"/>
        <w:category>
          <w:name w:val="Général"/>
          <w:gallery w:val="placeholder"/>
        </w:category>
        <w:types>
          <w:type w:val="bbPlcHdr"/>
        </w:types>
        <w:behaviors>
          <w:behavior w:val="content"/>
        </w:behaviors>
        <w:guid w:val="{2105DD5E-1D1F-4A83-8133-2A6599B71930}"/>
      </w:docPartPr>
      <w:docPartBody>
        <w:p w:rsidR="00000000" w:rsidRDefault="00D44BA2" w:rsidP="00D44BA2">
          <w:pPr>
            <w:pStyle w:val="C3FE3437AA88402CA8A77AA43ACE54F9"/>
          </w:pPr>
          <w: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A2"/>
    <w:rsid w:val="007A7362"/>
    <w:rsid w:val="00D44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3FE3437AA88402CA8A77AA43ACE54F9">
    <w:name w:val="C3FE3437AA88402CA8A77AA43ACE54F9"/>
    <w:rsid w:val="00D44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Application>LibreOffice/4.3.7.2$Windows_x86 LibreOffice_project/8a35821d8636a03b8bf4e15b48f59794652c68ba</Application>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2016-05-11T07:59:00Z</dcterms:created>
  <dc:creator>Hamelin Laurence</dc:creator>
  <dc:language>fr-FR</dc:language>
  <cp:lastPrinted>2016-05-23T10:49:30Z</cp:lastPrinted>
  <dcterms:modified xsi:type="dcterms:W3CDTF">2016-06-27T17:12:59Z</dcterms:modified>
  <cp:revision>198</cp:revision>
</cp:coreProperties>
</file>