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15" w:rsidRPr="00057A3B" w:rsidRDefault="002C7215" w:rsidP="002C7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Times New Roman" w:hAnsi="Arial" w:cs="Arial"/>
          <w:lang w:eastAsia="fr-FR"/>
        </w:rPr>
      </w:pPr>
      <w:r w:rsidRPr="00057A3B">
        <w:rPr>
          <w:rFonts w:ascii="Arial" w:eastAsia="Times New Roman" w:hAnsi="Arial" w:cs="Arial"/>
          <w:lang w:eastAsia="fr-FR"/>
        </w:rPr>
        <w:t>Centre national du cinéma et de l’image animée</w:t>
      </w:r>
    </w:p>
    <w:p w:rsidR="002C7215" w:rsidRPr="00057A3B" w:rsidRDefault="002C7215" w:rsidP="002C7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Times New Roman" w:hAnsi="Arial" w:cs="Arial"/>
          <w:lang w:eastAsia="fr-FR"/>
        </w:rPr>
      </w:pPr>
      <w:r w:rsidRPr="00057A3B">
        <w:rPr>
          <w:rFonts w:ascii="Arial" w:eastAsia="Times New Roman" w:hAnsi="Arial" w:cs="Arial"/>
          <w:lang w:eastAsia="fr-FR"/>
        </w:rPr>
        <w:t>Secrétariat général</w:t>
      </w:r>
    </w:p>
    <w:p w:rsidR="002C7215" w:rsidRPr="00057A3B" w:rsidRDefault="002C7215" w:rsidP="002C7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Times New Roman" w:hAnsi="Arial" w:cs="Arial"/>
          <w:lang w:eastAsia="fr-FR"/>
        </w:rPr>
      </w:pPr>
      <w:r w:rsidRPr="00057A3B">
        <w:rPr>
          <w:rFonts w:ascii="Arial" w:eastAsia="Times New Roman" w:hAnsi="Arial" w:cs="Arial"/>
          <w:lang w:eastAsia="fr-FR"/>
        </w:rPr>
        <w:t>Service des ressources humaines</w:t>
      </w:r>
    </w:p>
    <w:p w:rsidR="002C7215" w:rsidRPr="00057A3B" w:rsidRDefault="002C7215" w:rsidP="002C72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Times New Roman" w:hAnsi="Arial" w:cs="Arial"/>
          <w:lang w:eastAsia="fr-FR"/>
        </w:rPr>
      </w:pPr>
    </w:p>
    <w:p w:rsidR="002C7215" w:rsidRPr="00057A3B" w:rsidRDefault="002C7215" w:rsidP="002C7215">
      <w:pPr>
        <w:pBdr>
          <w:top w:val="single" w:sz="4" w:space="0" w:color="000000"/>
          <w:left w:val="single" w:sz="4" w:space="0" w:color="000000"/>
          <w:bottom w:val="single" w:sz="4" w:space="0" w:color="000000"/>
          <w:right w:val="single" w:sz="4" w:space="5"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w:eastAsia="Times New Roman" w:hAnsi="Arial" w:cs="Arial"/>
          <w:b/>
          <w:lang w:eastAsia="fr-FR"/>
        </w:rPr>
      </w:pPr>
    </w:p>
    <w:p w:rsidR="002C7215" w:rsidRPr="002C7215" w:rsidRDefault="002C7215" w:rsidP="002C7215">
      <w:pPr>
        <w:pBdr>
          <w:top w:val="single" w:sz="4" w:space="0" w:color="000000"/>
          <w:left w:val="single" w:sz="4" w:space="0" w:color="000000"/>
          <w:bottom w:val="single" w:sz="4" w:space="0" w:color="000000"/>
          <w:right w:val="single" w:sz="4" w:space="5"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w:hAnsi="Arial" w:cs="Arial"/>
        </w:rPr>
      </w:pPr>
      <w:r w:rsidRPr="002C7215">
        <w:rPr>
          <w:rFonts w:ascii="Arial" w:eastAsia="Times New Roman" w:hAnsi="Arial" w:cs="Arial"/>
          <w:lang w:eastAsia="fr-FR"/>
        </w:rPr>
        <w:t xml:space="preserve">Réunion </w:t>
      </w:r>
      <w:r w:rsidR="00DF4D88">
        <w:rPr>
          <w:rFonts w:ascii="Arial" w:eastAsia="Times New Roman" w:hAnsi="Arial" w:cs="Arial"/>
          <w:lang w:eastAsia="fr-FR"/>
        </w:rPr>
        <w:t>de négociation sur</w:t>
      </w:r>
      <w:r w:rsidRPr="002C7215">
        <w:rPr>
          <w:rFonts w:ascii="Arial" w:eastAsia="Times New Roman" w:hAnsi="Arial" w:cs="Arial"/>
          <w:lang w:eastAsia="fr-FR"/>
        </w:rPr>
        <w:t xml:space="preserve"> la grille indiciaire</w:t>
      </w:r>
      <w:r w:rsidRPr="002C7215">
        <w:rPr>
          <w:rFonts w:ascii="Arial" w:hAnsi="Arial" w:cs="Arial"/>
        </w:rPr>
        <w:t xml:space="preserve"> </w:t>
      </w:r>
    </w:p>
    <w:p w:rsidR="002C7215" w:rsidRDefault="002C7215" w:rsidP="00DF4D88">
      <w:pPr>
        <w:pBdr>
          <w:top w:val="single" w:sz="4" w:space="0" w:color="000000"/>
          <w:left w:val="single" w:sz="4" w:space="0" w:color="000000"/>
          <w:bottom w:val="single" w:sz="4" w:space="0" w:color="000000"/>
          <w:right w:val="single" w:sz="4" w:space="5"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w:eastAsia="Times New Roman" w:hAnsi="Arial" w:cs="Arial"/>
          <w:lang w:eastAsia="fr-FR"/>
        </w:rPr>
      </w:pPr>
      <w:r>
        <w:rPr>
          <w:rFonts w:ascii="Arial" w:eastAsia="Times New Roman" w:hAnsi="Arial" w:cs="Arial"/>
          <w:lang w:eastAsia="fr-FR"/>
        </w:rPr>
        <w:t>de</w:t>
      </w:r>
      <w:bookmarkStart w:id="0" w:name="_GoBack"/>
      <w:bookmarkEnd w:id="0"/>
      <w:r>
        <w:rPr>
          <w:rFonts w:ascii="Arial" w:eastAsia="Times New Roman" w:hAnsi="Arial" w:cs="Arial"/>
          <w:lang w:eastAsia="fr-FR"/>
        </w:rPr>
        <w:t>s agents contractuels du CNC</w:t>
      </w:r>
    </w:p>
    <w:p w:rsidR="00DF4D88" w:rsidRPr="00057A3B" w:rsidRDefault="00DF4D88" w:rsidP="00DF4D88">
      <w:pPr>
        <w:pBdr>
          <w:top w:val="single" w:sz="4" w:space="0" w:color="000000"/>
          <w:left w:val="single" w:sz="4" w:space="0" w:color="000000"/>
          <w:bottom w:val="single" w:sz="4" w:space="0" w:color="000000"/>
          <w:right w:val="single" w:sz="4" w:space="5"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w:eastAsia="Times New Roman" w:hAnsi="Arial" w:cs="Arial"/>
          <w:lang w:eastAsia="fr-FR"/>
        </w:rPr>
      </w:pPr>
    </w:p>
    <w:p w:rsidR="002C7215" w:rsidRPr="002C7215" w:rsidRDefault="002C7215" w:rsidP="002C7215">
      <w:pPr>
        <w:pBdr>
          <w:top w:val="single" w:sz="4" w:space="0" w:color="000000"/>
          <w:left w:val="single" w:sz="4" w:space="0" w:color="000000"/>
          <w:bottom w:val="single" w:sz="4" w:space="0" w:color="000000"/>
          <w:right w:val="single" w:sz="4" w:space="5"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w:eastAsia="Times New Roman" w:hAnsi="Arial" w:cs="Arial"/>
          <w:lang w:eastAsia="fr-FR"/>
        </w:rPr>
      </w:pPr>
      <w:r w:rsidRPr="002C7215">
        <w:rPr>
          <w:rFonts w:ascii="Arial" w:eastAsia="Times New Roman" w:hAnsi="Arial" w:cs="Arial"/>
          <w:lang w:eastAsia="fr-FR"/>
        </w:rPr>
        <w:t>Compte rendu</w:t>
      </w:r>
      <w:r>
        <w:rPr>
          <w:rFonts w:ascii="Arial" w:eastAsia="Times New Roman" w:hAnsi="Arial" w:cs="Arial"/>
          <w:lang w:eastAsia="fr-FR"/>
        </w:rPr>
        <w:t xml:space="preserve"> de la réunion</w:t>
      </w:r>
      <w:r w:rsidRPr="002C7215">
        <w:rPr>
          <w:rFonts w:ascii="Arial" w:eastAsia="Times New Roman" w:hAnsi="Arial" w:cs="Arial"/>
          <w:lang w:eastAsia="fr-FR"/>
        </w:rPr>
        <w:t xml:space="preserve"> </w:t>
      </w:r>
      <w:r w:rsidRPr="002C7215">
        <w:rPr>
          <w:rFonts w:ascii="Arial" w:eastAsia="Times New Roman" w:hAnsi="Arial" w:cs="Arial"/>
          <w:lang w:eastAsia="fr-FR"/>
        </w:rPr>
        <w:t>du 18 octobre 2016</w:t>
      </w:r>
    </w:p>
    <w:p w:rsidR="002C7215" w:rsidRPr="00057A3B" w:rsidRDefault="002C7215" w:rsidP="002C7215">
      <w:pPr>
        <w:pBdr>
          <w:top w:val="single" w:sz="4" w:space="0" w:color="000000"/>
          <w:left w:val="single" w:sz="4" w:space="0" w:color="000000"/>
          <w:bottom w:val="single" w:sz="4" w:space="0" w:color="000000"/>
          <w:right w:val="single" w:sz="4" w:space="5"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Arial" w:eastAsia="Times New Roman" w:hAnsi="Arial" w:cs="Arial"/>
          <w:lang w:eastAsia="fr-FR"/>
        </w:rPr>
      </w:pPr>
    </w:p>
    <w:p w:rsidR="002C7215" w:rsidRPr="00057A3B" w:rsidRDefault="002C7215" w:rsidP="002C7215">
      <w:pPr>
        <w:suppressAutoHyphens/>
        <w:spacing w:after="0" w:line="240" w:lineRule="auto"/>
        <w:jc w:val="both"/>
        <w:rPr>
          <w:rFonts w:ascii="Arial" w:eastAsia="Times New Roman" w:hAnsi="Arial" w:cs="Arial"/>
          <w:b/>
          <w:u w:val="single"/>
          <w:lang w:eastAsia="ar-SA"/>
        </w:rPr>
      </w:pPr>
    </w:p>
    <w:p w:rsidR="002C7215" w:rsidRPr="00057A3B" w:rsidRDefault="002C7215" w:rsidP="002C7215">
      <w:pPr>
        <w:suppressAutoHyphens/>
        <w:spacing w:after="0" w:line="240" w:lineRule="auto"/>
        <w:jc w:val="both"/>
        <w:rPr>
          <w:rFonts w:ascii="Arial" w:eastAsia="Times New Roman" w:hAnsi="Arial" w:cs="Arial"/>
          <w:b/>
          <w:lang w:eastAsia="ar-SA"/>
        </w:rPr>
      </w:pPr>
      <w:r w:rsidRPr="00057A3B">
        <w:rPr>
          <w:rFonts w:ascii="Arial" w:eastAsia="Times New Roman" w:hAnsi="Arial" w:cs="Arial"/>
          <w:b/>
          <w:u w:val="single"/>
          <w:lang w:eastAsia="ar-SA"/>
        </w:rPr>
        <w:t>Participants</w:t>
      </w:r>
      <w:r w:rsidRPr="00057A3B">
        <w:rPr>
          <w:rFonts w:ascii="Arial" w:eastAsia="Times New Roman" w:hAnsi="Arial" w:cs="Arial"/>
          <w:b/>
          <w:lang w:eastAsia="ar-SA"/>
        </w:rPr>
        <w:t xml:space="preserve">: </w:t>
      </w:r>
    </w:p>
    <w:p w:rsidR="002C7215" w:rsidRPr="00057A3B" w:rsidRDefault="002C7215" w:rsidP="002C7215">
      <w:pPr>
        <w:suppressAutoHyphens/>
        <w:spacing w:after="0" w:line="240" w:lineRule="auto"/>
        <w:jc w:val="both"/>
        <w:rPr>
          <w:rFonts w:ascii="Arial" w:eastAsia="Times New Roman" w:hAnsi="Arial" w:cs="Arial"/>
          <w:b/>
          <w:lang w:eastAsia="ar-SA"/>
        </w:rPr>
      </w:pPr>
    </w:p>
    <w:p w:rsidR="002C7215" w:rsidRPr="00057A3B" w:rsidRDefault="002C7215" w:rsidP="002C7215">
      <w:pPr>
        <w:numPr>
          <w:ilvl w:val="0"/>
          <w:numId w:val="2"/>
        </w:numPr>
        <w:spacing w:after="0" w:line="240" w:lineRule="auto"/>
        <w:jc w:val="both"/>
        <w:rPr>
          <w:rFonts w:ascii="Arial" w:eastAsia="Times New Roman" w:hAnsi="Arial" w:cs="Arial"/>
          <w:lang w:eastAsia="fr-FR"/>
        </w:rPr>
      </w:pPr>
      <w:r w:rsidRPr="00057A3B">
        <w:rPr>
          <w:rFonts w:ascii="Arial" w:eastAsia="Times New Roman" w:hAnsi="Arial" w:cs="Arial"/>
          <w:lang w:eastAsia="fr-FR"/>
        </w:rPr>
        <w:t>Leslie Thomas – Secrétaire générale</w:t>
      </w:r>
    </w:p>
    <w:p w:rsidR="002C7215" w:rsidRPr="00057A3B" w:rsidRDefault="002C7215" w:rsidP="002C7215">
      <w:pPr>
        <w:numPr>
          <w:ilvl w:val="0"/>
          <w:numId w:val="2"/>
        </w:numPr>
        <w:spacing w:after="0" w:line="240" w:lineRule="auto"/>
        <w:jc w:val="both"/>
        <w:rPr>
          <w:rFonts w:ascii="Arial" w:eastAsia="Times New Roman" w:hAnsi="Arial" w:cs="Arial"/>
          <w:lang w:eastAsia="fr-FR"/>
        </w:rPr>
      </w:pPr>
      <w:r w:rsidRPr="00057A3B">
        <w:rPr>
          <w:rFonts w:ascii="Arial" w:eastAsia="Times New Roman" w:hAnsi="Arial" w:cs="Arial"/>
          <w:lang w:eastAsia="fr-FR"/>
        </w:rPr>
        <w:t>Damien Landrini – Chef du Service des ressources humaines</w:t>
      </w:r>
    </w:p>
    <w:p w:rsidR="002C7215" w:rsidRPr="00057A3B" w:rsidRDefault="002C7215" w:rsidP="002C7215">
      <w:pPr>
        <w:numPr>
          <w:ilvl w:val="0"/>
          <w:numId w:val="2"/>
        </w:numPr>
        <w:spacing w:after="0" w:line="240" w:lineRule="auto"/>
        <w:jc w:val="both"/>
        <w:rPr>
          <w:rFonts w:ascii="Arial" w:eastAsia="Times New Roman" w:hAnsi="Arial" w:cs="Arial"/>
          <w:lang w:eastAsia="fr-FR"/>
        </w:rPr>
      </w:pPr>
      <w:r w:rsidRPr="00057A3B">
        <w:rPr>
          <w:rFonts w:ascii="Arial" w:eastAsia="Times New Roman" w:hAnsi="Arial" w:cs="Arial"/>
          <w:lang w:eastAsia="fr-FR"/>
        </w:rPr>
        <w:t>François Vohl – FSU</w:t>
      </w:r>
    </w:p>
    <w:p w:rsidR="002C7215" w:rsidRDefault="002C7215" w:rsidP="002C7215">
      <w:pPr>
        <w:numPr>
          <w:ilvl w:val="0"/>
          <w:numId w:val="2"/>
        </w:numPr>
        <w:spacing w:after="0" w:line="240" w:lineRule="auto"/>
        <w:jc w:val="both"/>
        <w:rPr>
          <w:rFonts w:ascii="Arial" w:eastAsia="Times New Roman" w:hAnsi="Arial" w:cs="Arial"/>
          <w:lang w:eastAsia="fr-FR"/>
        </w:rPr>
      </w:pPr>
      <w:r>
        <w:rPr>
          <w:rFonts w:ascii="Arial" w:eastAsia="Times New Roman" w:hAnsi="Arial" w:cs="Arial"/>
          <w:lang w:eastAsia="fr-FR"/>
        </w:rPr>
        <w:t>Camille Dauvin</w:t>
      </w:r>
      <w:r w:rsidRPr="00057A3B">
        <w:rPr>
          <w:rFonts w:ascii="Arial" w:eastAsia="Times New Roman" w:hAnsi="Arial" w:cs="Arial"/>
          <w:lang w:eastAsia="fr-FR"/>
        </w:rPr>
        <w:t xml:space="preserve"> – UNSA</w:t>
      </w:r>
    </w:p>
    <w:p w:rsidR="002C7215" w:rsidRDefault="002C7215" w:rsidP="002C7215">
      <w:pPr>
        <w:numPr>
          <w:ilvl w:val="0"/>
          <w:numId w:val="2"/>
        </w:numPr>
        <w:spacing w:after="0" w:line="240" w:lineRule="auto"/>
        <w:jc w:val="both"/>
        <w:rPr>
          <w:rFonts w:ascii="Arial" w:eastAsia="Times New Roman" w:hAnsi="Arial" w:cs="Arial"/>
          <w:lang w:eastAsia="fr-FR"/>
        </w:rPr>
      </w:pPr>
      <w:r>
        <w:rPr>
          <w:rFonts w:ascii="Arial" w:eastAsia="Times New Roman" w:hAnsi="Arial" w:cs="Arial"/>
          <w:lang w:eastAsia="fr-FR"/>
        </w:rPr>
        <w:t xml:space="preserve">Mahieddine Haciane </w:t>
      </w:r>
      <w:r w:rsidRPr="00057A3B">
        <w:rPr>
          <w:rFonts w:ascii="Arial" w:eastAsia="Times New Roman" w:hAnsi="Arial" w:cs="Arial"/>
          <w:lang w:eastAsia="fr-FR"/>
        </w:rPr>
        <w:t xml:space="preserve">– </w:t>
      </w:r>
      <w:r>
        <w:rPr>
          <w:rFonts w:ascii="Arial" w:eastAsia="Times New Roman" w:hAnsi="Arial" w:cs="Arial"/>
          <w:lang w:eastAsia="fr-FR"/>
        </w:rPr>
        <w:t>CGT</w:t>
      </w:r>
    </w:p>
    <w:p w:rsidR="002C7215" w:rsidRPr="00057A3B" w:rsidRDefault="002C7215" w:rsidP="002C7215">
      <w:pPr>
        <w:numPr>
          <w:ilvl w:val="0"/>
          <w:numId w:val="2"/>
        </w:numPr>
        <w:spacing w:after="0" w:line="240" w:lineRule="auto"/>
        <w:jc w:val="both"/>
        <w:rPr>
          <w:rFonts w:ascii="Arial" w:eastAsia="Times New Roman" w:hAnsi="Arial" w:cs="Arial"/>
          <w:lang w:eastAsia="fr-FR"/>
        </w:rPr>
      </w:pPr>
      <w:r>
        <w:rPr>
          <w:rFonts w:ascii="Arial" w:eastAsia="Times New Roman" w:hAnsi="Arial" w:cs="Arial"/>
          <w:lang w:eastAsia="fr-FR"/>
        </w:rPr>
        <w:t xml:space="preserve">Stanimir Dobrev </w:t>
      </w:r>
      <w:r w:rsidRPr="00057A3B">
        <w:rPr>
          <w:rFonts w:ascii="Arial" w:eastAsia="Times New Roman" w:hAnsi="Arial" w:cs="Arial"/>
          <w:lang w:eastAsia="fr-FR"/>
        </w:rPr>
        <w:t>–</w:t>
      </w:r>
      <w:r>
        <w:rPr>
          <w:rFonts w:ascii="Arial" w:eastAsia="Times New Roman" w:hAnsi="Arial" w:cs="Arial"/>
          <w:lang w:eastAsia="fr-FR"/>
        </w:rPr>
        <w:t xml:space="preserve"> CGT</w:t>
      </w:r>
    </w:p>
    <w:p w:rsidR="002C7215" w:rsidRPr="00057A3B" w:rsidRDefault="002C7215" w:rsidP="002C7215">
      <w:pPr>
        <w:spacing w:after="0" w:line="240" w:lineRule="auto"/>
        <w:jc w:val="both"/>
        <w:rPr>
          <w:rFonts w:ascii="Arial" w:eastAsia="Times New Roman" w:hAnsi="Arial" w:cs="Arial"/>
          <w:lang w:eastAsia="fr-FR"/>
        </w:rPr>
      </w:pPr>
    </w:p>
    <w:p w:rsidR="00C12657" w:rsidRDefault="002C7215" w:rsidP="002C7215">
      <w:pPr>
        <w:rPr>
          <w:rFonts w:ascii="Arial" w:eastAsia="Times New Roman" w:hAnsi="Arial" w:cs="Arial"/>
          <w:b/>
          <w:lang w:eastAsia="ar-SA"/>
        </w:rPr>
      </w:pPr>
      <w:r w:rsidRPr="002C7215">
        <w:rPr>
          <w:rFonts w:ascii="Arial" w:eastAsia="Times New Roman" w:hAnsi="Arial" w:cs="Arial"/>
          <w:b/>
          <w:u w:val="single"/>
          <w:lang w:eastAsia="ar-SA"/>
        </w:rPr>
        <w:t>Ordre du jour de la séance</w:t>
      </w:r>
      <w:r w:rsidRPr="002C7215">
        <w:rPr>
          <w:rFonts w:ascii="Arial" w:eastAsia="Times New Roman" w:hAnsi="Arial" w:cs="Arial"/>
          <w:lang w:eastAsia="ar-SA"/>
        </w:rPr>
        <w:t xml:space="preserve"> </w:t>
      </w:r>
      <w:r w:rsidRPr="002C7215">
        <w:rPr>
          <w:rFonts w:ascii="Arial" w:eastAsia="Times New Roman" w:hAnsi="Arial" w:cs="Arial"/>
          <w:b/>
          <w:lang w:eastAsia="ar-SA"/>
        </w:rPr>
        <w:t>:</w:t>
      </w:r>
    </w:p>
    <w:p w:rsidR="000F7C9D" w:rsidRDefault="00C12657" w:rsidP="00C12657">
      <w:pPr>
        <w:pStyle w:val="Paragraphedeliste"/>
        <w:numPr>
          <w:ilvl w:val="0"/>
          <w:numId w:val="2"/>
        </w:numPr>
        <w:rPr>
          <w:rFonts w:ascii="Arial" w:hAnsi="Arial" w:cs="Arial"/>
        </w:rPr>
      </w:pPr>
      <w:r>
        <w:rPr>
          <w:rFonts w:ascii="Arial" w:hAnsi="Arial" w:cs="Arial"/>
        </w:rPr>
        <w:t>Rappel</w:t>
      </w:r>
      <w:r w:rsidR="000F7C9D">
        <w:rPr>
          <w:rFonts w:ascii="Arial" w:hAnsi="Arial" w:cs="Arial"/>
        </w:rPr>
        <w:t xml:space="preserve"> du contexte</w:t>
      </w:r>
    </w:p>
    <w:p w:rsidR="00C12657" w:rsidRDefault="000F7C9D" w:rsidP="00C12657">
      <w:pPr>
        <w:pStyle w:val="Paragraphedeliste"/>
        <w:numPr>
          <w:ilvl w:val="0"/>
          <w:numId w:val="2"/>
        </w:numPr>
        <w:rPr>
          <w:rFonts w:ascii="Arial" w:hAnsi="Arial" w:cs="Arial"/>
        </w:rPr>
      </w:pPr>
      <w:r>
        <w:rPr>
          <w:rFonts w:ascii="Arial" w:hAnsi="Arial" w:cs="Arial"/>
        </w:rPr>
        <w:t xml:space="preserve">Rappel </w:t>
      </w:r>
      <w:r w:rsidR="00C12657">
        <w:rPr>
          <w:rFonts w:ascii="Arial" w:hAnsi="Arial" w:cs="Arial"/>
        </w:rPr>
        <w:t xml:space="preserve">des </w:t>
      </w:r>
      <w:r>
        <w:rPr>
          <w:rFonts w:ascii="Arial" w:hAnsi="Arial" w:cs="Arial"/>
        </w:rPr>
        <w:t>dispositions de l</w:t>
      </w:r>
      <w:r w:rsidR="00C12657">
        <w:rPr>
          <w:rFonts w:ascii="Arial" w:hAnsi="Arial" w:cs="Arial"/>
        </w:rPr>
        <w:t>’accord de méthode</w:t>
      </w:r>
    </w:p>
    <w:p w:rsidR="00C12657" w:rsidRDefault="000F7C9D" w:rsidP="00C12657">
      <w:pPr>
        <w:pStyle w:val="Paragraphedeliste"/>
        <w:numPr>
          <w:ilvl w:val="0"/>
          <w:numId w:val="2"/>
        </w:numPr>
        <w:rPr>
          <w:rFonts w:ascii="Arial" w:hAnsi="Arial" w:cs="Arial"/>
        </w:rPr>
      </w:pPr>
      <w:r>
        <w:rPr>
          <w:rFonts w:ascii="Arial" w:hAnsi="Arial" w:cs="Arial"/>
        </w:rPr>
        <w:t>Evocation de l</w:t>
      </w:r>
      <w:r w:rsidR="00C12657">
        <w:rPr>
          <w:rFonts w:ascii="Arial" w:hAnsi="Arial" w:cs="Arial"/>
        </w:rPr>
        <w:t>a nécessité d’apporter des modifications ou non au cadre commun (ajustement des délais de transmission des documents ou du nombre de participants, programmation de réunion thématiques en sus de la négociation formelle…)</w:t>
      </w:r>
    </w:p>
    <w:p w:rsidR="000F7C9D" w:rsidRDefault="000F7C9D" w:rsidP="002C7215">
      <w:pPr>
        <w:pStyle w:val="Paragraphedeliste"/>
        <w:numPr>
          <w:ilvl w:val="0"/>
          <w:numId w:val="2"/>
        </w:numPr>
        <w:rPr>
          <w:rFonts w:ascii="Arial" w:hAnsi="Arial" w:cs="Arial"/>
        </w:rPr>
      </w:pPr>
      <w:r>
        <w:rPr>
          <w:rFonts w:ascii="Arial" w:hAnsi="Arial" w:cs="Arial"/>
        </w:rPr>
        <w:t xml:space="preserve">Détermination de l’objet de la négociation </w:t>
      </w:r>
    </w:p>
    <w:p w:rsidR="000F7C9D" w:rsidRDefault="000F7C9D" w:rsidP="000F7C9D">
      <w:pPr>
        <w:pStyle w:val="Paragraphedeliste"/>
        <w:numPr>
          <w:ilvl w:val="0"/>
          <w:numId w:val="2"/>
        </w:numPr>
        <w:rPr>
          <w:rFonts w:ascii="Arial" w:hAnsi="Arial" w:cs="Arial"/>
        </w:rPr>
      </w:pPr>
      <w:r>
        <w:rPr>
          <w:rFonts w:ascii="Arial" w:hAnsi="Arial" w:cs="Arial"/>
        </w:rPr>
        <w:t>Proposition d’un calendrier prévisionnel</w:t>
      </w:r>
    </w:p>
    <w:p w:rsidR="000F7C9D" w:rsidRPr="00C12657" w:rsidRDefault="000F7C9D" w:rsidP="000F7C9D">
      <w:pPr>
        <w:pStyle w:val="Paragraphedeliste"/>
        <w:rPr>
          <w:rFonts w:ascii="Arial" w:hAnsi="Arial" w:cs="Arial"/>
        </w:rPr>
      </w:pPr>
    </w:p>
    <w:p w:rsidR="00C12657" w:rsidRDefault="00C12657" w:rsidP="002C7215">
      <w:pPr>
        <w:rPr>
          <w:rFonts w:ascii="Arial" w:hAnsi="Arial" w:cs="Arial"/>
        </w:rPr>
      </w:pPr>
    </w:p>
    <w:p w:rsidR="00C12657" w:rsidRDefault="00C12657" w:rsidP="002C7215">
      <w:pPr>
        <w:rPr>
          <w:rFonts w:ascii="Arial" w:hAnsi="Arial" w:cs="Arial"/>
        </w:rPr>
      </w:pPr>
    </w:p>
    <w:p w:rsidR="00C12657" w:rsidRDefault="00C12657" w:rsidP="002C7215">
      <w:pPr>
        <w:rPr>
          <w:rFonts w:ascii="Arial" w:hAnsi="Arial" w:cs="Arial"/>
        </w:rPr>
      </w:pPr>
    </w:p>
    <w:p w:rsidR="00C12657" w:rsidRDefault="00C12657" w:rsidP="002C7215">
      <w:pPr>
        <w:rPr>
          <w:rFonts w:ascii="Arial" w:hAnsi="Arial" w:cs="Arial"/>
        </w:rPr>
      </w:pPr>
    </w:p>
    <w:p w:rsidR="00C12657" w:rsidRDefault="00C12657" w:rsidP="002C7215">
      <w:pPr>
        <w:rPr>
          <w:rFonts w:ascii="Arial" w:hAnsi="Arial" w:cs="Arial"/>
        </w:rPr>
      </w:pPr>
    </w:p>
    <w:p w:rsidR="00C12657" w:rsidRDefault="00C12657" w:rsidP="002C7215">
      <w:pPr>
        <w:rPr>
          <w:rFonts w:ascii="Arial" w:hAnsi="Arial" w:cs="Arial"/>
        </w:rPr>
      </w:pPr>
    </w:p>
    <w:p w:rsidR="00C12657" w:rsidRDefault="00C12657" w:rsidP="002C7215">
      <w:pPr>
        <w:rPr>
          <w:rFonts w:ascii="Arial" w:hAnsi="Arial" w:cs="Arial"/>
        </w:rPr>
      </w:pPr>
    </w:p>
    <w:p w:rsidR="00C12657" w:rsidRDefault="00C12657" w:rsidP="002C7215">
      <w:pPr>
        <w:rPr>
          <w:rFonts w:ascii="Arial" w:hAnsi="Arial" w:cs="Arial"/>
        </w:rPr>
      </w:pPr>
    </w:p>
    <w:p w:rsidR="00C12657" w:rsidRDefault="00C12657" w:rsidP="002C7215">
      <w:pPr>
        <w:rPr>
          <w:rFonts w:ascii="Arial" w:hAnsi="Arial" w:cs="Arial"/>
        </w:rPr>
      </w:pPr>
    </w:p>
    <w:p w:rsidR="00C12657" w:rsidRDefault="00C12657" w:rsidP="000F7C9D">
      <w:pPr>
        <w:jc w:val="both"/>
        <w:rPr>
          <w:rFonts w:ascii="Arial" w:hAnsi="Arial" w:cs="Arial"/>
        </w:rPr>
      </w:pPr>
    </w:p>
    <w:p w:rsidR="000F7C9D" w:rsidRDefault="000F7C9D" w:rsidP="000F7C9D">
      <w:pPr>
        <w:jc w:val="both"/>
        <w:rPr>
          <w:rFonts w:ascii="Arial" w:hAnsi="Arial" w:cs="Arial"/>
        </w:rPr>
      </w:pPr>
    </w:p>
    <w:p w:rsidR="002C7215" w:rsidRPr="002C7215" w:rsidRDefault="002C7215" w:rsidP="000F7C9D">
      <w:pPr>
        <w:jc w:val="both"/>
        <w:rPr>
          <w:rFonts w:ascii="Arial" w:hAnsi="Arial" w:cs="Arial"/>
        </w:rPr>
      </w:pPr>
      <w:r w:rsidRPr="002C7215">
        <w:rPr>
          <w:rFonts w:ascii="Arial" w:hAnsi="Arial" w:cs="Arial"/>
        </w:rPr>
        <w:lastRenderedPageBreak/>
        <w:t xml:space="preserve">Au préalable, le contexte et la procédure de révision des grilles indiciaires sont rappelés – recueil de l’avis favorable du ministère de la culture et de la communication – engagement d’une négociation inédite avec les représentants du personnel selon l’accord de méthode – procédure à suivre similaire à celle conduite pour la mise en place du régime indemnitaire (validation du MCC, du Budget, des Finances et de la DGAFP) – un contexte de sollicitation de la DGAFP sur de nombreux projets de réforme jusqu’en 2020. </w:t>
      </w:r>
    </w:p>
    <w:p w:rsidR="002C7215" w:rsidRPr="002C7215" w:rsidRDefault="002C7215" w:rsidP="000F7C9D">
      <w:pPr>
        <w:jc w:val="both"/>
        <w:rPr>
          <w:rFonts w:ascii="Arial" w:hAnsi="Arial" w:cs="Arial"/>
        </w:rPr>
      </w:pPr>
      <w:r w:rsidRPr="002C7215">
        <w:rPr>
          <w:rFonts w:ascii="Arial" w:hAnsi="Arial" w:cs="Arial"/>
        </w:rPr>
        <w:t>L’effectivité de la refonte des grilles indiciaires pour les agents contractuels du CNC est souhaitée pour le 1</w:t>
      </w:r>
      <w:r w:rsidRPr="002C7215">
        <w:rPr>
          <w:rFonts w:ascii="Arial" w:hAnsi="Arial" w:cs="Arial"/>
          <w:vertAlign w:val="superscript"/>
        </w:rPr>
        <w:t>er</w:t>
      </w:r>
      <w:r w:rsidRPr="002C7215">
        <w:rPr>
          <w:rFonts w:ascii="Arial" w:hAnsi="Arial" w:cs="Arial"/>
        </w:rPr>
        <w:t xml:space="preserve"> janvier 2018. </w:t>
      </w:r>
    </w:p>
    <w:p w:rsidR="002C7215" w:rsidRPr="002C7215" w:rsidRDefault="002C7215" w:rsidP="000F7C9D">
      <w:pPr>
        <w:jc w:val="both"/>
        <w:rPr>
          <w:rFonts w:ascii="Arial" w:hAnsi="Arial" w:cs="Arial"/>
        </w:rPr>
      </w:pPr>
      <w:r w:rsidRPr="002C7215">
        <w:rPr>
          <w:rFonts w:ascii="Arial" w:hAnsi="Arial" w:cs="Arial"/>
        </w:rPr>
        <w:t xml:space="preserve">Les modalités pratiques de déroulement du cycle de négociation sont abordées : souplesse du calendrier avec un minimum de cinq réunions – ajout possible de réunions thématiques (sur les règles de reclassement notamment) – désignation des participants – transmission des documents de travail dans des délais permettant une bonne préparation (au plus tard huit jours pleins) – formulation de propositions possibles jusqu’à 48 h avant la réunion. </w:t>
      </w:r>
    </w:p>
    <w:p w:rsidR="002C7215" w:rsidRPr="002C7215" w:rsidRDefault="002C7215" w:rsidP="000F7C9D">
      <w:pPr>
        <w:jc w:val="both"/>
        <w:rPr>
          <w:rFonts w:ascii="Arial" w:hAnsi="Arial" w:cs="Arial"/>
        </w:rPr>
      </w:pPr>
      <w:r w:rsidRPr="002C7215">
        <w:rPr>
          <w:rFonts w:ascii="Arial" w:hAnsi="Arial" w:cs="Arial"/>
        </w:rPr>
        <w:t>Les carences des grilles actuelles sont évoquées :</w:t>
      </w:r>
    </w:p>
    <w:p w:rsidR="002C7215" w:rsidRPr="002C7215" w:rsidRDefault="002C7215" w:rsidP="000F7C9D">
      <w:pPr>
        <w:pStyle w:val="Paragraphedeliste"/>
        <w:numPr>
          <w:ilvl w:val="0"/>
          <w:numId w:val="1"/>
        </w:numPr>
        <w:jc w:val="both"/>
        <w:rPr>
          <w:rFonts w:ascii="Arial" w:hAnsi="Arial" w:cs="Arial"/>
        </w:rPr>
      </w:pPr>
      <w:r w:rsidRPr="002C7215">
        <w:rPr>
          <w:rFonts w:ascii="Arial" w:hAnsi="Arial" w:cs="Arial"/>
        </w:rPr>
        <w:t>s’agissant de la catégorie 4 :</w:t>
      </w:r>
    </w:p>
    <w:p w:rsidR="002C7215" w:rsidRPr="002C7215" w:rsidRDefault="002C7215" w:rsidP="000F7C9D">
      <w:pPr>
        <w:pStyle w:val="Paragraphedeliste"/>
        <w:numPr>
          <w:ilvl w:val="1"/>
          <w:numId w:val="1"/>
        </w:numPr>
        <w:jc w:val="both"/>
        <w:rPr>
          <w:rFonts w:ascii="Arial" w:hAnsi="Arial" w:cs="Arial"/>
        </w:rPr>
      </w:pPr>
      <w:r w:rsidRPr="002C7215">
        <w:rPr>
          <w:rFonts w:ascii="Arial" w:hAnsi="Arial" w:cs="Arial"/>
        </w:rPr>
        <w:t xml:space="preserve"> les cinq premiers échelons - classe 1 situés en deçà du SMIC</w:t>
      </w:r>
    </w:p>
    <w:p w:rsidR="002C7215" w:rsidRPr="002C7215" w:rsidRDefault="002C7215" w:rsidP="000F7C9D">
      <w:pPr>
        <w:pStyle w:val="Paragraphedeliste"/>
        <w:numPr>
          <w:ilvl w:val="2"/>
          <w:numId w:val="1"/>
        </w:numPr>
        <w:jc w:val="both"/>
        <w:rPr>
          <w:rFonts w:ascii="Arial" w:hAnsi="Arial" w:cs="Arial"/>
        </w:rPr>
      </w:pPr>
      <w:r w:rsidRPr="002C7215">
        <w:rPr>
          <w:rFonts w:ascii="Arial" w:hAnsi="Arial" w:cs="Arial"/>
        </w:rPr>
        <w:t>Nécessité d’attribuer une indemnité différentielle</w:t>
      </w:r>
    </w:p>
    <w:p w:rsidR="002C7215" w:rsidRPr="002C7215" w:rsidRDefault="002C7215" w:rsidP="000F7C9D">
      <w:pPr>
        <w:pStyle w:val="Paragraphedeliste"/>
        <w:numPr>
          <w:ilvl w:val="2"/>
          <w:numId w:val="1"/>
        </w:numPr>
        <w:jc w:val="both"/>
        <w:rPr>
          <w:rFonts w:ascii="Arial" w:hAnsi="Arial" w:cs="Arial"/>
        </w:rPr>
      </w:pPr>
      <w:r w:rsidRPr="002C7215">
        <w:rPr>
          <w:rFonts w:ascii="Arial" w:hAnsi="Arial" w:cs="Arial"/>
        </w:rPr>
        <w:t>16% des agents concernés</w:t>
      </w:r>
    </w:p>
    <w:p w:rsidR="002C7215" w:rsidRPr="002C7215" w:rsidRDefault="002C7215" w:rsidP="000F7C9D">
      <w:pPr>
        <w:pStyle w:val="Paragraphedeliste"/>
        <w:numPr>
          <w:ilvl w:val="2"/>
          <w:numId w:val="1"/>
        </w:numPr>
        <w:jc w:val="both"/>
        <w:rPr>
          <w:rFonts w:ascii="Arial" w:hAnsi="Arial" w:cs="Arial"/>
        </w:rPr>
      </w:pPr>
      <w:r w:rsidRPr="002C7215">
        <w:rPr>
          <w:rFonts w:ascii="Arial" w:hAnsi="Arial" w:cs="Arial"/>
        </w:rPr>
        <w:t xml:space="preserve">impact sur la moitié du déroulement de carrière </w:t>
      </w:r>
    </w:p>
    <w:p w:rsidR="002C7215" w:rsidRPr="002C7215" w:rsidRDefault="002C7215" w:rsidP="000F7C9D">
      <w:pPr>
        <w:pStyle w:val="Paragraphedeliste"/>
        <w:ind w:left="1440"/>
        <w:jc w:val="both"/>
        <w:rPr>
          <w:rFonts w:ascii="Arial" w:hAnsi="Arial" w:cs="Arial"/>
        </w:rPr>
      </w:pPr>
    </w:p>
    <w:p w:rsidR="002C7215" w:rsidRPr="002C7215" w:rsidRDefault="002C7215" w:rsidP="000F7C9D">
      <w:pPr>
        <w:pStyle w:val="Paragraphedeliste"/>
        <w:numPr>
          <w:ilvl w:val="1"/>
          <w:numId w:val="1"/>
        </w:numPr>
        <w:jc w:val="both"/>
        <w:rPr>
          <w:rFonts w:ascii="Arial" w:hAnsi="Arial" w:cs="Arial"/>
        </w:rPr>
      </w:pPr>
      <w:r w:rsidRPr="002C7215">
        <w:rPr>
          <w:rFonts w:ascii="Arial" w:hAnsi="Arial" w:cs="Arial"/>
        </w:rPr>
        <w:t>les quatre premiers échelons – classe 2 sont situés en deçà du SMIC</w:t>
      </w:r>
    </w:p>
    <w:p w:rsidR="002C7215" w:rsidRPr="002C7215" w:rsidRDefault="002C7215" w:rsidP="000F7C9D">
      <w:pPr>
        <w:pStyle w:val="Paragraphedeliste"/>
        <w:ind w:left="1440"/>
        <w:jc w:val="both"/>
        <w:rPr>
          <w:rFonts w:ascii="Arial" w:hAnsi="Arial" w:cs="Arial"/>
        </w:rPr>
      </w:pPr>
    </w:p>
    <w:p w:rsidR="002C7215" w:rsidRPr="002C7215" w:rsidRDefault="002C7215" w:rsidP="000F7C9D">
      <w:pPr>
        <w:pStyle w:val="Paragraphedeliste"/>
        <w:numPr>
          <w:ilvl w:val="0"/>
          <w:numId w:val="1"/>
        </w:numPr>
        <w:jc w:val="both"/>
        <w:rPr>
          <w:rFonts w:ascii="Arial" w:hAnsi="Arial" w:cs="Arial"/>
        </w:rPr>
      </w:pPr>
      <w:r w:rsidRPr="002C7215">
        <w:rPr>
          <w:rFonts w:ascii="Arial" w:hAnsi="Arial" w:cs="Arial"/>
        </w:rPr>
        <w:t xml:space="preserve">S’agissant de la catégorie 3 </w:t>
      </w:r>
    </w:p>
    <w:p w:rsidR="002C7215" w:rsidRPr="002C7215" w:rsidRDefault="002C7215" w:rsidP="000F7C9D">
      <w:pPr>
        <w:pStyle w:val="Paragraphedeliste"/>
        <w:numPr>
          <w:ilvl w:val="1"/>
          <w:numId w:val="1"/>
        </w:numPr>
        <w:jc w:val="both"/>
        <w:rPr>
          <w:rFonts w:ascii="Arial" w:hAnsi="Arial" w:cs="Arial"/>
        </w:rPr>
      </w:pPr>
      <w:r w:rsidRPr="002C7215">
        <w:rPr>
          <w:rFonts w:ascii="Arial" w:hAnsi="Arial" w:cs="Arial"/>
        </w:rPr>
        <w:t>Les trois premiers échelons –  filière générale – classe normale se situent en deçà du SMIC</w:t>
      </w:r>
    </w:p>
    <w:p w:rsidR="002C7215" w:rsidRPr="002C7215" w:rsidRDefault="002C7215" w:rsidP="000F7C9D">
      <w:pPr>
        <w:pStyle w:val="Paragraphedeliste"/>
        <w:numPr>
          <w:ilvl w:val="1"/>
          <w:numId w:val="1"/>
        </w:numPr>
        <w:jc w:val="both"/>
        <w:rPr>
          <w:rFonts w:ascii="Arial" w:hAnsi="Arial" w:cs="Arial"/>
        </w:rPr>
      </w:pPr>
      <w:r w:rsidRPr="002C7215">
        <w:rPr>
          <w:rFonts w:ascii="Arial" w:hAnsi="Arial" w:cs="Arial"/>
        </w:rPr>
        <w:t xml:space="preserve">le premier échelon – filière technique – classe normale se situe en deçà du SMIC </w:t>
      </w:r>
    </w:p>
    <w:p w:rsidR="002C7215" w:rsidRPr="002C7215" w:rsidRDefault="002C7215" w:rsidP="000F7C9D">
      <w:pPr>
        <w:jc w:val="both"/>
        <w:rPr>
          <w:rFonts w:ascii="Arial" w:hAnsi="Arial" w:cs="Arial"/>
        </w:rPr>
      </w:pPr>
      <w:r w:rsidRPr="002C7215">
        <w:rPr>
          <w:rFonts w:ascii="Arial" w:hAnsi="Arial" w:cs="Arial"/>
        </w:rPr>
        <w:t xml:space="preserve">La constitution des six grilles indiciaires est détaillée. </w:t>
      </w:r>
    </w:p>
    <w:p w:rsidR="002C7215" w:rsidRPr="002C7215" w:rsidRDefault="002C7215" w:rsidP="000F7C9D">
      <w:pPr>
        <w:jc w:val="both"/>
        <w:rPr>
          <w:rFonts w:ascii="Arial" w:hAnsi="Arial" w:cs="Arial"/>
        </w:rPr>
      </w:pPr>
      <w:r w:rsidRPr="002C7215">
        <w:rPr>
          <w:rFonts w:ascii="Arial" w:hAnsi="Arial" w:cs="Arial"/>
        </w:rPr>
        <w:t xml:space="preserve">Les organisations syndicales ont formulé les revendications suivantes : rééquilibrage de la rémunération indiciaire par rapport à la part indemnitaire (FSU), constitution de catégorie sans classe intermédiaire (CGT). </w:t>
      </w:r>
    </w:p>
    <w:p w:rsidR="002C7215" w:rsidRPr="002C7215" w:rsidRDefault="002C7215" w:rsidP="000F7C9D">
      <w:pPr>
        <w:jc w:val="both"/>
        <w:rPr>
          <w:rFonts w:ascii="Arial" w:hAnsi="Arial" w:cs="Arial"/>
        </w:rPr>
      </w:pPr>
      <w:r w:rsidRPr="002C7215">
        <w:rPr>
          <w:rFonts w:ascii="Arial" w:hAnsi="Arial" w:cs="Arial"/>
        </w:rPr>
        <w:t>Vigilance est appelée sur les possibilités du CNC : celui-ci sera tenu par les plafonds budgétaires et la cohérence générale avec les grilles du MCC.</w:t>
      </w:r>
    </w:p>
    <w:p w:rsidR="002C7215" w:rsidRPr="002C7215" w:rsidRDefault="002C7215" w:rsidP="000F7C9D">
      <w:pPr>
        <w:jc w:val="both"/>
        <w:rPr>
          <w:rFonts w:ascii="Arial" w:hAnsi="Arial" w:cs="Arial"/>
        </w:rPr>
      </w:pPr>
      <w:r w:rsidRPr="002C7215">
        <w:rPr>
          <w:rFonts w:ascii="Arial" w:hAnsi="Arial" w:cs="Arial"/>
        </w:rPr>
        <w:t xml:space="preserve">Les thématiques pouvant faire l’objet de la négociation sont évoquées : la durée dans l’échelon, le nombre de classes dans une catégorie, le nombre d’échelons, l’avancement de classe, les règles de reclassement. </w:t>
      </w:r>
    </w:p>
    <w:p w:rsidR="002C7215" w:rsidRPr="002C7215" w:rsidRDefault="002C7215" w:rsidP="000F7C9D">
      <w:pPr>
        <w:jc w:val="both"/>
        <w:rPr>
          <w:rFonts w:ascii="Arial" w:hAnsi="Arial" w:cs="Arial"/>
        </w:rPr>
      </w:pPr>
      <w:r w:rsidRPr="002C7215">
        <w:rPr>
          <w:rFonts w:ascii="Arial" w:hAnsi="Arial" w:cs="Arial"/>
        </w:rPr>
        <w:t xml:space="preserve">Le déploiement progressif du dispositif du PPCR jusqu’à 2020 est précisé. </w:t>
      </w:r>
    </w:p>
    <w:p w:rsidR="002C7215" w:rsidRPr="002C7215" w:rsidRDefault="002C7215" w:rsidP="000F7C9D">
      <w:pPr>
        <w:jc w:val="both"/>
        <w:rPr>
          <w:rFonts w:ascii="Arial" w:hAnsi="Arial" w:cs="Arial"/>
        </w:rPr>
      </w:pPr>
      <w:r w:rsidRPr="002C7215">
        <w:rPr>
          <w:rFonts w:ascii="Arial" w:hAnsi="Arial" w:cs="Arial"/>
        </w:rPr>
        <w:t>La liste des documents à transmettre aux représentants du personnel en vue de la prochaine réunion est définie :</w:t>
      </w:r>
    </w:p>
    <w:p w:rsidR="002C7215" w:rsidRPr="002C7215" w:rsidRDefault="002C7215" w:rsidP="000F7C9D">
      <w:pPr>
        <w:pStyle w:val="Paragraphedeliste"/>
        <w:numPr>
          <w:ilvl w:val="0"/>
          <w:numId w:val="1"/>
        </w:numPr>
        <w:jc w:val="both"/>
        <w:rPr>
          <w:rFonts w:ascii="Arial" w:hAnsi="Arial" w:cs="Arial"/>
        </w:rPr>
      </w:pPr>
      <w:r w:rsidRPr="002C7215">
        <w:rPr>
          <w:rFonts w:ascii="Arial" w:hAnsi="Arial" w:cs="Arial"/>
        </w:rPr>
        <w:t>les six grilles indiciaires avec précision des conditions de diplômes requises</w:t>
      </w:r>
    </w:p>
    <w:p w:rsidR="002C7215" w:rsidRPr="002C7215" w:rsidRDefault="002C7215" w:rsidP="000F7C9D">
      <w:pPr>
        <w:pStyle w:val="Paragraphedeliste"/>
        <w:numPr>
          <w:ilvl w:val="0"/>
          <w:numId w:val="1"/>
        </w:numPr>
        <w:jc w:val="both"/>
        <w:rPr>
          <w:rFonts w:ascii="Arial" w:hAnsi="Arial" w:cs="Arial"/>
        </w:rPr>
      </w:pPr>
      <w:r w:rsidRPr="002C7215">
        <w:rPr>
          <w:rFonts w:ascii="Arial" w:hAnsi="Arial" w:cs="Arial"/>
        </w:rPr>
        <w:lastRenderedPageBreak/>
        <w:t>la correspondance indice majoré - indice brut</w:t>
      </w:r>
    </w:p>
    <w:p w:rsidR="002C7215" w:rsidRPr="002C7215" w:rsidRDefault="002C7215" w:rsidP="000F7C9D">
      <w:pPr>
        <w:pStyle w:val="Paragraphedeliste"/>
        <w:numPr>
          <w:ilvl w:val="0"/>
          <w:numId w:val="1"/>
        </w:numPr>
        <w:jc w:val="both"/>
        <w:rPr>
          <w:rFonts w:ascii="Arial" w:hAnsi="Arial" w:cs="Arial"/>
        </w:rPr>
      </w:pPr>
      <w:r w:rsidRPr="002C7215">
        <w:rPr>
          <w:rFonts w:ascii="Arial" w:hAnsi="Arial" w:cs="Arial"/>
        </w:rPr>
        <w:t xml:space="preserve">la liste des agents ayant atteint l’indice sommital avec mention du nombre de mois de réductions d’ancienneté </w:t>
      </w:r>
    </w:p>
    <w:p w:rsidR="002C7215" w:rsidRPr="002C7215" w:rsidRDefault="002C7215" w:rsidP="000F7C9D">
      <w:pPr>
        <w:pStyle w:val="Paragraphedeliste"/>
        <w:numPr>
          <w:ilvl w:val="0"/>
          <w:numId w:val="1"/>
        </w:numPr>
        <w:jc w:val="both"/>
        <w:rPr>
          <w:rFonts w:ascii="Arial" w:hAnsi="Arial" w:cs="Arial"/>
        </w:rPr>
      </w:pPr>
      <w:r w:rsidRPr="002C7215">
        <w:rPr>
          <w:rFonts w:ascii="Arial" w:hAnsi="Arial" w:cs="Arial"/>
        </w:rPr>
        <w:t>le nombre d’agents contractuels rémunérés par catégorie et par échelon</w:t>
      </w:r>
    </w:p>
    <w:p w:rsidR="002C7215" w:rsidRPr="002C7215" w:rsidRDefault="002C7215" w:rsidP="000F7C9D">
      <w:pPr>
        <w:jc w:val="both"/>
        <w:rPr>
          <w:rFonts w:ascii="Arial" w:hAnsi="Arial" w:cs="Arial"/>
        </w:rPr>
      </w:pPr>
      <w:r w:rsidRPr="002C7215">
        <w:rPr>
          <w:rFonts w:ascii="Arial" w:hAnsi="Arial" w:cs="Arial"/>
        </w:rPr>
        <w:t>L’ordre du jour prévisionnel de la prochaine réunion est évoqué :</w:t>
      </w:r>
    </w:p>
    <w:p w:rsidR="002C7215" w:rsidRPr="002C7215" w:rsidRDefault="002C7215" w:rsidP="000F7C9D">
      <w:pPr>
        <w:pStyle w:val="Paragraphedeliste"/>
        <w:numPr>
          <w:ilvl w:val="0"/>
          <w:numId w:val="1"/>
        </w:numPr>
        <w:jc w:val="both"/>
        <w:rPr>
          <w:rFonts w:ascii="Arial" w:hAnsi="Arial" w:cs="Arial"/>
        </w:rPr>
      </w:pPr>
      <w:r w:rsidRPr="002C7215">
        <w:rPr>
          <w:rFonts w:ascii="Arial" w:hAnsi="Arial" w:cs="Arial"/>
        </w:rPr>
        <w:t>présentation d’un bilan partagé</w:t>
      </w:r>
    </w:p>
    <w:p w:rsidR="002C7215" w:rsidRPr="002C7215" w:rsidRDefault="002C7215" w:rsidP="000F7C9D">
      <w:pPr>
        <w:pStyle w:val="Paragraphedeliste"/>
        <w:numPr>
          <w:ilvl w:val="0"/>
          <w:numId w:val="1"/>
        </w:numPr>
        <w:jc w:val="both"/>
        <w:rPr>
          <w:rFonts w:ascii="Arial" w:hAnsi="Arial" w:cs="Arial"/>
        </w:rPr>
      </w:pPr>
      <w:r w:rsidRPr="002C7215">
        <w:rPr>
          <w:rFonts w:ascii="Arial" w:hAnsi="Arial" w:cs="Arial"/>
        </w:rPr>
        <w:t xml:space="preserve">détermination du  nombre de catégories et du nombre de classes par catégorie souhaités. </w:t>
      </w:r>
    </w:p>
    <w:p w:rsidR="002C7215" w:rsidRPr="002C7215" w:rsidRDefault="002C7215" w:rsidP="000F7C9D">
      <w:pPr>
        <w:ind w:left="360"/>
        <w:jc w:val="both"/>
        <w:rPr>
          <w:rFonts w:ascii="Arial" w:hAnsi="Arial" w:cs="Arial"/>
        </w:rPr>
      </w:pPr>
    </w:p>
    <w:p w:rsidR="005E4E94" w:rsidRPr="002C7215" w:rsidRDefault="005E4E94" w:rsidP="000F7C9D">
      <w:pPr>
        <w:jc w:val="both"/>
        <w:rPr>
          <w:rFonts w:ascii="Arial" w:hAnsi="Arial" w:cs="Arial"/>
        </w:rPr>
      </w:pPr>
    </w:p>
    <w:p w:rsidR="002C7215" w:rsidRPr="002C7215" w:rsidRDefault="002C7215" w:rsidP="000F7C9D">
      <w:pPr>
        <w:jc w:val="both"/>
        <w:rPr>
          <w:rFonts w:ascii="Arial" w:hAnsi="Arial" w:cs="Arial"/>
        </w:rPr>
      </w:pPr>
    </w:p>
    <w:sectPr w:rsidR="002C7215" w:rsidRPr="002C72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71" w:rsidRDefault="00DF4D8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51401"/>
      <w:docPartObj>
        <w:docPartGallery w:val="Page Numbers (Bottom of Page)"/>
        <w:docPartUnique/>
      </w:docPartObj>
    </w:sdtPr>
    <w:sdtEndPr/>
    <w:sdtContent>
      <w:p w:rsidR="00C14A03" w:rsidRDefault="00DF4D88">
        <w:pPr>
          <w:pStyle w:val="Pieddepage"/>
        </w:pPr>
        <w:r>
          <w:fldChar w:fldCharType="begin"/>
        </w:r>
        <w:r>
          <w:instrText>PAGE   \* MERGEFORMAT</w:instrText>
        </w:r>
        <w:r>
          <w:fldChar w:fldCharType="separate"/>
        </w:r>
        <w:r>
          <w:rPr>
            <w:noProof/>
          </w:rPr>
          <w:t>1</w:t>
        </w:r>
        <w:r>
          <w:fldChar w:fldCharType="end"/>
        </w:r>
      </w:p>
    </w:sdtContent>
  </w:sdt>
  <w:p w:rsidR="00C14A03" w:rsidRDefault="00DF4D8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71" w:rsidRDefault="00DF4D88">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71" w:rsidRDefault="00DF4D8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71" w:rsidRDefault="00DF4D8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371" w:rsidRDefault="00DF4D8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12C7"/>
    <w:multiLevelType w:val="hybridMultilevel"/>
    <w:tmpl w:val="EFE25256"/>
    <w:lvl w:ilvl="0" w:tplc="18BC3202">
      <w:numFmt w:val="bullet"/>
      <w:lvlText w:val="-"/>
      <w:lvlJc w:val="left"/>
      <w:pPr>
        <w:ind w:left="720" w:hanging="360"/>
      </w:pPr>
      <w:rPr>
        <w:rFonts w:ascii="Arial" w:eastAsia="Times New Roman" w:hAnsi="Arial" w:cs="Aria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243F30"/>
    <w:multiLevelType w:val="hybridMultilevel"/>
    <w:tmpl w:val="B3EA9A0A"/>
    <w:lvl w:ilvl="0" w:tplc="2390995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15"/>
    <w:rsid w:val="000F7C9D"/>
    <w:rsid w:val="002C7215"/>
    <w:rsid w:val="005E4E94"/>
    <w:rsid w:val="00C12657"/>
    <w:rsid w:val="00DF4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2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7215"/>
    <w:pPr>
      <w:ind w:left="720"/>
      <w:contextualSpacing/>
    </w:pPr>
  </w:style>
  <w:style w:type="paragraph" w:styleId="En-tte">
    <w:name w:val="header"/>
    <w:basedOn w:val="Normal"/>
    <w:link w:val="En-tteCar"/>
    <w:uiPriority w:val="99"/>
    <w:unhideWhenUsed/>
    <w:rsid w:val="002C7215"/>
    <w:pPr>
      <w:tabs>
        <w:tab w:val="center" w:pos="4536"/>
        <w:tab w:val="right" w:pos="9072"/>
      </w:tabs>
      <w:spacing w:after="0" w:line="240" w:lineRule="auto"/>
    </w:pPr>
  </w:style>
  <w:style w:type="character" w:customStyle="1" w:styleId="En-tteCar">
    <w:name w:val="En-tête Car"/>
    <w:basedOn w:val="Policepardfaut"/>
    <w:link w:val="En-tte"/>
    <w:uiPriority w:val="99"/>
    <w:rsid w:val="002C7215"/>
  </w:style>
  <w:style w:type="paragraph" w:styleId="Pieddepage">
    <w:name w:val="footer"/>
    <w:basedOn w:val="Normal"/>
    <w:link w:val="PieddepageCar"/>
    <w:uiPriority w:val="99"/>
    <w:unhideWhenUsed/>
    <w:rsid w:val="002C72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7215"/>
  </w:style>
  <w:style w:type="paragraph" w:styleId="Textedebulles">
    <w:name w:val="Balloon Text"/>
    <w:basedOn w:val="Normal"/>
    <w:link w:val="TextedebullesCar"/>
    <w:uiPriority w:val="99"/>
    <w:semiHidden/>
    <w:unhideWhenUsed/>
    <w:rsid w:val="00C126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6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2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7215"/>
    <w:pPr>
      <w:ind w:left="720"/>
      <w:contextualSpacing/>
    </w:pPr>
  </w:style>
  <w:style w:type="paragraph" w:styleId="En-tte">
    <w:name w:val="header"/>
    <w:basedOn w:val="Normal"/>
    <w:link w:val="En-tteCar"/>
    <w:uiPriority w:val="99"/>
    <w:unhideWhenUsed/>
    <w:rsid w:val="002C7215"/>
    <w:pPr>
      <w:tabs>
        <w:tab w:val="center" w:pos="4536"/>
        <w:tab w:val="right" w:pos="9072"/>
      </w:tabs>
      <w:spacing w:after="0" w:line="240" w:lineRule="auto"/>
    </w:pPr>
  </w:style>
  <w:style w:type="character" w:customStyle="1" w:styleId="En-tteCar">
    <w:name w:val="En-tête Car"/>
    <w:basedOn w:val="Policepardfaut"/>
    <w:link w:val="En-tte"/>
    <w:uiPriority w:val="99"/>
    <w:rsid w:val="002C7215"/>
  </w:style>
  <w:style w:type="paragraph" w:styleId="Pieddepage">
    <w:name w:val="footer"/>
    <w:basedOn w:val="Normal"/>
    <w:link w:val="PieddepageCar"/>
    <w:uiPriority w:val="99"/>
    <w:unhideWhenUsed/>
    <w:rsid w:val="002C72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7215"/>
  </w:style>
  <w:style w:type="paragraph" w:styleId="Textedebulles">
    <w:name w:val="Balloon Text"/>
    <w:basedOn w:val="Normal"/>
    <w:link w:val="TextedebullesCar"/>
    <w:uiPriority w:val="99"/>
    <w:semiHidden/>
    <w:unhideWhenUsed/>
    <w:rsid w:val="00C126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6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587</Words>
  <Characters>3232</Characters>
  <Application>Microsoft Office Word</Application>
  <DocSecurity>0</DocSecurity>
  <Lines>26</Lines>
  <Paragraphs>7</Paragraphs>
  <ScaleCrop>false</ScaleCrop>
  <Company>Centre national du cinéma et de l'image animée</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dc:creator>
  <cp:lastModifiedBy>CNC</cp:lastModifiedBy>
  <cp:revision>4</cp:revision>
  <dcterms:created xsi:type="dcterms:W3CDTF">2016-11-08T09:44:00Z</dcterms:created>
  <dcterms:modified xsi:type="dcterms:W3CDTF">2016-11-08T09:55:00Z</dcterms:modified>
</cp:coreProperties>
</file>