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pBdr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pBdr>
        <w:jc w:val="center"/>
        <w:rPr>
          <w:b/>
          <w:sz w:val="40"/>
          <w:szCs w:val="40"/>
        </w:rPr>
      </w:pPr>
      <w:r>
        <w:rPr>
          <w:rFonts w:ascii="Times New Roman" w:cs="Times New Roman" w:hAnsi="Times New Roman"/>
          <w:lang w:eastAsia="fr-FR"/>
        </w:rPr>
        <w:t xml:space="preserve"> </w:t>
      </w:r>
      <w:r>
        <w:rPr>
          <w:rFonts w:ascii="Times New Roman" w:cs="Times New Roman" w:hAnsi="Times New Roman"/>
          <w:lang w:eastAsia="fr-FR"/>
        </w:rPr>
        <w:drawing>
          <wp:inline distB="0" distL="0" distR="0" distT="0">
            <wp:extent cx="1752600" cy="1028700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>Compte-rendu du CT du 12/03/2015</w:t>
      </w:r>
    </w:p>
    <w:p>
      <w:pPr>
        <w:pStyle w:val="style0"/>
        <w:jc w:val="both"/>
        <w:rPr/>
      </w:pPr>
      <w:r>
        <w:rPr/>
        <w:t>Le  président directeur du musée, monsieur Jean Luc MARTINEZ, étant absent, le comité technique a été présidé par Monsieur Herve BARBARET,  administrateur général.</w:t>
      </w:r>
    </w:p>
    <w:p>
      <w:pPr>
        <w:pStyle w:val="style0"/>
        <w:jc w:val="both"/>
        <w:rPr/>
      </w:pPr>
      <w:r>
        <w:rPr/>
        <w:t>Les élus CGT présents : Thierry CHOQUET, Nina HAMITI, Naima ZANDAGUE, Xavier FEMEL, Assia MEHDAOUI, Gary GUILLAUD, Doria PONTARLIER, Jean-Louis GOUDOU.</w:t>
      </w:r>
    </w:p>
    <w:p>
      <w:pPr>
        <w:pStyle w:val="style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1/ Adoption du règlement intérieur du comité technique (pour avis) </w:t>
      </w:r>
    </w:p>
    <w:p>
      <w:pPr>
        <w:pStyle w:val="style0"/>
        <w:jc w:val="both"/>
        <w:rPr/>
      </w:pPr>
      <w:r>
        <w:rPr/>
        <w:t>Des modifications ont été apportées aux articles 4, 6, 12, 20, 21 et 22.</w:t>
      </w:r>
    </w:p>
    <w:p>
      <w:pPr>
        <w:pStyle w:val="style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VOTE :   CGT : abstention ;  SUD : pour ;  SNAC FSU : contre.</w:t>
      </w:r>
    </w:p>
    <w:p>
      <w:pPr>
        <w:pStyle w:val="style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2/ Approbation du PV du comité technique du 19/11/2014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VOTE : Pour à  l’unanimité</w:t>
      </w:r>
    </w:p>
    <w:p>
      <w:pPr>
        <w:pStyle w:val="style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3/ Bilan de formation (pour information)</w:t>
      </w:r>
    </w:p>
    <w:p>
      <w:pPr>
        <w:pStyle w:val="style0"/>
        <w:spacing w:after="200" w:before="0"/>
        <w:contextualSpacing/>
        <w:jc w:val="both"/>
        <w:rPr/>
      </w:pPr>
      <w:r>
        <w:rPr/>
        <w:t>Le service Formation a présenté aux membres du CT, le bilan des actions 2014.</w:t>
      </w:r>
    </w:p>
    <w:p>
      <w:pPr>
        <w:pStyle w:val="style0"/>
        <w:spacing w:after="200" w:before="0"/>
        <w:contextualSpacing/>
        <w:jc w:val="both"/>
        <w:rPr/>
      </w:pPr>
      <w:r>
        <w:rPr/>
        <w:t>La CGT a demandé à la direction de ne pas comptabilisé en doublon les formations préparations concours dans les formations DIF et hors DIF.</w:t>
      </w:r>
    </w:p>
    <w:p>
      <w:pPr>
        <w:pStyle w:val="style0"/>
        <w:spacing w:after="200" w:before="0"/>
        <w:contextualSpacing/>
        <w:jc w:val="both"/>
        <w:rPr/>
      </w:pPr>
      <w:r>
        <w:rPr/>
        <w:t xml:space="preserve">La CGT a demandé que la transmission d’information ne doit pas être comptabilisée et inscrite dans le bilan de formation (260 personnes, accueil intégration DAPS). </w:t>
      </w:r>
    </w:p>
    <w:p>
      <w:pPr>
        <w:pStyle w:val="style0"/>
        <w:spacing w:after="200" w:before="0"/>
        <w:contextualSpacing/>
        <w:jc w:val="both"/>
        <w:rPr/>
      </w:pPr>
      <w:r>
        <w:rPr/>
        <w:t>La CGT a de nouveau rappelé à l’administration que les préparations concours n’étaient pas inscrites réglementairement dans le cadre du DIF. La position du Louvre sur ce sujet est contraire à celle du Ministère.</w:t>
      </w:r>
    </w:p>
    <w:p>
      <w:pPr>
        <w:pStyle w:val="style0"/>
        <w:jc w:val="both"/>
        <w:rPr>
          <w:b/>
        </w:rPr>
      </w:pPr>
      <w:r>
        <w:rPr>
          <w:b/>
          <w:u w:val="single"/>
        </w:rPr>
        <w:t>La CGT a obtenu l’engagement de la direction qu’en 2015, les préparations concours ne seront pas prises sur le DIF</w:t>
      </w:r>
      <w:r>
        <w:rPr>
          <w:b/>
        </w:rPr>
        <w:t>.</w:t>
        <w:tab/>
      </w:r>
    </w:p>
    <w:p>
      <w:pPr>
        <w:pStyle w:val="style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4/ Plan de formation 2015/2017 (pour avis)</w:t>
      </w:r>
    </w:p>
    <w:p>
      <w:pPr>
        <w:pStyle w:val="style0"/>
        <w:jc w:val="both"/>
        <w:rPr/>
      </w:pPr>
      <w:r>
        <w:rPr/>
        <w:t>La CGT a rappelé que les préparations aux examens professionnels en méthode e-learning                     (préparation via internet) n’étaient pas adaptées et insuffisantes aux besoins des agents par rapport aux formations en présentiel du Ministère.</w:t>
      </w:r>
    </w:p>
    <w:p>
      <w:pPr>
        <w:pStyle w:val="style0"/>
        <w:spacing w:after="200" w:before="0"/>
        <w:contextualSpacing/>
        <w:jc w:val="both"/>
        <w:rPr>
          <w:b/>
          <w:u w:val="single"/>
        </w:rPr>
      </w:pPr>
      <w:r>
        <w:rPr/>
        <w:t xml:space="preserve">La CGT a relevé qu’aucune préparation aux concours Sauvadet Catégorie A n’est programmée dans le plan. La direction nous a informé que </w:t>
      </w:r>
      <w:r>
        <w:rPr>
          <w:b/>
          <w:u w:val="single"/>
        </w:rPr>
        <w:t>ces préparations seront prises en charge et organisées par le Ministère.</w:t>
      </w:r>
    </w:p>
    <w:p>
      <w:pPr>
        <w:pStyle w:val="style0"/>
        <w:spacing w:after="200" w:before="0"/>
        <w:contextualSpacing/>
        <w:jc w:val="both"/>
        <w:rPr>
          <w:b/>
          <w:u w:val="single"/>
        </w:rPr>
      </w:pPr>
      <w:r>
        <w:rPr>
          <w:b/>
          <w:u w:val="single"/>
        </w:rPr>
        <w:t>Pour information, l’ouverture des inscriptions en langues pour l’ensemble des agents reprennent en 2015.</w:t>
      </w:r>
    </w:p>
    <w:p>
      <w:pPr>
        <w:pStyle w:val="style0"/>
        <w:spacing w:after="200" w:before="0"/>
        <w:contextualSpacing/>
        <w:jc w:val="both"/>
        <w:rPr/>
      </w:pPr>
      <w:r>
        <w:rPr/>
        <w:t>Malgré un plan de formation complet, la CGT ne pouvait que s’abstenir sur le sujet en raison de son insatisfaction face à l’offre réduite concernant les langues (formations linguistiques à minima en anglais et en espagnol). Cette mesure concerne uniquement les agents de la DAPS.</w:t>
      </w:r>
    </w:p>
    <w:p>
      <w:pPr>
        <w:pStyle w:val="style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VOTE :   CGT : abstention ;  SUD : contre ;  SNAC FSU : pour.</w:t>
      </w:r>
    </w:p>
    <w:p>
      <w:pPr>
        <w:pStyle w:val="style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5/ Quota de chefs d’équipe de la DAPS présents les jours fériés musée ouvert (pour avis)</w:t>
      </w:r>
    </w:p>
    <w:p>
      <w:pPr>
        <w:pStyle w:val="style0"/>
        <w:spacing w:after="200" w:before="0"/>
        <w:contextualSpacing/>
        <w:jc w:val="both"/>
        <w:rPr/>
      </w:pPr>
      <w:r>
        <w:rPr/>
        <w:t xml:space="preserve">Dans le cadre de l’harmonisation des services, le quota de 50% + 1 a été adopté pour l’ensemble de la DAPS, avec une mise en place à partir du 5 avril 2015. </w:t>
      </w:r>
    </w:p>
    <w:p>
      <w:pPr>
        <w:pStyle w:val="style0"/>
        <w:spacing w:after="200" w:before="0"/>
        <w:contextualSpacing/>
        <w:jc w:val="both"/>
        <w:rPr/>
      </w:pPr>
      <w:r>
        <w:rPr/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VOTE : Pour à  l’unanimité</w:t>
      </w:r>
    </w:p>
    <w:p>
      <w:pPr>
        <w:pStyle w:val="style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6/ Finalisation de l’organisation de la Direction de la Médiation et de la Programmation Culturelle (DMPC) (pour avis) :</w:t>
      </w:r>
    </w:p>
    <w:p>
      <w:pPr>
        <w:pStyle w:val="style2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Création du service support à la programmation à la sous-direction de l’auditorium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VOTE :   CGT : Pour ;  SUD : abstention ;  SNAC FSU : abstention.</w:t>
      </w:r>
    </w:p>
    <w:p>
      <w:pPr>
        <w:pStyle w:val="style2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Création d’un adjoint au chef du service des programmes de médiation à la sous-direction de la médiation dans les salles. </w:t>
      </w:r>
    </w:p>
    <w:p>
      <w:pPr>
        <w:pStyle w:val="style0"/>
        <w:spacing w:after="200" w:before="0"/>
        <w:contextualSpacing/>
        <w:jc w:val="both"/>
        <w:rPr>
          <w:b/>
          <w:sz w:val="28"/>
          <w:szCs w:val="28"/>
          <w:u w:val="single"/>
        </w:rPr>
      </w:pPr>
      <w:r>
        <w:rPr/>
        <w:t>La direction nous informe que ce recrutement se fera en interne à effectif constant</w:t>
      </w:r>
      <w:r>
        <w:rPr>
          <w:b/>
          <w:sz w:val="28"/>
          <w:szCs w:val="28"/>
          <w:u w:val="single"/>
        </w:rPr>
        <w:t>.</w:t>
      </w:r>
    </w:p>
    <w:p>
      <w:pPr>
        <w:pStyle w:val="style0"/>
        <w:spacing w:after="200" w:before="0"/>
        <w:contextualSpacing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VOTE :   CGT : Pour ;  SUD : abstention ;  SNAC FSU : Pour.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7/ Modification de l’organigramme de la DRC – création d’un poste d’adjoint au service de la conservation préventive (pour avis ) :</w:t>
      </w:r>
    </w:p>
    <w:p>
      <w:pPr>
        <w:pStyle w:val="style0"/>
        <w:spacing w:after="200" w:before="0"/>
        <w:contextualSpacing/>
        <w:jc w:val="both"/>
        <w:rPr/>
      </w:pPr>
      <w:r>
        <w:rPr/>
        <w:t>La direction nous informe que ce recrutement se fera en interne à effectif constant.</w:t>
      </w:r>
    </w:p>
    <w:p>
      <w:pPr>
        <w:pStyle w:val="style0"/>
        <w:spacing w:after="200" w:before="0"/>
        <w:contextualSpacing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VOTE :   CGT : Pour ;  SUD : abstention ;  SNAC FSU : Abstention.</w:t>
      </w:r>
    </w:p>
    <w:p>
      <w:pPr>
        <w:pStyle w:val="style0"/>
        <w:ind w:hanging="0" w:left="360" w:righ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style0"/>
        <w:ind w:hanging="0" w:left="360" w:righ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style0"/>
        <w:ind w:hanging="0" w:left="360" w:righ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style0"/>
        <w:ind w:hanging="0" w:left="360" w:righ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Questions diverses</w:t>
      </w:r>
    </w:p>
    <w:p>
      <w:pPr>
        <w:pStyle w:val="style26"/>
        <w:numPr>
          <w:ilvl w:val="0"/>
          <w:numId w:val="3"/>
        </w:numPr>
        <w:ind w:hanging="360" w:left="1134" w:right="0"/>
        <w:jc w:val="both"/>
        <w:rPr/>
      </w:pPr>
      <w:r>
        <w:rPr/>
        <w:t xml:space="preserve"> </w:t>
      </w:r>
      <w:r>
        <w:rPr/>
        <w:t>Il a été demandé où en était l’avancement du projet d’ouverture 7j/7 :</w:t>
      </w:r>
    </w:p>
    <w:p>
      <w:pPr>
        <w:pStyle w:val="style26"/>
        <w:ind w:hanging="0" w:left="1440" w:right="0"/>
        <w:jc w:val="both"/>
        <w:rPr>
          <w:b/>
        </w:rPr>
      </w:pPr>
      <w:r>
        <w:rPr/>
        <w:t xml:space="preserve">La Direction a répondu qu’elle n’en était pour le moment qu’à une étape de diagnostic général. Elle attend encore le rapport de l’IGAC qui aurait du être transmis fin février 2015. </w:t>
      </w:r>
      <w:r>
        <w:rPr>
          <w:b/>
        </w:rPr>
        <w:t>La CGT affirme qu’il n’y aura pas de négociation possible que ce soit en termes de postes et/ou d’augmentation de budget pour une ouverture 7 jours sur 7.</w:t>
      </w:r>
    </w:p>
    <w:p>
      <w:pPr>
        <w:pStyle w:val="style26"/>
        <w:ind w:hanging="0" w:left="1440" w:right="0"/>
        <w:jc w:val="both"/>
        <w:rPr/>
      </w:pPr>
      <w:r>
        <w:rPr/>
      </w:r>
    </w:p>
    <w:p>
      <w:pPr>
        <w:pStyle w:val="style26"/>
        <w:numPr>
          <w:ilvl w:val="0"/>
          <w:numId w:val="1"/>
        </w:numPr>
        <w:jc w:val="both"/>
        <w:rPr>
          <w:rFonts w:cs="Calibri" w:eastAsia="Calibri"/>
          <w:lang w:eastAsia="fr-FR"/>
        </w:rPr>
      </w:pPr>
      <w:r>
        <w:rPr>
          <w:rFonts w:cs="Calibri" w:eastAsia="Calibri"/>
          <w:lang w:eastAsia="fr-FR"/>
        </w:rPr>
        <w:t>Concernant les agents malades le dimanche sans pouvoir consulter ce jour: La Direction a accepté que les médecins établissent un arrêt maladie le lundi et y adjoignent un certificat médical attestant que le patient était malade le dimanche afin de régulariser la situation.</w:t>
      </w:r>
    </w:p>
    <w:p>
      <w:pPr>
        <w:pStyle w:val="style26"/>
        <w:ind w:hanging="0" w:left="1440" w:right="0"/>
        <w:jc w:val="both"/>
        <w:rPr>
          <w:rFonts w:cs="Calibri" w:eastAsia="Calibri"/>
          <w:lang w:eastAsia="fr-FR"/>
        </w:rPr>
      </w:pPr>
      <w:r>
        <w:rPr>
          <w:rFonts w:cs="Calibri" w:eastAsia="Calibri"/>
          <w:lang w:eastAsia="fr-FR"/>
        </w:rPr>
      </w:r>
    </w:p>
    <w:p>
      <w:pPr>
        <w:pStyle w:val="style26"/>
        <w:numPr>
          <w:ilvl w:val="0"/>
          <w:numId w:val="1"/>
        </w:numPr>
        <w:jc w:val="both"/>
        <w:rPr>
          <w:rFonts w:cs="Calibri" w:eastAsia="Calibri"/>
          <w:lang w:eastAsia="fr-FR"/>
        </w:rPr>
      </w:pPr>
      <w:r>
        <w:rPr>
          <w:rFonts w:cs="Calibri" w:eastAsia="Calibri"/>
          <w:lang w:eastAsia="fr-FR"/>
        </w:rPr>
        <w:t xml:space="preserve">IAT/IFTS : un travail avec l’intersyndicale locale sera nécessaire pour faire avancer les travaux au niveau </w:t>
      </w:r>
      <w:bookmarkStart w:id="0" w:name="_GoBack"/>
      <w:bookmarkEnd w:id="0"/>
      <w:r>
        <w:rPr>
          <w:rFonts w:cs="Calibri" w:eastAsia="Calibri"/>
          <w:lang w:eastAsia="fr-FR"/>
        </w:rPr>
        <w:t>ministériel.</w:t>
      </w:r>
    </w:p>
    <w:p>
      <w:pPr>
        <w:pStyle w:val="style26"/>
        <w:ind w:hanging="0" w:left="1440" w:right="0"/>
        <w:jc w:val="both"/>
        <w:rPr>
          <w:rFonts w:cs="Calibri" w:eastAsia="Calibri"/>
          <w:lang w:eastAsia="fr-FR"/>
        </w:rPr>
      </w:pPr>
      <w:r>
        <w:rPr>
          <w:rFonts w:cs="Calibri" w:eastAsia="Calibri"/>
          <w:lang w:eastAsia="fr-FR"/>
        </w:rPr>
      </w:r>
    </w:p>
    <w:p>
      <w:pPr>
        <w:pStyle w:val="style26"/>
        <w:numPr>
          <w:ilvl w:val="0"/>
          <w:numId w:val="1"/>
        </w:numPr>
        <w:jc w:val="both"/>
        <w:rPr>
          <w:rFonts w:cs="Calibri" w:eastAsia="Calibri"/>
          <w:lang w:eastAsia="fr-FR"/>
        </w:rPr>
      </w:pPr>
      <w:r>
        <w:rPr>
          <w:rFonts w:cs="Calibri" w:eastAsia="Calibri"/>
          <w:lang w:eastAsia="fr-FR"/>
        </w:rPr>
        <w:t>Demande d'amélioration de la distribution du courrier en interne à la DAPS avec rappel de l’illégalité de retarder/détourner/bloquer le courrier et rappel des peines aggravées encourues.</w:t>
      </w:r>
    </w:p>
    <w:p>
      <w:pPr>
        <w:pStyle w:val="style26"/>
        <w:ind w:hanging="0" w:left="1440" w:right="0"/>
        <w:jc w:val="both"/>
        <w:rPr>
          <w:rFonts w:cs="Calibri" w:eastAsia="Calibri"/>
          <w:lang w:eastAsia="fr-FR"/>
        </w:rPr>
      </w:pPr>
      <w:r>
        <w:rPr>
          <w:rFonts w:cs="Calibri" w:eastAsia="Calibri"/>
          <w:lang w:eastAsia="fr-FR"/>
        </w:rPr>
      </w:r>
    </w:p>
    <w:p>
      <w:pPr>
        <w:pStyle w:val="style26"/>
        <w:numPr>
          <w:ilvl w:val="0"/>
          <w:numId w:val="1"/>
        </w:numPr>
        <w:jc w:val="both"/>
        <w:rPr>
          <w:rFonts w:cs="Calibri" w:eastAsia="Calibri"/>
          <w:b/>
          <w:u w:val="single"/>
          <w:lang w:eastAsia="fr-FR"/>
        </w:rPr>
      </w:pPr>
      <w:r>
        <w:rPr>
          <w:rFonts w:cs="Calibri" w:eastAsia="Calibri"/>
          <w:lang w:eastAsia="fr-FR"/>
        </w:rPr>
        <w:t>Pour les promotions en CAP sur quels critères se basent la Direction pour faire ces listes ? Pour la Direction les critères sont la prise de responsabilité et l'ancienneté dans la fonction,</w:t>
      </w:r>
      <w:r>
        <w:rPr>
          <w:rFonts w:cs="Calibri" w:eastAsia="Calibri"/>
          <w:b/>
          <w:lang w:eastAsia="fr-FR"/>
        </w:rPr>
        <w:t xml:space="preserve"> </w:t>
      </w:r>
      <w:r>
        <w:rPr>
          <w:rFonts w:cs="Calibri" w:eastAsia="Calibri"/>
          <w:b/>
          <w:u w:val="single"/>
          <w:lang w:eastAsia="fr-FR"/>
        </w:rPr>
        <w:t>pour la CGT les critères à la promotion sont  l'ancienneté et l'âge.</w:t>
      </w:r>
    </w:p>
    <w:p>
      <w:pPr>
        <w:pStyle w:val="style26"/>
        <w:rPr>
          <w:rFonts w:cs="Calibri" w:eastAsia="Calibri"/>
          <w:b/>
          <w:u w:val="single"/>
          <w:lang w:eastAsia="fr-FR"/>
        </w:rPr>
      </w:pPr>
      <w:r>
        <w:rPr>
          <w:rFonts w:cs="Calibri" w:eastAsia="Calibri"/>
          <w:b/>
          <w:u w:val="single"/>
          <w:lang w:eastAsia="fr-FR"/>
        </w:rPr>
      </w:r>
    </w:p>
    <w:p>
      <w:pPr>
        <w:pStyle w:val="style26"/>
        <w:ind w:hanging="0" w:left="1440" w:right="0"/>
        <w:jc w:val="both"/>
        <w:rPr>
          <w:rFonts w:cs="Calibri" w:eastAsia="Calibri"/>
          <w:b/>
          <w:u w:val="single"/>
          <w:lang w:eastAsia="fr-FR"/>
        </w:rPr>
      </w:pPr>
      <w:r>
        <w:rPr>
          <w:rFonts w:cs="Calibri" w:eastAsia="Calibri"/>
          <w:b/>
          <w:u w:val="single"/>
          <w:lang w:eastAsia="fr-FR"/>
        </w:rPr>
      </w:r>
    </w:p>
    <w:p>
      <w:pPr>
        <w:pStyle w:val="style0"/>
        <w:jc w:val="both"/>
        <w:rPr>
          <w:b/>
        </w:rPr>
      </w:pPr>
      <w:r>
        <w:rPr>
          <w:b/>
        </w:rPr>
        <w:t>Le Comité Technique s’est terminé à  17h</w:t>
      </w:r>
    </w:p>
    <w:p>
      <w:pPr>
        <w:pStyle w:val="style26"/>
        <w:jc w:val="both"/>
        <w:rPr/>
      </w:pPr>
      <w:r>
        <w:rPr/>
      </w:r>
    </w:p>
    <w:p>
      <w:pPr>
        <w:pStyle w:val="style26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tbl>
      <w:tblPr>
        <w:jc w:val="left"/>
        <w:tblInd w:type="dxa" w:w="-34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13"/>
          <w:bottom w:type="dxa" w:w="0"/>
          <w:right w:type="dxa" w:w="108"/>
        </w:tblCellMar>
      </w:tblPr>
      <w:tblGrid>
        <w:gridCol w:w="10494"/>
        <w:gridCol w:w="425"/>
      </w:tblGrid>
      <w:tr>
        <w:trPr>
          <w:trHeight w:hRule="atLeast" w:val="1161"/>
          <w:cantSplit w:val="false"/>
        </w:trPr>
        <w:tc>
          <w:tcPr>
            <w:tcW w:type="dxa" w:w="10494"/>
            <w:tcBorders>
              <w:top w:val="nil"/>
              <w:left w:val="nil"/>
              <w:bottom w:val="nil"/>
              <w:right w:val="nil"/>
            </w:tcBorders>
            <w:shd w:fill="EEECE1" w:val="clear"/>
          </w:tcPr>
          <w:p>
            <w:pPr>
              <w:pStyle w:val="style0"/>
              <w:spacing w:after="0" w:before="0" w:line="100" w:lineRule="atLeast"/>
              <w:ind w:hanging="0" w:left="89" w:right="177"/>
              <w:contextualSpacing w:val="false"/>
              <w:jc w:val="right"/>
              <w:rPr>
                <w:rFonts w:cs="Times New Roman"/>
                <w:i/>
                <w:sz w:val="28"/>
                <w:szCs w:val="28"/>
                <w:lang w:eastAsia="ja-JP" w:val="fr-FR"/>
              </w:rPr>
            </w:pPr>
            <w:r>
              <w:rPr>
                <w:rFonts w:cs="Times New Roman"/>
                <w:i/>
                <w:sz w:val="28"/>
                <w:szCs w:val="28"/>
                <w:lang w:eastAsia="ja-JP" w:val="fr-FR"/>
              </w:rPr>
              <w:t>Paris, le  16 /03/2015.</w:t>
            </w:r>
          </w:p>
          <w:p>
            <w:pPr>
              <w:pStyle w:val="style0"/>
              <w:spacing w:after="0" w:before="0" w:line="100" w:lineRule="atLeast"/>
              <w:ind w:hanging="0" w:left="89" w:right="177"/>
              <w:contextualSpacing w:val="false"/>
              <w:jc w:val="right"/>
              <w:rPr>
                <w:rFonts w:cs="Times New Roman"/>
                <w:i/>
                <w:sz w:val="28"/>
                <w:szCs w:val="28"/>
                <w:lang w:eastAsia="ja-JP" w:val="fr-FR"/>
              </w:rPr>
            </w:pPr>
            <w:r>
              <w:rPr>
                <w:rFonts w:cs="Times New Roman"/>
                <w:i/>
                <w:sz w:val="28"/>
                <w:szCs w:val="28"/>
                <w:lang w:eastAsia="ja-JP" w:val="fr-FR"/>
              </w:rPr>
            </w:r>
          </w:p>
          <w:p>
            <w:pPr>
              <w:pStyle w:val="style0"/>
              <w:spacing w:after="0" w:before="0" w:line="100" w:lineRule="atLeast"/>
              <w:ind w:hanging="0" w:left="89" w:right="177"/>
              <w:contextualSpacing w:val="false"/>
              <w:jc w:val="right"/>
              <w:rPr>
                <w:rFonts w:cs="Times New Roman"/>
                <w:i/>
                <w:sz w:val="28"/>
                <w:szCs w:val="28"/>
                <w:lang w:eastAsia="ja-JP" w:val="fr-FR"/>
              </w:rPr>
            </w:pPr>
            <w:r>
              <w:rPr>
                <w:rFonts w:cs="Times New Roman"/>
                <w:i/>
                <w:sz w:val="28"/>
                <w:szCs w:val="28"/>
                <w:lang w:eastAsia="ja-JP" w:val="fr-FR"/>
              </w:rPr>
              <w:t>Contactez-nous : 53 94     /  e-mail : cgt@louvre.fr</w:t>
            </w:r>
          </w:p>
        </w:tc>
        <w:tc>
          <w:tcPr>
            <w:tcW w:type="dxa" w:w="42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ind w:hanging="0" w:left="0" w:right="1295"/>
              <w:contextualSpacing w:val="false"/>
              <w:rPr>
                <w:rFonts w:cs=""/>
                <w:szCs w:val="24"/>
                <w:lang w:eastAsia="ja-JP" w:val="en-US"/>
              </w:rPr>
            </w:pPr>
            <w:r>
              <w:rPr>
                <w:rFonts w:cs=""/>
                <w:szCs w:val="24"/>
                <w:lang w:eastAsia="ja-JP" w:val="en-US"/>
              </w:rPr>
            </w:r>
          </w:p>
        </w:tc>
      </w:tr>
    </w:tbl>
    <w:p>
      <w:pPr>
        <w:pStyle w:val="style0"/>
        <w:rPr/>
      </w:pPr>
      <w:r>
        <w:rPr/>
      </w:r>
    </w:p>
    <w:sectPr>
      <w:footerReference r:id="rId3" w:type="default"/>
      <w:type w:val="nextPage"/>
      <w:pgSz w:h="16838" w:w="11906"/>
      <w:pgMar w:bottom="1417" w:footer="708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8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style28"/>
      <w:rPr/>
    </w:pPr>
    <w:r>
      <w:rPr/>
    </w:r>
  </w:p>
</w:ft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"/>
      <w:lvlJc w:val="left"/>
      <w:pPr>
        <w:ind w:hanging="360" w:left="144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ind w:hanging="360" w:left="1428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868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588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5028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748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188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ind w:hanging="360" w:left="108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Lucida Sans Unicode" w:hAnsi="Calibri"/>
      <w:color w:val="auto"/>
      <w:sz w:val="22"/>
      <w:szCs w:val="22"/>
      <w:lang w:bidi="ar-SA" w:eastAsia="en-US" w:val="fr-FR"/>
    </w:rPr>
  </w:style>
  <w:style w:styleId="style15" w:type="character">
    <w:name w:val="Default Paragraph Font"/>
    <w:next w:val="style15"/>
    <w:rPr/>
  </w:style>
  <w:style w:styleId="style16" w:type="character">
    <w:name w:val="En-tête Car"/>
    <w:basedOn w:val="style15"/>
    <w:next w:val="style16"/>
    <w:rPr/>
  </w:style>
  <w:style w:styleId="style17" w:type="character">
    <w:name w:val="Pied de page Car"/>
    <w:basedOn w:val="style15"/>
    <w:next w:val="style17"/>
    <w:rPr/>
  </w:style>
  <w:style w:styleId="style18" w:type="character">
    <w:name w:val="Texte de bulles Car"/>
    <w:basedOn w:val="style15"/>
    <w:next w:val="style18"/>
    <w:rPr>
      <w:rFonts w:ascii="Tahoma" w:cs="Tahoma" w:hAnsi="Tahoma"/>
      <w:sz w:val="16"/>
      <w:szCs w:val="16"/>
    </w:rPr>
  </w:style>
  <w:style w:styleId="style19" w:type="character">
    <w:name w:val="ListLabel 1"/>
    <w:next w:val="style19"/>
    <w:rPr>
      <w:rFonts w:cs="Calibri"/>
    </w:rPr>
  </w:style>
  <w:style w:styleId="style20" w:type="character">
    <w:name w:val="ListLabel 2"/>
    <w:next w:val="style20"/>
    <w:rPr>
      <w:rFonts w:cs="Courier New"/>
    </w:rPr>
  </w:style>
  <w:style w:styleId="style21" w:type="paragraph">
    <w:name w:val="Titre"/>
    <w:basedOn w:val="style0"/>
    <w:next w:val="style22"/>
    <w:pPr>
      <w:keepNext/>
      <w:spacing w:after="120" w:before="240"/>
      <w:contextualSpacing w:val="false"/>
    </w:pPr>
    <w:rPr>
      <w:rFonts w:ascii="Liberation Sans" w:cs="Mangal" w:eastAsia="Lucida Sans Unicode" w:hAnsi="Liberation Sans"/>
      <w:sz w:val="28"/>
      <w:szCs w:val="28"/>
    </w:rPr>
  </w:style>
  <w:style w:styleId="style22" w:type="paragraph">
    <w:name w:val="Corps de texte"/>
    <w:basedOn w:val="style0"/>
    <w:next w:val="style22"/>
    <w:pPr>
      <w:spacing w:after="120" w:before="0"/>
      <w:contextualSpacing w:val="false"/>
    </w:pPr>
    <w:rPr/>
  </w:style>
  <w:style w:styleId="style23" w:type="paragraph">
    <w:name w:val="Liste"/>
    <w:basedOn w:val="style22"/>
    <w:next w:val="style23"/>
    <w:pPr/>
    <w:rPr>
      <w:rFonts w:ascii="Liberation Sans" w:cs="Mangal" w:hAnsi="Liberation Sans"/>
    </w:rPr>
  </w:style>
  <w:style w:styleId="style24" w:type="paragraph">
    <w:name w:val="Légende"/>
    <w:basedOn w:val="style0"/>
    <w:next w:val="style24"/>
    <w:pPr>
      <w:suppressLineNumbers/>
      <w:spacing w:after="120" w:before="120"/>
      <w:contextualSpacing w:val="false"/>
    </w:pPr>
    <w:rPr>
      <w:rFonts w:ascii="Liberation Sans" w:cs="Mangal" w:hAnsi="Liberation Sans"/>
      <w:i/>
      <w:iCs/>
      <w:sz w:val="24"/>
      <w:szCs w:val="24"/>
    </w:rPr>
  </w:style>
  <w:style w:styleId="style25" w:type="paragraph">
    <w:name w:val="Index"/>
    <w:basedOn w:val="style0"/>
    <w:next w:val="style25"/>
    <w:pPr>
      <w:suppressLineNumbers/>
    </w:pPr>
    <w:rPr>
      <w:rFonts w:ascii="Liberation Sans" w:cs="Mangal" w:hAnsi="Liberation Sans"/>
    </w:rPr>
  </w:style>
  <w:style w:styleId="style26" w:type="paragraph">
    <w:name w:val="List Paragraph"/>
    <w:basedOn w:val="style0"/>
    <w:next w:val="style26"/>
    <w:pPr>
      <w:spacing w:after="200" w:before="0"/>
      <w:ind w:hanging="0" w:left="720" w:right="0"/>
      <w:contextualSpacing/>
    </w:pPr>
    <w:rPr/>
  </w:style>
  <w:style w:styleId="style27" w:type="paragraph">
    <w:name w:val="En-tête"/>
    <w:basedOn w:val="style0"/>
    <w:next w:val="style27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28" w:type="paragraph">
    <w:name w:val="Pied de page"/>
    <w:basedOn w:val="style0"/>
    <w:next w:val="style28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29" w:type="paragraph">
    <w:name w:val="Balloon Text"/>
    <w:basedOn w:val="style0"/>
    <w:next w:val="style29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2015-03-16T13:37:00Z</dcterms:created>
  <dc:creator>ACRichelieu</dc:creator>
  <cp:lastModifiedBy>CGT</cp:lastModifiedBy>
  <cp:lastPrinted>2015-03-16T13:09:00Z</cp:lastPrinted>
  <dcterms:modified xsi:type="dcterms:W3CDTF">2015-03-25T11:33:00Z</dcterms:modified>
  <cp:revision>9</cp:revision>
</cp:coreProperties>
</file>