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0" w:before="0" w:line="115" w:lineRule="atLeast"/>
        <w:contextualSpacing w:val="false"/>
        <w:jc w:val="center"/>
        <w:rPr>
          <w:sz w:val="18"/>
          <w:szCs w:val="18"/>
          <w:u w:val="none"/>
        </w:rPr>
      </w:pPr>
      <w:r>
        <w:rPr>
          <w:sz w:val="28"/>
          <w:szCs w:val="28"/>
          <w:u w:val="single"/>
        </w:rPr>
        <w:t>Commission formation Louvre – 5 mars 2015 – CR FSU</w:t>
        <w:br/>
      </w:r>
      <w:r>
        <w:rPr>
          <w:sz w:val="18"/>
          <w:szCs w:val="18"/>
          <w:u w:val="none"/>
        </w:rPr>
        <w:t>2° réunion pour 2015 x nouvelle configuration suite élections décembre 2014</w:t>
      </w:r>
    </w:p>
    <w:p>
      <w:pPr>
        <w:pStyle w:val="style0"/>
        <w:spacing w:line="115" w:lineRule="atLeast"/>
        <w:jc w:val="both"/>
        <w:rPr/>
      </w:pPr>
      <w:r>
        <w:rPr/>
      </w:r>
    </w:p>
    <w:p>
      <w:pPr>
        <w:pStyle w:val="style0"/>
        <w:spacing w:line="115" w:lineRule="atLeast"/>
        <w:jc w:val="both"/>
        <w:rPr/>
      </w:pPr>
      <w:r>
        <w:rPr>
          <w:u w:val="single"/>
        </w:rPr>
        <w:t xml:space="preserve">Administration : </w:t>
      </w:r>
      <w:r>
        <w:rPr/>
        <w:t xml:space="preserve">M. Detrez-Jacquin (DRH, président), C. Schoeser (serv. Recrutement-mobilité, vice-présdte), </w:t>
      </w:r>
      <w:r>
        <w:rPr>
          <w:strike/>
        </w:rPr>
        <w:t>M. Buart</w:t>
      </w:r>
      <w:r>
        <w:rPr/>
        <w:t xml:space="preserve"> Bernadette Leroy ( ? RH), C. Bourguignon (resp. serv. Formation), K. Boston (serv. Formation, dossiers DIF)</w:t>
      </w:r>
    </w:p>
    <w:p>
      <w:pPr>
        <w:pStyle w:val="style0"/>
        <w:spacing w:after="0" w:before="0" w:line="115" w:lineRule="atLeast"/>
        <w:contextualSpacing w:val="false"/>
        <w:jc w:val="both"/>
        <w:rPr/>
      </w:pPr>
      <w:r>
        <w:rPr>
          <w:u w:val="single"/>
        </w:rPr>
        <w:t>Représentants du personnel :</w:t>
      </w:r>
      <w:r>
        <w:rPr/>
        <w:t xml:space="preserve"> B. Ouedraogo &amp; V. Michaut-Valora (SUD) ; S. Née &amp; N. Hamiti (CGT) ; L. Hamelin (FSU)</w:t>
      </w:r>
    </w:p>
    <w:p>
      <w:pPr>
        <w:pStyle w:val="style0"/>
        <w:spacing w:after="0" w:before="0" w:line="115" w:lineRule="atLeast"/>
        <w:contextualSpacing w:val="false"/>
        <w:jc w:val="both"/>
        <w:rPr/>
      </w:pPr>
      <w:r>
        <w:rPr/>
      </w:r>
    </w:p>
    <w:p>
      <w:pPr>
        <w:pStyle w:val="style0"/>
        <w:spacing w:line="115" w:lineRule="atLeast"/>
        <w:jc w:val="both"/>
        <w:rPr/>
      </w:pPr>
      <w:r>
        <w:rPr>
          <w:b/>
          <w:bCs/>
          <w:u w:val="none"/>
        </w:rPr>
        <w:t>Durée  :</w:t>
      </w:r>
      <w:r>
        <w:rPr/>
        <w:t xml:space="preserve"> courte matinée (départ DRH = 11h)</w:t>
      </w:r>
    </w:p>
    <w:p>
      <w:pPr>
        <w:pStyle w:val="style0"/>
        <w:spacing w:after="0" w:before="0" w:line="115" w:lineRule="atLeast"/>
        <w:contextualSpacing w:val="false"/>
        <w:jc w:val="both"/>
        <w:rPr>
          <w:u w:val="none"/>
        </w:rPr>
      </w:pPr>
      <w:r>
        <w:rPr>
          <w:b/>
          <w:bCs/>
          <w:u w:val="none"/>
        </w:rPr>
        <w:t>Ordre du Jour, 3 points</w:t>
      </w:r>
      <w:r>
        <w:rPr>
          <w:u w:val="none"/>
        </w:rPr>
        <w:t xml:space="preserve"> </w:t>
      </w:r>
      <w:r>
        <w:rPr>
          <w:sz w:val="18"/>
          <w:szCs w:val="18"/>
          <w:u w:val="none"/>
        </w:rPr>
        <w:t>(x 2 PJ : Bilan 2014 &amp; Plan 2015-17)</w:t>
      </w:r>
      <w:r>
        <w:rPr>
          <w:u w:val="none"/>
        </w:rPr>
        <w:t>:</w:t>
      </w:r>
    </w:p>
    <w:p>
      <w:pPr>
        <w:pStyle w:val="style39"/>
        <w:tabs>
          <w:tab w:leader="none" w:pos="315" w:val="left"/>
        </w:tabs>
        <w:spacing w:after="0" w:before="0" w:line="115" w:lineRule="atLeast"/>
        <w:ind w:hanging="0" w:left="0" w:right="0"/>
        <w:contextualSpacing w:val="false"/>
        <w:jc w:val="both"/>
        <w:rPr>
          <w:b w:val="false"/>
          <w:bCs w:val="false"/>
          <w:sz w:val="22"/>
          <w:szCs w:val="22"/>
          <w:u w:val="none"/>
        </w:rPr>
      </w:pPr>
      <w:r>
        <w:rPr/>
        <w:t xml:space="preserve">1. </w:t>
        <w:tab/>
      </w:r>
      <w:r>
        <w:rPr>
          <w:b w:val="false"/>
          <w:bCs w:val="false"/>
          <w:sz w:val="22"/>
          <w:szCs w:val="22"/>
          <w:u w:val="none"/>
        </w:rPr>
        <w:t>Présentation du bilan 2014</w:t>
      </w:r>
    </w:p>
    <w:p>
      <w:pPr>
        <w:pStyle w:val="style39"/>
        <w:tabs>
          <w:tab w:leader="none" w:pos="315" w:val="left"/>
        </w:tabs>
        <w:spacing w:line="115" w:lineRule="atLeast"/>
        <w:ind w:hanging="0" w:left="0" w:right="0"/>
        <w:jc w:val="both"/>
        <w:rPr>
          <w:sz w:val="22"/>
          <w:szCs w:val="22"/>
        </w:rPr>
      </w:pPr>
      <w:r>
        <w:rPr/>
        <w:t xml:space="preserve">2. </w:t>
        <w:tab/>
      </w:r>
      <w:r>
        <w:rPr>
          <w:sz w:val="22"/>
          <w:szCs w:val="22"/>
        </w:rPr>
        <w:t>Présentation du plan de formation et de développement de compétences 2015-2017</w:t>
      </w:r>
    </w:p>
    <w:p>
      <w:pPr>
        <w:pStyle w:val="style39"/>
        <w:tabs>
          <w:tab w:leader="none" w:pos="315" w:val="left"/>
        </w:tabs>
        <w:spacing w:line="115" w:lineRule="atLeast"/>
        <w:ind w:hanging="0" w:left="0" w:right="0"/>
        <w:jc w:val="both"/>
        <w:rPr/>
      </w:pPr>
      <w:r>
        <w:rPr/>
        <w:t xml:space="preserve">3. </w:t>
        <w:tab/>
        <w:t>Validation des finalités des actions mobilisables au titre du DIF</w:t>
      </w:r>
    </w:p>
    <w:p>
      <w:pPr>
        <w:pStyle w:val="style39"/>
        <w:tabs>
          <w:tab w:leader="none" w:pos="315" w:val="left"/>
        </w:tabs>
        <w:spacing w:line="115" w:lineRule="atLeast"/>
        <w:ind w:hanging="0" w:left="0" w:right="0"/>
        <w:jc w:val="both"/>
        <w:rPr/>
      </w:pPr>
      <w:r>
        <w:rPr/>
      </w:r>
    </w:p>
    <w:p>
      <w:pPr>
        <w:pStyle w:val="style0"/>
        <w:spacing w:after="0" w:before="0" w:line="115" w:lineRule="atLeast"/>
        <w:contextualSpacing w:val="false"/>
        <w:rPr>
          <w:b/>
          <w:bCs/>
          <w:u w:val="none"/>
        </w:rPr>
      </w:pPr>
      <w:r>
        <w:rPr>
          <w:b/>
          <w:bCs/>
          <w:u w:val="none"/>
        </w:rPr>
        <w:t>Introduction</w:t>
      </w:r>
    </w:p>
    <w:p>
      <w:pPr>
        <w:pStyle w:val="style39"/>
        <w:widowControl/>
        <w:suppressAutoHyphens w:val="true"/>
        <w:spacing w:after="113" w:before="0" w:line="115" w:lineRule="atLeast"/>
        <w:ind w:hanging="0" w:left="0" w:right="0"/>
        <w:contextualSpacing w:val="false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u w:val="single"/>
        </w:rPr>
        <w:t>M. Detrez</w:t>
      </w:r>
      <w:r>
        <w:rPr>
          <w:b w:val="false"/>
          <w:bCs w:val="false"/>
          <w:u w:val="none"/>
        </w:rPr>
        <w:t xml:space="preserve"> évoque l’aspect exceptionnel de cette commission, présentation du bilan 2014 et du plan de formation 2015-17 avant passage en CT-Louvre.</w:t>
      </w:r>
    </w:p>
    <w:p>
      <w:pPr>
        <w:pStyle w:val="style39"/>
        <w:widowControl/>
        <w:suppressAutoHyphens w:val="true"/>
        <w:spacing w:after="113" w:before="0" w:line="115" w:lineRule="atLeast"/>
        <w:ind w:hanging="0" w:left="0" w:right="0"/>
        <w:contextualSpacing w:val="false"/>
        <w:jc w:val="both"/>
        <w:rPr/>
      </w:pPr>
      <w:r>
        <w:rPr/>
      </w:r>
    </w:p>
    <w:p>
      <w:pPr>
        <w:pStyle w:val="style39"/>
        <w:widowControl/>
        <w:suppressAutoHyphens w:val="true"/>
        <w:spacing w:after="0" w:before="0" w:line="115" w:lineRule="atLeast"/>
        <w:ind w:hanging="0" w:left="0" w:right="0"/>
        <w:contextualSpacing w:val="false"/>
        <w:rPr>
          <w:b/>
          <w:u w:val="none"/>
        </w:rPr>
      </w:pPr>
      <w:r>
        <w:rPr>
          <w:b/>
          <w:u w:val="none"/>
        </w:rPr>
        <w:t>Bilan de formation 2014</w:t>
      </w:r>
    </w:p>
    <w:p>
      <w:pPr>
        <w:pStyle w:val="style0"/>
        <w:spacing w:after="0" w:before="0" w:line="115" w:lineRule="atLeast"/>
        <w:contextualSpacing w:val="false"/>
        <w:rPr/>
      </w:pPr>
      <w:r>
        <w:rPr/>
        <w:t>M.Buart : la forme de ce bilan a été revue, notamment affinement des indicateurs.</w:t>
        <w:br/>
        <w:t>Se présente en 2 parties , l’une quantitative (durée, nombre stages), l’autre qualitative.</w:t>
      </w:r>
    </w:p>
    <w:p>
      <w:pPr>
        <w:pStyle w:val="style0"/>
        <w:spacing w:after="0" w:before="0" w:line="115" w:lineRule="atLeast"/>
        <w:contextualSpacing w:val="false"/>
        <w:rPr/>
      </w:pPr>
      <w:r>
        <w:rPr/>
      </w:r>
    </w:p>
    <w:p>
      <w:pPr>
        <w:pStyle w:val="style0"/>
        <w:spacing w:line="115" w:lineRule="atLeast"/>
        <w:rPr/>
      </w:pPr>
      <w:r>
        <w:rPr/>
        <w:t xml:space="preserve">- </w:t>
      </w:r>
      <w:r>
        <w:rPr>
          <w:u w:val="single"/>
        </w:rPr>
        <w:t>hausse sensible des formations</w:t>
      </w:r>
      <w:r>
        <w:rPr/>
        <w:t xml:space="preserve">. NB : Les colloques sont comptabilisés séparément </w:t>
      </w:r>
      <w:r>
        <w:rPr>
          <w:b/>
          <w:bCs/>
          <w:color w:val="579D1C"/>
        </w:rPr>
        <w:t>(A savoir : la participation à colloque ne doit pas être considérée comme « formation »)</w:t>
      </w:r>
      <w:r>
        <w:rPr/>
        <w:t>.</w:t>
        <w:br/>
        <w:t>OS : demande possibilité de dégager le rapport nombre H/F par rapport à l’effectif global (cf p. 7).</w:t>
      </w:r>
    </w:p>
    <w:p>
      <w:pPr>
        <w:pStyle w:val="style0"/>
        <w:spacing w:line="115" w:lineRule="atLeast"/>
        <w:rPr/>
      </w:pPr>
      <w:r>
        <w:rPr/>
        <w:t>- tendance majoritaire : f</w:t>
      </w:r>
      <w:r>
        <w:rPr>
          <w:u w:val="single"/>
        </w:rPr>
        <w:t>ormations « intra »</w:t>
      </w:r>
      <w:r>
        <w:rPr/>
        <w:t xml:space="preserve"> (propres au Louvre).</w:t>
      </w:r>
    </w:p>
    <w:p>
      <w:pPr>
        <w:pStyle w:val="style0"/>
        <w:spacing w:line="115" w:lineRule="atLeast"/>
        <w:rPr>
          <w:b/>
          <w:bCs/>
          <w:color w:val="579D1C"/>
        </w:rPr>
      </w:pPr>
      <w:r>
        <w:rPr/>
        <w:t xml:space="preserve">- </w:t>
      </w:r>
      <w:r>
        <w:rPr>
          <w:u w:val="single"/>
        </w:rPr>
        <w:t>DAPS :</w:t>
      </w:r>
      <w:r>
        <w:rPr/>
        <w:t xml:space="preserve"> 2 scenarii selon future ouverture 7/7 ou pas (jours intégrés dans le planning des agents en salle muséo) = opérationnel à la rentrée 2016 </w:t>
      </w:r>
      <w:r>
        <w:rPr>
          <w:b/>
          <w:bCs/>
          <w:color w:val="579D1C"/>
        </w:rPr>
        <w:t>(!)</w:t>
      </w:r>
    </w:p>
    <w:p>
      <w:pPr>
        <w:pStyle w:val="style0"/>
        <w:spacing w:line="115" w:lineRule="atLeast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</w:rPr>
        <w:t xml:space="preserve">- problèmes de </w:t>
      </w:r>
      <w:r>
        <w:rPr>
          <w:b w:val="false"/>
          <w:bCs w:val="false"/>
          <w:color w:val="000000"/>
          <w:u w:val="single"/>
        </w:rPr>
        <w:t>taux d’absentéisme</w:t>
      </w:r>
      <w:r>
        <w:rPr>
          <w:b w:val="false"/>
          <w:bCs w:val="false"/>
          <w:color w:val="000000"/>
          <w:u w:val="none"/>
        </w:rPr>
        <w:t> difficile à résorber ; OS parlent du décalage/temps long entre la demande de formation et la date de déroulement effectif du stage.</w:t>
      </w:r>
    </w:p>
    <w:p>
      <w:pPr>
        <w:pStyle w:val="style0"/>
        <w:spacing w:line="115" w:lineRule="atLeast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>- pb d’</w:t>
      </w:r>
      <w:r>
        <w:rPr>
          <w:b w:val="false"/>
          <w:bCs w:val="false"/>
          <w:color w:val="000000"/>
          <w:u w:val="single"/>
        </w:rPr>
        <w:t>accès à la formation</w:t>
      </w:r>
      <w:r>
        <w:rPr>
          <w:b w:val="false"/>
          <w:bCs w:val="false"/>
          <w:color w:val="000000"/>
        </w:rPr>
        <w:t xml:space="preserve"> de certains agents (ex. agents de nuit = pb organisation ; ex. agents non diplômés = rétifs à l’apprentissage « scolaire/académique », …).</w:t>
        <w:br/>
        <w:t>OS : l’information sur la formation n’arrive pas jusqu’à tous les agents.</w:t>
      </w:r>
    </w:p>
    <w:p>
      <w:pPr>
        <w:pStyle w:val="style0"/>
        <w:spacing w:line="115" w:lineRule="atLeast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- Prévention/gestion </w:t>
      </w:r>
      <w:r>
        <w:rPr>
          <w:b w:val="false"/>
          <w:bCs w:val="false"/>
          <w:color w:val="000000"/>
          <w:u w:val="single"/>
        </w:rPr>
        <w:t>situations d’agressivité</w:t>
      </w:r>
      <w:r>
        <w:rPr>
          <w:b w:val="false"/>
          <w:bCs w:val="false"/>
          <w:color w:val="000000"/>
        </w:rPr>
        <w:t> (p.22) : demandes multiples encore en attente pour accéder à cette session &gt; à poursuivre</w:t>
      </w:r>
    </w:p>
    <w:p>
      <w:pPr>
        <w:pStyle w:val="style0"/>
        <w:spacing w:line="115" w:lineRule="atLeast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- </w:t>
      </w:r>
      <w:r>
        <w:rPr>
          <w:b w:val="false"/>
          <w:bCs w:val="false"/>
          <w:color w:val="000000"/>
          <w:u w:val="single"/>
        </w:rPr>
        <w:t>rapport au savoir :</w:t>
      </w:r>
      <w:r>
        <w:rPr>
          <w:b w:val="false"/>
          <w:bCs w:val="false"/>
          <w:color w:val="000000"/>
        </w:rPr>
        <w:br/>
        <w:t>. réflexion en cours : reconnaissance des savoirs informels (ex. jardin, …).</w:t>
        <w:br/>
        <w:t>. formations à mettre en place : pas seulement sous forme « scolaire »</w:t>
      </w:r>
    </w:p>
    <w:p>
      <w:pPr>
        <w:pStyle w:val="style0"/>
        <w:spacing w:line="115" w:lineRule="atLeast"/>
        <w:rPr/>
      </w:pPr>
      <w:r>
        <w:rPr/>
        <w:t>- v</w:t>
      </w:r>
      <w:r>
        <w:rPr>
          <w:u w:val="single"/>
        </w:rPr>
        <w:t>olet formation de la fiche évaluation</w:t>
      </w:r>
      <w:r>
        <w:rPr/>
        <w:t xml:space="preserve"> (lié au pb du nombre important d’agents non formés) : pas de réponse claire sur la question posée du taux de remplissage (non vérifié).</w:t>
        <w:br/>
        <w:t>Nouveau : une nouvelle case à cocher sur la volonté ou non de l’agent de se former &gt; point de départ éventuel de dialogue avec l’agent sur la raison de son refus de se former.</w:t>
      </w:r>
    </w:p>
    <w:p>
      <w:pPr>
        <w:pStyle w:val="style0"/>
        <w:spacing w:line="115" w:lineRule="atLeast"/>
        <w:rPr/>
      </w:pPr>
      <w:r>
        <w:rPr/>
        <w:t>Sud : demande la séparation du volet-formation pour son utilisation par le service-formation et l’accès à l’information de tous sur les formations.</w:t>
      </w:r>
    </w:p>
    <w:p>
      <w:pPr>
        <w:pStyle w:val="style0"/>
        <w:spacing w:line="115" w:lineRule="atLeast"/>
        <w:rPr>
          <w:b/>
          <w:bCs/>
          <w:color w:val="579D1C"/>
        </w:rPr>
      </w:pPr>
      <w:r>
        <w:rPr/>
        <w:t xml:space="preserve">Snac-F. : suggère un envoi-papier du programme de formation (synthétique), une fois par an, aux </w:t>
      </w:r>
      <w:r>
        <w:rPr>
          <w:u w:val="single"/>
        </w:rPr>
        <w:t>agents sans poste informatique</w:t>
      </w:r>
      <w:r>
        <w:rPr/>
        <w:t>.</w:t>
        <w:br/>
        <w:t>. Quand sujet adapté, demande une formation sur site/dans espace de travail, moins théorique. Exemple des formations hygiène-sécurité/</w:t>
      </w:r>
      <w:r>
        <w:rPr>
          <w:u w:val="single"/>
        </w:rPr>
        <w:t>gestes et postures</w:t>
      </w:r>
      <w:r>
        <w:rPr/>
        <w:t> : utiles aussi au personnel de documentation et des bureaux.</w:t>
        <w:br/>
        <w:t xml:space="preserve">. Evoque les formations « management » : notion de </w:t>
      </w:r>
      <w:r>
        <w:rPr>
          <w:u w:val="single"/>
        </w:rPr>
        <w:t>partage des savoirs</w:t>
      </w:r>
      <w:r>
        <w:rPr/>
        <w:t xml:space="preserve"> = intégré dans le programme ?</w:t>
        <w:br/>
        <w:t xml:space="preserve">. formations « connaissance du MCC » &amp; « Connaissance de l’EP-Louvre », ... = jusque-là pas automatiques = demande que ces formations rentrent dans la </w:t>
      </w:r>
      <w:r>
        <w:rPr>
          <w:u w:val="single"/>
        </w:rPr>
        <w:t>formation post-recrutement</w:t>
      </w:r>
      <w:r>
        <w:rPr/>
        <w:t xml:space="preserve"> (Rép. Admin. : voir prochaine commission-formation pour établir le nouveau programme post-recrutement). </w:t>
        <w:br/>
        <w:t xml:space="preserve">. ne lâchera pas sur le </w:t>
      </w:r>
      <w:r>
        <w:rPr>
          <w:u w:val="single"/>
        </w:rPr>
        <w:t xml:space="preserve">DIF </w:t>
      </w:r>
      <w:r>
        <w:rPr/>
        <w:t xml:space="preserve">&amp; les préparations aux concours – les 5 jours pris indûment </w:t>
      </w:r>
      <w:r>
        <w:rPr>
          <w:b/>
          <w:bCs/>
          <w:color w:val="579D1C"/>
        </w:rPr>
        <w:t xml:space="preserve">(vu le lendemain avec le MCC : demande l’exercice de la tutelle sur le Louvre à ce sujet : discrimination entre agents du MCC </w:t>
      </w:r>
      <w:r>
        <w:rPr>
          <w:b/>
          <w:bCs/>
          <w:color w:val="579D1C"/>
        </w:rPr>
        <w:t>+</w:t>
      </w:r>
      <w:r>
        <w:rPr>
          <w:b/>
          <w:bCs/>
          <w:color w:val="579D1C"/>
        </w:rPr>
        <w:t xml:space="preserve"> pourcentage de la masse salariale consacré à la formation = moins de 3 % au Louvre)</w:t>
        <w:br/>
        <w:t xml:space="preserve">. </w:t>
      </w:r>
      <w:r>
        <w:rPr>
          <w:b w:val="false"/>
          <w:bCs w:val="false"/>
          <w:color w:val="000000"/>
          <w:u w:val="single"/>
        </w:rPr>
        <w:t>DIF</w:t>
      </w:r>
      <w:r>
        <w:rPr>
          <w:b w:val="false"/>
          <w:bCs w:val="false"/>
          <w:color w:val="000000"/>
        </w:rPr>
        <w:t xml:space="preserve"> (p. 13) : demande que soient comptabilisés </w:t>
      </w:r>
      <w:r>
        <w:rPr>
          <w:b/>
          <w:bCs/>
          <w:color w:val="000000"/>
        </w:rPr>
        <w:t>1.</w:t>
      </w:r>
      <w:r>
        <w:rPr>
          <w:b w:val="false"/>
          <w:bCs w:val="false"/>
          <w:color w:val="000000"/>
        </w:rPr>
        <w:t xml:space="preserve"> le nombre d’agents formés sur DIF par rapport aux agents formés d’une part, </w:t>
      </w:r>
      <w:r>
        <w:rPr>
          <w:b/>
          <w:bCs/>
          <w:color w:val="000000"/>
        </w:rPr>
        <w:t xml:space="preserve">2. </w:t>
      </w:r>
      <w:r>
        <w:rPr>
          <w:b w:val="false"/>
          <w:bCs w:val="false"/>
          <w:color w:val="000000"/>
        </w:rPr>
        <w:t>de l’autre le nbre de DIF par rapport à l’effectif global</w:t>
        <w:br/>
        <w:t xml:space="preserve">. Accueil du public </w:t>
      </w:r>
      <w:r>
        <w:rPr>
          <w:b w:val="false"/>
          <w:bCs w:val="false"/>
          <w:color w:val="000000"/>
          <w:u w:val="single"/>
        </w:rPr>
        <w:t>handicapé</w:t>
      </w:r>
      <w:r>
        <w:rPr>
          <w:b w:val="false"/>
          <w:bCs w:val="false"/>
          <w:color w:val="000000"/>
        </w:rPr>
        <w:t> (p.21): restreint aux agents d’accueil en contact-public &gt; demande l’ouverture de cette formation aux encadrants et, éventuellement, aux collègues d’agents handicapés.</w:t>
        <w:br/>
        <w:t xml:space="preserve">. tableau p. 48 « répartition stagiaires par entité = demande que la totalité des entités soit listée </w:t>
      </w:r>
      <w:r>
        <w:rPr>
          <w:b/>
          <w:bCs/>
          <w:color w:val="579D1C"/>
        </w:rPr>
        <w:t>(!)</w:t>
      </w:r>
    </w:p>
    <w:p>
      <w:pPr>
        <w:pStyle w:val="style0"/>
        <w:spacing w:line="115" w:lineRule="atLeast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CGT : </w:t>
      </w:r>
      <w:r>
        <w:rPr>
          <w:b w:val="false"/>
          <w:bCs w:val="false"/>
          <w:u w:val="single"/>
        </w:rPr>
        <w:t>formation de préparation aux concours</w:t>
      </w:r>
      <w:r>
        <w:rPr>
          <w:b w:val="false"/>
          <w:bCs w:val="false"/>
          <w:u w:val="none"/>
        </w:rPr>
        <w:t xml:space="preserve"> (p.16) à effectuer en présentiel, pas chez soi (différents exemples au Louvre) + examens pro = demander axer sur la soutenance orale du RAEP (ex. DAPS) + pb calage entre la formation et la réalité de l’épreuve (ex. TSC)</w:t>
      </w:r>
    </w:p>
    <w:p>
      <w:pPr>
        <w:pStyle w:val="style0"/>
        <w:spacing w:line="115" w:lineRule="atLeast"/>
        <w:rPr/>
      </w:pPr>
      <w:r>
        <w:rPr/>
      </w:r>
    </w:p>
    <w:p>
      <w:pPr>
        <w:pStyle w:val="style39"/>
        <w:widowControl/>
        <w:suppressAutoHyphens w:val="true"/>
        <w:spacing w:after="0" w:before="0" w:line="115" w:lineRule="atLeast"/>
        <w:ind w:hanging="0" w:left="0" w:right="0"/>
        <w:contextualSpacing w:val="false"/>
        <w:rPr>
          <w:b w:val="false"/>
          <w:bCs w:val="false"/>
          <w:u w:val="none"/>
        </w:rPr>
      </w:pPr>
      <w:r>
        <w:rPr>
          <w:b/>
          <w:u w:val="none"/>
        </w:rPr>
        <w:t>Plan de formation 2015-17</w:t>
      </w:r>
      <w:r>
        <w:rPr>
          <w:b w:val="false"/>
          <w:bCs w:val="false"/>
          <w:u w:val="none"/>
        </w:rPr>
        <w:t xml:space="preserve"> </w:t>
        <w:br/>
        <w:t>(inclus dans PSC, programme scientifique et culturel &amp; dans COP, contrat d’objectif et de performance)</w:t>
      </w:r>
    </w:p>
    <w:p>
      <w:pPr>
        <w:pStyle w:val="style39"/>
        <w:widowControl/>
        <w:suppressAutoHyphens w:val="true"/>
        <w:spacing w:after="0" w:before="0" w:line="115" w:lineRule="atLeast"/>
        <w:ind w:hanging="0" w:left="0" w:right="0"/>
        <w:contextualSpacing w:val="false"/>
        <w:rPr>
          <w:u w:val="none"/>
        </w:rPr>
      </w:pPr>
      <w:r>
        <w:rPr>
          <w:u w:val="none"/>
        </w:rPr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Intègre le résultat de la consultation des directions (automne 2014), du présidt-directeur (février 2015),  le volet-formation de la dernière campagne d’évaluation.</w:t>
      </w:r>
    </w:p>
    <w:p>
      <w:pPr>
        <w:pStyle w:val="style0"/>
        <w:spacing w:after="0" w:before="0" w:line="115" w:lineRule="atLeast"/>
        <w:contextualSpacing w:val="false"/>
        <w:rPr/>
      </w:pPr>
      <w:r>
        <w:rPr/>
      </w:r>
    </w:p>
    <w:p>
      <w:pPr>
        <w:pStyle w:val="style0"/>
        <w:spacing w:after="0" w:before="0" w:line="115" w:lineRule="atLeast"/>
        <w:contextualSpacing w:val="false"/>
        <w:rPr>
          <w:b/>
          <w:bCs/>
          <w:color w:val="579D1C"/>
          <w:u w:val="none"/>
        </w:rPr>
      </w:pPr>
      <w:r>
        <w:rPr>
          <w:b w:val="false"/>
          <w:bCs w:val="false"/>
          <w:u w:val="none"/>
        </w:rPr>
        <w:t xml:space="preserve">- 4 axes et 21 orientations ; </w:t>
        <w:br/>
        <w:t xml:space="preserve">dès 2015 : mise en route des grands chantiers (10 actions de p. 9 à 12) dont « préparation concours garantie hors DIF à hauteur des 5ers jours » </w:t>
      </w:r>
      <w:r>
        <w:rPr>
          <w:b/>
          <w:bCs/>
          <w:color w:val="579D1C"/>
          <w:u w:val="none"/>
        </w:rPr>
        <w:t>(!)</w:t>
      </w:r>
    </w:p>
    <w:p>
      <w:pPr>
        <w:pStyle w:val="style0"/>
        <w:spacing w:after="0" w:before="0" w:line="115" w:lineRule="atLeast"/>
        <w:contextualSpacing w:val="false"/>
        <w:rPr/>
      </w:pPr>
      <w:r>
        <w:rPr/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>- Admin. : pb de recueil des besoins = soit trop long, soit inexistant, selon entités.</w:t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>- mutualisation MCC-Louvre = seulement sur les formations « Sauvadet » et comptabilité GBCP</w:t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>Snac-F. : demande reconduite de formations ciblées (ex. veille documentaire pour les AI)</w:t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 xml:space="preserve">CGT : pourquoi pas de sensibilisation contre la discrimination (id. MCC) &gt; admin. : incluse dans formations « management » </w:t>
      </w:r>
      <w:r>
        <w:rPr>
          <w:b/>
          <w:bCs/>
          <w:color w:val="579D1C"/>
          <w:u w:val="none"/>
        </w:rPr>
        <w:t>(à vérifier)</w:t>
        <w:br/>
      </w:r>
      <w:r>
        <w:rPr>
          <w:b w:val="false"/>
          <w:bCs w:val="false"/>
          <w:color w:val="000000"/>
          <w:u w:val="none"/>
        </w:rPr>
        <w:t>. Voir formation encadrants = qu’en est-il des anciens encadrants, pas encore formés ? (+ depuis 2012 : ne concerne pas les chefs de service)</w:t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>–</w:t>
      </w:r>
      <w:r>
        <w:rPr>
          <w:b w:val="false"/>
          <w:bCs w:val="false"/>
          <w:color w:val="000000"/>
          <w:u w:val="none"/>
        </w:rPr>
        <w:t>----------------</w:t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style0"/>
        <w:spacing w:after="0" w:before="0" w:line="115" w:lineRule="atLeast"/>
        <w:contextualSpacing w:val="false"/>
        <w:rPr>
          <w:b/>
          <w:bCs/>
          <w:color w:val="579D1C"/>
          <w:u w:val="none"/>
        </w:rPr>
      </w:pPr>
      <w:r>
        <w:rPr>
          <w:b w:val="false"/>
          <w:bCs w:val="false"/>
          <w:color w:val="000000"/>
          <w:u w:val="none"/>
        </w:rPr>
        <w:t>…</w:t>
      </w:r>
      <w:r>
        <w:rPr>
          <w:b w:val="false"/>
          <w:bCs w:val="false"/>
          <w:color w:val="000000"/>
          <w:u w:val="none"/>
        </w:rPr>
        <w:t xml:space="preserve">..3 dates à venir d’ici juillet pour d’autres échanges sur les formations </w:t>
      </w:r>
      <w:r>
        <w:rPr>
          <w:b/>
          <w:bCs/>
          <w:color w:val="579D1C"/>
          <w:u w:val="none"/>
        </w:rPr>
        <w:t>(actions mobilisables DIF encore à définir)</w:t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style0"/>
        <w:spacing w:after="0" w:before="0" w:line="115" w:lineRule="atLeast"/>
        <w:contextualSpacing w:val="false"/>
        <w:rPr>
          <w:b w:val="false"/>
          <w:bCs w:val="false"/>
          <w:color w:val="000000"/>
          <w:u w:val="none"/>
        </w:rPr>
      </w:pPr>
      <w:r>
        <w:rPr>
          <w:b w:val="false"/>
          <w:bCs w:val="false"/>
          <w:color w:val="000000"/>
          <w:u w:val="none"/>
        </w:rPr>
        <w:t>Snac-F. demande à recevoir les convocations sur l’adresse-mél perso conjointement à l’adresse Snac-Fsu</w:t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32768" w:linePitch="3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8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200" w:before="0"/>
      <w:contextualSpacing w:val="fals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fr-FR"/>
    </w:rPr>
  </w:style>
  <w:style w:styleId="style1" w:type="paragraph">
    <w:name w:val="Titre 1"/>
    <w:basedOn w:val="style32"/>
    <w:next w:val="style1"/>
    <w:pPr/>
    <w:rPr/>
  </w:style>
  <w:style w:styleId="style2" w:type="paragraph">
    <w:name w:val="Titre 2"/>
    <w:basedOn w:val="style32"/>
    <w:next w:val="style2"/>
    <w:pPr/>
    <w:rPr/>
  </w:style>
  <w:style w:styleId="style3" w:type="paragraph">
    <w:name w:val="Titre 3"/>
    <w:basedOn w:val="style32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En-tête Car"/>
    <w:basedOn w:val="style15"/>
    <w:next w:val="style16"/>
    <w:rPr/>
  </w:style>
  <w:style w:styleId="style17" w:type="character">
    <w:name w:val="Pied de page Car"/>
    <w:basedOn w:val="style15"/>
    <w:next w:val="style17"/>
    <w:rPr/>
  </w:style>
  <w:style w:styleId="style18" w:type="character">
    <w:name w:val="ListLabel 1"/>
    <w:next w:val="style18"/>
    <w:rPr>
      <w:rFonts w:cs="Calibri"/>
    </w:rPr>
  </w:style>
  <w:style w:styleId="style19" w:type="character">
    <w:name w:val="ListLabel 2"/>
    <w:next w:val="style19"/>
    <w:rPr>
      <w:rFonts w:cs="Courier New"/>
    </w:rPr>
  </w:style>
  <w:style w:styleId="style20" w:type="character">
    <w:name w:val="ListLabel 3"/>
    <w:next w:val="style20"/>
    <w:rPr>
      <w:rFonts w:cs="Calibri"/>
    </w:rPr>
  </w:style>
  <w:style w:styleId="style21" w:type="character">
    <w:name w:val="ListLabel 4"/>
    <w:next w:val="style21"/>
    <w:rPr>
      <w:rFonts w:cs="Courier New"/>
    </w:rPr>
  </w:style>
  <w:style w:styleId="style22" w:type="character">
    <w:name w:val="ListLabel 5"/>
    <w:next w:val="style22"/>
    <w:rPr>
      <w:rFonts w:cs="Wingdings"/>
    </w:rPr>
  </w:style>
  <w:style w:styleId="style23" w:type="character">
    <w:name w:val="ListLabel 6"/>
    <w:next w:val="style23"/>
    <w:rPr>
      <w:rFonts w:cs="Symbol"/>
    </w:rPr>
  </w:style>
  <w:style w:styleId="style24" w:type="character">
    <w:name w:val="ListLabel 7"/>
    <w:next w:val="style24"/>
    <w:rPr>
      <w:rFonts w:cs="Calibri"/>
    </w:rPr>
  </w:style>
  <w:style w:styleId="style25" w:type="character">
    <w:name w:val="ListLabel 8"/>
    <w:next w:val="style25"/>
    <w:rPr>
      <w:rFonts w:cs="Courier New"/>
    </w:rPr>
  </w:style>
  <w:style w:styleId="style26" w:type="character">
    <w:name w:val="ListLabel 9"/>
    <w:next w:val="style26"/>
    <w:rPr>
      <w:rFonts w:cs="Wingdings"/>
    </w:rPr>
  </w:style>
  <w:style w:styleId="style27" w:type="character">
    <w:name w:val="ListLabel 10"/>
    <w:next w:val="style27"/>
    <w:rPr>
      <w:rFonts w:cs="Symbol"/>
    </w:rPr>
  </w:style>
  <w:style w:styleId="style28" w:type="character">
    <w:name w:val="ListLabel 11"/>
    <w:next w:val="style28"/>
    <w:rPr>
      <w:rFonts w:cs="Calibri"/>
    </w:rPr>
  </w:style>
  <w:style w:styleId="style29" w:type="character">
    <w:name w:val="ListLabel 12"/>
    <w:next w:val="style29"/>
    <w:rPr>
      <w:rFonts w:cs="Courier New"/>
    </w:rPr>
  </w:style>
  <w:style w:styleId="style30" w:type="character">
    <w:name w:val="ListLabel 13"/>
    <w:next w:val="style30"/>
    <w:rPr>
      <w:rFonts w:cs="Wingdings"/>
    </w:rPr>
  </w:style>
  <w:style w:styleId="style31" w:type="character">
    <w:name w:val="ListLabel 14"/>
    <w:next w:val="style31"/>
    <w:rPr>
      <w:rFonts w:cs="Symbol"/>
    </w:rPr>
  </w:style>
  <w:style w:styleId="style32" w:type="paragraph">
    <w:name w:val="Titre"/>
    <w:basedOn w:val="style0"/>
    <w:next w:val="style33"/>
    <w:pPr>
      <w:keepNext/>
      <w:spacing w:after="120" w:before="240"/>
      <w:contextualSpacing w:val="false"/>
    </w:pPr>
    <w:rPr>
      <w:rFonts w:ascii="Liberation Sans" w:cs="Mangal" w:eastAsia="Lucida Sans Unicode" w:hAnsi="Liberation Sans"/>
      <w:sz w:val="28"/>
      <w:szCs w:val="28"/>
    </w:rPr>
  </w:style>
  <w:style w:styleId="style33" w:type="paragraph">
    <w:name w:val="Corps de texte"/>
    <w:basedOn w:val="style0"/>
    <w:next w:val="style33"/>
    <w:pPr>
      <w:spacing w:after="120" w:before="0"/>
      <w:contextualSpacing w:val="false"/>
    </w:pPr>
    <w:rPr/>
  </w:style>
  <w:style w:styleId="style34" w:type="paragraph">
    <w:name w:val="Liste"/>
    <w:basedOn w:val="style33"/>
    <w:next w:val="style34"/>
    <w:pPr/>
    <w:rPr>
      <w:rFonts w:ascii="Liberation Sans" w:cs="Mangal" w:hAnsi="Liberation Sans"/>
    </w:rPr>
  </w:style>
  <w:style w:styleId="style35" w:type="paragraph">
    <w:name w:val="Légende"/>
    <w:basedOn w:val="style0"/>
    <w:next w:val="style35"/>
    <w:pPr>
      <w:suppressLineNumbers/>
      <w:spacing w:after="120" w:before="120"/>
      <w:contextualSpacing w:val="false"/>
    </w:pPr>
    <w:rPr>
      <w:rFonts w:ascii="Liberation Sans" w:cs="Mangal" w:hAnsi="Liberation Sans"/>
      <w:i/>
      <w:iCs/>
      <w:sz w:val="24"/>
      <w:szCs w:val="24"/>
    </w:rPr>
  </w:style>
  <w:style w:styleId="style36" w:type="paragraph">
    <w:name w:val="Index"/>
    <w:basedOn w:val="style0"/>
    <w:next w:val="style36"/>
    <w:pPr>
      <w:suppressLineNumbers/>
    </w:pPr>
    <w:rPr>
      <w:rFonts w:ascii="Liberation Sans" w:cs="Mangal" w:hAnsi="Liberation Sans"/>
    </w:rPr>
  </w:style>
  <w:style w:styleId="style37" w:type="paragraph">
    <w:name w:val="En-tête"/>
    <w:basedOn w:val="style0"/>
    <w:next w:val="style37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8" w:type="paragraph">
    <w:name w:val="Pied de page"/>
    <w:basedOn w:val="style0"/>
    <w:next w:val="style38"/>
    <w:pPr>
      <w:tabs>
        <w:tab w:leader="none" w:pos="4536" w:val="center"/>
        <w:tab w:leader="none" w:pos="9072" w:val="right"/>
      </w:tabs>
      <w:spacing w:after="0" w:before="0" w:line="100" w:lineRule="atLeast"/>
      <w:contextualSpacing w:val="false"/>
    </w:pPr>
    <w:rPr/>
  </w:style>
  <w:style w:styleId="style39" w:type="paragraph">
    <w:name w:val="List Paragraph"/>
    <w:basedOn w:val="style0"/>
    <w:next w:val="style39"/>
    <w:pPr>
      <w:spacing w:after="200" w:before="0"/>
      <w:ind w:hanging="0" w:left="720" w:right="0"/>
      <w:contextualSpacing/>
    </w:pPr>
    <w:rPr/>
  </w:style>
  <w:style w:styleId="style40" w:type="paragraph">
    <w:name w:val="Citation"/>
    <w:basedOn w:val="style0"/>
    <w:next w:val="style40"/>
    <w:pPr/>
    <w:rPr/>
  </w:style>
  <w:style w:styleId="style41" w:type="paragraph">
    <w:name w:val="Titre principal"/>
    <w:basedOn w:val="style32"/>
    <w:next w:val="style41"/>
    <w:pPr/>
    <w:rPr/>
  </w:style>
  <w:style w:styleId="style42" w:type="paragraph">
    <w:name w:val="Sous-titre"/>
    <w:basedOn w:val="style32"/>
    <w:next w:val="style4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LibreOffice/4.1.6.2.0$Windows_x86 LibreOffice_project/6b04c4a32621d4168ba839813042142f6b4ee13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2015-02-06T13:04:00Z</dcterms:created>
  <dc:creator>Hamelin Laurence</dc:creator>
  <cp:lastModifiedBy>Hamelin Laurence</cp:lastModifiedBy>
  <dcterms:modified xsi:type="dcterms:W3CDTF">2015-02-06T13:40:00Z</dcterms:modified>
  <cp:revision>5</cp:revision>
</cp:coreProperties>
</file>