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C2" w:rsidRDefault="00002EC2" w:rsidP="00002EC2">
      <w:pPr>
        <w:pStyle w:val="Standard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A</w:t>
      </w:r>
      <w:r>
        <w:rPr>
          <w:rFonts w:cs="Times New Roman"/>
          <w:b/>
          <w:bCs/>
          <w:sz w:val="32"/>
          <w:szCs w:val="32"/>
        </w:rPr>
        <w:t>rchiviste accue</w:t>
      </w:r>
      <w:bookmarkStart w:id="0" w:name="_GoBack"/>
      <w:bookmarkEnd w:id="0"/>
      <w:r>
        <w:rPr>
          <w:rFonts w:cs="Times New Roman"/>
          <w:b/>
          <w:bCs/>
          <w:sz w:val="32"/>
          <w:szCs w:val="32"/>
        </w:rPr>
        <w:t xml:space="preserve">il public </w:t>
      </w:r>
      <w:r>
        <w:rPr>
          <w:rFonts w:cs="Times New Roman"/>
          <w:b/>
          <w:bCs/>
          <w:sz w:val="32"/>
          <w:szCs w:val="32"/>
        </w:rPr>
        <w:t>du Musée d’Archéologie nationale et Domaine national de Saint-Germain-en-Laye</w:t>
      </w:r>
    </w:p>
    <w:p w:rsidR="00002EC2" w:rsidRDefault="00002EC2" w:rsidP="00002EC2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Code </w:t>
      </w:r>
      <w:r>
        <w:rPr>
          <w:rFonts w:cs="Times New Roman"/>
          <w:sz w:val="18"/>
          <w:szCs w:val="18"/>
        </w:rPr>
        <w:t xml:space="preserve">Intitulé RIME : CUL </w:t>
      </w:r>
      <w:r>
        <w:rPr>
          <w:rFonts w:cs="Times New Roman"/>
          <w:sz w:val="18"/>
          <w:szCs w:val="18"/>
        </w:rPr>
        <w:t>11B</w:t>
      </w:r>
    </w:p>
    <w:p w:rsidR="00002EC2" w:rsidRDefault="00002EC2" w:rsidP="00002EC2">
      <w:pPr>
        <w:pStyle w:val="Standard"/>
        <w:rPr>
          <w:rFonts w:cs="Times New Roman"/>
          <w:sz w:val="18"/>
          <w:szCs w:val="18"/>
        </w:rPr>
      </w:pPr>
    </w:p>
    <w:p w:rsidR="00002EC2" w:rsidRDefault="00002EC2" w:rsidP="00002EC2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00000</w:t>
      </w:r>
    </w:p>
    <w:p w:rsidR="00002EC2" w:rsidRDefault="00002EC2" w:rsidP="00002EC2">
      <w:pPr>
        <w:pStyle w:val="Standard"/>
        <w:rPr>
          <w:rFonts w:cs="Times New Roman"/>
          <w:b/>
          <w:bCs/>
        </w:rPr>
      </w:pPr>
    </w:p>
    <w:p w:rsidR="00002EC2" w:rsidRDefault="00002EC2" w:rsidP="00002EC2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0C0C0"/>
        <w:jc w:val="both"/>
      </w:pPr>
      <w:r>
        <w:rPr>
          <w:rFonts w:cs="Times New Roman"/>
          <w:b/>
        </w:rPr>
        <w:t>Catégorie d’emploi</w:t>
      </w:r>
      <w:r>
        <w:rPr>
          <w:rFonts w:cs="Times New Roman"/>
        </w:rPr>
        <w:t xml:space="preserve"> : Catégorie C</w:t>
      </w:r>
    </w:p>
    <w:p w:rsidR="00002EC2" w:rsidRDefault="00002EC2" w:rsidP="00002EC2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0C0C0"/>
        <w:jc w:val="both"/>
        <w:rPr>
          <w:rFonts w:cs="Times New Roman"/>
          <w:b/>
        </w:rPr>
      </w:pPr>
      <w:r>
        <w:rPr>
          <w:rFonts w:cs="Times New Roman"/>
          <w:b/>
        </w:rPr>
        <w:t>Direction, pôle</w:t>
      </w:r>
      <w:r>
        <w:rPr>
          <w:rFonts w:cs="Times New Roman"/>
        </w:rPr>
        <w:t xml:space="preserve"> : </w:t>
      </w:r>
      <w:r>
        <w:rPr>
          <w:sz w:val="20"/>
        </w:rPr>
        <w:t>Service des ressources documentaires</w:t>
      </w:r>
      <w:r>
        <w:rPr>
          <w:rFonts w:cs="Times New Roman"/>
          <w:b/>
        </w:rPr>
        <w:t xml:space="preserve"> </w:t>
      </w:r>
    </w:p>
    <w:p w:rsidR="00002EC2" w:rsidRDefault="00002EC2" w:rsidP="00002EC2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0C0C0"/>
        <w:jc w:val="both"/>
        <w:rPr>
          <w:rFonts w:cs="Times New Roman"/>
          <w:b/>
        </w:rPr>
      </w:pPr>
    </w:p>
    <w:p w:rsidR="00002EC2" w:rsidRDefault="00002EC2" w:rsidP="00002EC2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0C0C0"/>
        <w:jc w:val="both"/>
      </w:pPr>
      <w:r>
        <w:rPr>
          <w:rFonts w:cs="Times New Roman"/>
          <w:b/>
        </w:rPr>
        <w:t>HIERARCHIE </w:t>
      </w:r>
      <w:r>
        <w:rPr>
          <w:rFonts w:cs="Times New Roman"/>
        </w:rPr>
        <w:t>:</w:t>
      </w:r>
    </w:p>
    <w:p w:rsidR="00002EC2" w:rsidRPr="005E2736" w:rsidRDefault="00002EC2" w:rsidP="00002EC2">
      <w:pPr>
        <w:pStyle w:val="TableContents"/>
        <w:numPr>
          <w:ilvl w:val="0"/>
          <w:numId w:val="1"/>
        </w:numPr>
        <w:tabs>
          <w:tab w:val="left" w:pos="485"/>
        </w:tabs>
        <w:suppressAutoHyphens w:val="0"/>
        <w:rPr>
          <w:rFonts w:eastAsia="Times New Roman"/>
          <w:b/>
          <w:i/>
          <w:sz w:val="20"/>
        </w:rPr>
      </w:pPr>
      <w:r>
        <w:t xml:space="preserve">N+1 : </w:t>
      </w:r>
      <w:r>
        <w:rPr>
          <w:sz w:val="20"/>
        </w:rPr>
        <w:t>Responsable du service des ressources documentaires</w:t>
      </w:r>
    </w:p>
    <w:p w:rsidR="00002EC2" w:rsidRDefault="00002EC2" w:rsidP="00002EC2">
      <w:pPr>
        <w:pStyle w:val="TableContents"/>
        <w:numPr>
          <w:ilvl w:val="0"/>
          <w:numId w:val="1"/>
        </w:numPr>
        <w:tabs>
          <w:tab w:val="left" w:pos="485"/>
        </w:tabs>
        <w:suppressAutoHyphens w:val="0"/>
        <w:rPr>
          <w:rFonts w:eastAsia="Times New Roman"/>
          <w:b/>
          <w:i/>
          <w:sz w:val="20"/>
        </w:rPr>
      </w:pPr>
      <w:r>
        <w:t xml:space="preserve">N+2 : </w:t>
      </w:r>
      <w:r>
        <w:rPr>
          <w:sz w:val="20"/>
        </w:rPr>
        <w:t>Adjoint au directeur chargé du Pôle scientifique</w:t>
      </w:r>
    </w:p>
    <w:p w:rsidR="00002EC2" w:rsidRDefault="00002EC2" w:rsidP="00002EC2">
      <w:pPr>
        <w:pStyle w:val="TableContents"/>
        <w:numPr>
          <w:ilvl w:val="0"/>
          <w:numId w:val="1"/>
        </w:numPr>
        <w:tabs>
          <w:tab w:val="left" w:pos="485"/>
        </w:tabs>
        <w:suppressAutoHyphens w:val="0"/>
        <w:rPr>
          <w:sz w:val="20"/>
        </w:rPr>
      </w:pPr>
      <w:r>
        <w:rPr>
          <w:b/>
          <w:i/>
          <w:sz w:val="20"/>
        </w:rPr>
        <w:t xml:space="preserve">Liaisons fonctionnelles : </w:t>
      </w:r>
      <w:r>
        <w:rPr>
          <w:sz w:val="20"/>
        </w:rPr>
        <w:t>services du Pôle scientifique et du Secrétariat général, service de la Communication, service du développement numérique, service du développement culturel.</w:t>
      </w:r>
    </w:p>
    <w:p w:rsidR="00002EC2" w:rsidRDefault="00002EC2" w:rsidP="00002EC2">
      <w:pPr>
        <w:pStyle w:val="TableContents"/>
        <w:numPr>
          <w:ilvl w:val="0"/>
          <w:numId w:val="1"/>
        </w:numPr>
        <w:tabs>
          <w:tab w:val="left" w:pos="485"/>
        </w:tabs>
        <w:suppressAutoHyphens w:val="0"/>
        <w:rPr>
          <w:sz w:val="20"/>
        </w:rPr>
      </w:pPr>
      <w:r>
        <w:rPr>
          <w:rFonts w:eastAsia="Times New Roman"/>
          <w:b/>
          <w:i/>
          <w:sz w:val="20"/>
        </w:rPr>
        <w:t xml:space="preserve">                                  </w:t>
      </w:r>
      <w:r>
        <w:rPr>
          <w:rFonts w:eastAsia="Times New Roman"/>
          <w:sz w:val="20"/>
        </w:rPr>
        <w:t xml:space="preserve"> </w:t>
      </w:r>
    </w:p>
    <w:p w:rsidR="00B9179F" w:rsidRDefault="00B9179F">
      <w:pPr>
        <w:rPr>
          <w:rFonts w:ascii="Times New Roman" w:hAnsi="Times New Roman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142"/>
        <w:gridCol w:w="4009"/>
      </w:tblGrid>
      <w:tr w:rsidR="00B91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179F" w:rsidRDefault="00B9179F">
            <w:pPr>
              <w:pStyle w:val="TableContents"/>
              <w:snapToGrid w:val="0"/>
              <w:rPr>
                <w:sz w:val="20"/>
              </w:rPr>
            </w:pPr>
            <w:r>
              <w:rPr>
                <w:sz w:val="20"/>
              </w:rPr>
              <w:t>Intitulé du poste</w:t>
            </w:r>
            <w:r>
              <w:rPr>
                <w:b/>
                <w:sz w:val="20"/>
              </w:rPr>
              <w:t xml:space="preserve"> :</w:t>
            </w:r>
            <w:r w:rsidR="00230831">
              <w:rPr>
                <w:sz w:val="20"/>
              </w:rPr>
              <w:t xml:space="preserve"> </w:t>
            </w:r>
            <w:r w:rsidR="00230831" w:rsidRPr="005254BB">
              <w:rPr>
                <w:sz w:val="20"/>
                <w:highlight w:val="yellow"/>
              </w:rPr>
              <w:t>A</w:t>
            </w:r>
            <w:r w:rsidR="00434C46" w:rsidRPr="005254BB">
              <w:rPr>
                <w:sz w:val="20"/>
                <w:highlight w:val="yellow"/>
              </w:rPr>
              <w:t>rchiviste</w:t>
            </w:r>
          </w:p>
        </w:tc>
        <w:tc>
          <w:tcPr>
            <w:tcW w:w="142" w:type="dxa"/>
            <w:tcBorders>
              <w:left w:val="single" w:sz="1" w:space="0" w:color="000000"/>
            </w:tcBorders>
          </w:tcPr>
          <w:p w:rsidR="00B9179F" w:rsidRDefault="00B9179F">
            <w:pPr>
              <w:pStyle w:val="TableContents"/>
              <w:snapToGrid w:val="0"/>
              <w:rPr>
                <w:sz w:val="20"/>
              </w:rPr>
            </w:pPr>
          </w:p>
        </w:tc>
        <w:tc>
          <w:tcPr>
            <w:tcW w:w="4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179F" w:rsidRDefault="00B9179F">
            <w:pPr>
              <w:pStyle w:val="TableContents"/>
              <w:snapToGrid w:val="0"/>
              <w:rPr>
                <w:sz w:val="20"/>
              </w:rPr>
            </w:pPr>
            <w:r>
              <w:rPr>
                <w:sz w:val="20"/>
              </w:rPr>
              <w:t>Catégorie/ Corps – fonction (codificatio</w:t>
            </w:r>
            <w:r w:rsidR="00434C46">
              <w:rPr>
                <w:sz w:val="20"/>
              </w:rPr>
              <w:t xml:space="preserve">n: </w:t>
            </w:r>
            <w:proofErr w:type="spellStart"/>
            <w:r w:rsidR="00434C46">
              <w:rPr>
                <w:sz w:val="20"/>
              </w:rPr>
              <w:t>cf</w:t>
            </w:r>
            <w:proofErr w:type="spellEnd"/>
            <w:r w:rsidR="00434C46">
              <w:rPr>
                <w:sz w:val="20"/>
              </w:rPr>
              <w:t xml:space="preserve"> annexe 2)   CUL11B : </w:t>
            </w:r>
          </w:p>
          <w:p w:rsidR="00B9179F" w:rsidRDefault="00B9179F">
            <w:pPr>
              <w:pStyle w:val="TableContents"/>
              <w:snapToGrid w:val="0"/>
              <w:rPr>
                <w:sz w:val="20"/>
              </w:rPr>
            </w:pPr>
          </w:p>
          <w:p w:rsidR="00B9179F" w:rsidRDefault="00B9179F">
            <w:pPr>
              <w:pStyle w:val="TableContents"/>
              <w:snapToGrid w:val="0"/>
              <w:rPr>
                <w:i/>
                <w:sz w:val="20"/>
              </w:rPr>
            </w:pPr>
            <w:r>
              <w:rPr>
                <w:b/>
                <w:sz w:val="20"/>
              </w:rPr>
              <w:br/>
            </w:r>
            <w:r>
              <w:rPr>
                <w:b/>
                <w:i/>
                <w:sz w:val="20"/>
              </w:rPr>
              <w:t xml:space="preserve"> </w:t>
            </w:r>
          </w:p>
          <w:p w:rsidR="00B9179F" w:rsidRDefault="00B9179F">
            <w:pPr>
              <w:pStyle w:val="TableContents"/>
              <w:rPr>
                <w:i/>
                <w:sz w:val="20"/>
              </w:rPr>
            </w:pPr>
          </w:p>
        </w:tc>
      </w:tr>
    </w:tbl>
    <w:p w:rsidR="00B9179F" w:rsidRDefault="00B9179F">
      <w:pPr>
        <w:pStyle w:val="TableContents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0"/>
      </w:tblGrid>
      <w:tr w:rsidR="00B91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179F" w:rsidRDefault="00B9179F">
            <w:pPr>
              <w:pStyle w:val="TableContents"/>
              <w:snapToGrid w:val="0"/>
            </w:pPr>
            <w:r>
              <w:rPr>
                <w:sz w:val="20"/>
              </w:rPr>
              <w:t>Domaine(s) Fonctionnel(s) :</w:t>
            </w:r>
            <w:r w:rsidR="00E63E6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Conservation, architecture et patrimoine architectural</w:t>
            </w:r>
          </w:p>
        </w:tc>
      </w:tr>
    </w:tbl>
    <w:p w:rsidR="00B9179F" w:rsidRDefault="00B9179F">
      <w:pPr>
        <w:pStyle w:val="TableContents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0"/>
      </w:tblGrid>
      <w:tr w:rsidR="00B91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179F" w:rsidRDefault="00B9179F">
            <w:pPr>
              <w:pStyle w:val="TableContents"/>
              <w:snapToGrid w:val="0"/>
            </w:pPr>
            <w:r>
              <w:rPr>
                <w:sz w:val="20"/>
              </w:rPr>
              <w:t xml:space="preserve">Emploi(s) Type : </w:t>
            </w:r>
          </w:p>
        </w:tc>
      </w:tr>
    </w:tbl>
    <w:p w:rsidR="00B9179F" w:rsidRDefault="00B9179F">
      <w:pPr>
        <w:pStyle w:val="TableContents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0"/>
      </w:tblGrid>
      <w:tr w:rsidR="00B91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179F" w:rsidRDefault="00B9179F">
            <w:pPr>
              <w:pStyle w:val="TableContents"/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Localisation administrative et géographique / Affectation :</w:t>
            </w:r>
          </w:p>
          <w:p w:rsidR="00B9179F" w:rsidRDefault="00B9179F">
            <w:pPr>
              <w:pStyle w:val="TableContents"/>
              <w:snapToGrid w:val="0"/>
              <w:rPr>
                <w:b/>
                <w:sz w:val="20"/>
              </w:rPr>
            </w:pPr>
          </w:p>
          <w:p w:rsidR="00B9179F" w:rsidRDefault="00B9179F">
            <w:pPr>
              <w:pStyle w:val="TableContents"/>
            </w:pPr>
            <w:r>
              <w:rPr>
                <w:sz w:val="20"/>
              </w:rPr>
              <w:t>MAN</w:t>
            </w:r>
            <w:r>
              <w:rPr>
                <w:sz w:val="20"/>
              </w:rPr>
              <w:br/>
            </w:r>
          </w:p>
        </w:tc>
      </w:tr>
    </w:tbl>
    <w:p w:rsidR="00B9179F" w:rsidRDefault="00B9179F">
      <w:pPr>
        <w:pStyle w:val="TableContents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0"/>
      </w:tblGrid>
      <w:tr w:rsidR="00B91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179F" w:rsidRDefault="00B9179F">
            <w:pPr>
              <w:pStyle w:val="TableContents"/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Missions et activités principales :</w:t>
            </w:r>
          </w:p>
          <w:p w:rsidR="00B9179F" w:rsidRDefault="00B9179F">
            <w:pPr>
              <w:pStyle w:val="TableContents"/>
              <w:snapToGrid w:val="0"/>
              <w:rPr>
                <w:b/>
                <w:sz w:val="20"/>
              </w:rPr>
            </w:pPr>
          </w:p>
          <w:p w:rsidR="00434C46" w:rsidRPr="00434C46" w:rsidRDefault="00434C46" w:rsidP="00434C46">
            <w:pPr>
              <w:numPr>
                <w:ilvl w:val="0"/>
                <w:numId w:val="4"/>
              </w:numPr>
              <w:suppressAutoHyphens w:val="0"/>
              <w:spacing w:after="160" w:line="259" w:lineRule="auto"/>
              <w:ind w:left="142" w:hanging="360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- </w:t>
            </w:r>
            <w:r w:rsidRPr="00434C46">
              <w:rPr>
                <w:rFonts w:ascii="Times New Roman" w:hAnsi="Times New Roman" w:cs="Calibri"/>
              </w:rPr>
              <w:t>Accueil du public au centre des archives :</w:t>
            </w:r>
          </w:p>
          <w:p w:rsidR="00434C46" w:rsidRPr="00434C46" w:rsidRDefault="00434C46" w:rsidP="00434C46">
            <w:pPr>
              <w:ind w:left="142"/>
              <w:rPr>
                <w:rFonts w:ascii="Times New Roman" w:hAnsi="Times New Roman" w:cs="Calibri"/>
              </w:rPr>
            </w:pPr>
            <w:r w:rsidRPr="00434C46">
              <w:rPr>
                <w:rFonts w:ascii="Times New Roman" w:hAnsi="Times New Roman" w:cs="Calibri"/>
              </w:rPr>
              <w:tab/>
              <w:t>Gérer les demandes d’accès des chercheurs</w:t>
            </w:r>
          </w:p>
          <w:p w:rsidR="00434C46" w:rsidRPr="00434C46" w:rsidRDefault="00434C46" w:rsidP="00434C46">
            <w:pPr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              </w:t>
            </w:r>
            <w:r w:rsidRPr="00434C46">
              <w:rPr>
                <w:rFonts w:ascii="Times New Roman" w:hAnsi="Times New Roman" w:cs="Calibri"/>
              </w:rPr>
              <w:t>Accueillir physiquement les chercheurs</w:t>
            </w:r>
          </w:p>
          <w:p w:rsidR="00434C46" w:rsidRPr="00434C46" w:rsidRDefault="00434C46" w:rsidP="00434C46">
            <w:pPr>
              <w:ind w:left="142"/>
              <w:rPr>
                <w:rFonts w:ascii="Times New Roman" w:hAnsi="Times New Roman" w:cs="Calibri"/>
              </w:rPr>
            </w:pPr>
            <w:r w:rsidRPr="00434C46">
              <w:rPr>
                <w:rFonts w:ascii="Times New Roman" w:hAnsi="Times New Roman" w:cs="Calibri"/>
              </w:rPr>
              <w:tab/>
              <w:t>Tenir le registre des communications</w:t>
            </w:r>
          </w:p>
          <w:p w:rsidR="00434C46" w:rsidRPr="00434C46" w:rsidRDefault="00434C46" w:rsidP="00434C46">
            <w:pPr>
              <w:ind w:left="142"/>
              <w:rPr>
                <w:rFonts w:ascii="Times New Roman" w:hAnsi="Times New Roman" w:cs="Calibri"/>
              </w:rPr>
            </w:pPr>
            <w:r w:rsidRPr="00434C46">
              <w:rPr>
                <w:rFonts w:ascii="Times New Roman" w:hAnsi="Times New Roman" w:cs="Calibri"/>
              </w:rPr>
              <w:tab/>
              <w:t>Orienter les chercheurs</w:t>
            </w:r>
          </w:p>
          <w:p w:rsidR="00434C46" w:rsidRPr="00434C46" w:rsidRDefault="00434C46" w:rsidP="00434C46">
            <w:pPr>
              <w:ind w:left="142"/>
              <w:rPr>
                <w:rFonts w:ascii="Times New Roman" w:hAnsi="Times New Roman" w:cs="Calibri"/>
              </w:rPr>
            </w:pPr>
            <w:r w:rsidRPr="00434C46">
              <w:rPr>
                <w:rFonts w:ascii="Times New Roman" w:hAnsi="Times New Roman" w:cs="Calibri"/>
              </w:rPr>
              <w:tab/>
              <w:t>Mettre à disposition et communiquer les documents</w:t>
            </w:r>
          </w:p>
          <w:p w:rsidR="00434C46" w:rsidRPr="00434C46" w:rsidRDefault="00434C46" w:rsidP="00434C46">
            <w:pPr>
              <w:ind w:left="142"/>
              <w:rPr>
                <w:rFonts w:ascii="Times New Roman" w:hAnsi="Times New Roman" w:cs="Calibri"/>
              </w:rPr>
            </w:pPr>
            <w:r w:rsidRPr="00434C46">
              <w:rPr>
                <w:rFonts w:ascii="Times New Roman" w:hAnsi="Times New Roman" w:cs="Calibri"/>
              </w:rPr>
              <w:tab/>
              <w:t>Réintégrer les documents</w:t>
            </w:r>
          </w:p>
          <w:p w:rsidR="00434C46" w:rsidRPr="00434C46" w:rsidRDefault="00434C46" w:rsidP="00434C46">
            <w:pPr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              </w:t>
            </w:r>
            <w:r w:rsidRPr="00434C46">
              <w:rPr>
                <w:rFonts w:ascii="Times New Roman" w:hAnsi="Times New Roman" w:cs="Calibri"/>
              </w:rPr>
              <w:t>Assurer l’application du règlement intérieur et suivre les reproductions</w:t>
            </w:r>
          </w:p>
          <w:p w:rsidR="00434C46" w:rsidRDefault="00434C46" w:rsidP="00434C46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ind w:left="142" w:hanging="360"/>
              <w:rPr>
                <w:rFonts w:ascii="Times New Roman" w:hAnsi="Times New Roman" w:cs="Calibri"/>
              </w:rPr>
            </w:pPr>
          </w:p>
          <w:p w:rsidR="00434C46" w:rsidRPr="00BC09CB" w:rsidRDefault="00434C46" w:rsidP="00434C46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ind w:left="142" w:hanging="360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- </w:t>
            </w:r>
            <w:r w:rsidRPr="00BC09CB">
              <w:rPr>
                <w:rFonts w:ascii="Times New Roman" w:hAnsi="Times New Roman" w:cs="Calibri"/>
              </w:rPr>
              <w:t>Contribuer au traitement, à la description et au conditionnement des fonds d’archives (fonds de la correspondance)</w:t>
            </w:r>
          </w:p>
          <w:p w:rsidR="00B9179F" w:rsidRPr="00D171DA" w:rsidRDefault="00434C46" w:rsidP="00434C46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ind w:left="142" w:hanging="360"/>
              <w:rPr>
                <w:rFonts w:ascii="Times New Roman" w:hAnsi="Times New Roman" w:cs="Calibri"/>
              </w:rPr>
            </w:pPr>
            <w:r w:rsidRPr="00BC09CB">
              <w:rPr>
                <w:rFonts w:ascii="Times New Roman" w:hAnsi="Times New Roman"/>
              </w:rPr>
              <w:t xml:space="preserve">- Contribuer au récolement </w:t>
            </w:r>
            <w:r w:rsidR="005254BB">
              <w:rPr>
                <w:rFonts w:ascii="Times New Roman" w:hAnsi="Times New Roman"/>
              </w:rPr>
              <w:t xml:space="preserve">général </w:t>
            </w:r>
            <w:r w:rsidRPr="00BC09CB">
              <w:rPr>
                <w:rFonts w:ascii="Times New Roman" w:hAnsi="Times New Roman"/>
              </w:rPr>
              <w:t>des fonds d’archives</w:t>
            </w:r>
          </w:p>
          <w:p w:rsidR="00D171DA" w:rsidRPr="00BC09CB" w:rsidRDefault="00D171DA" w:rsidP="00434C46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ind w:left="142" w:hanging="360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- Participer à la conservation préventive</w:t>
            </w:r>
          </w:p>
          <w:p w:rsidR="00B9179F" w:rsidRDefault="00B9179F">
            <w:pPr>
              <w:pStyle w:val="TableContents"/>
              <w:rPr>
                <w:sz w:val="20"/>
              </w:rPr>
            </w:pPr>
          </w:p>
        </w:tc>
      </w:tr>
      <w:tr w:rsidR="00C86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E6B" w:rsidRDefault="00C86E6B">
            <w:pPr>
              <w:pStyle w:val="TableContents"/>
              <w:snapToGrid w:val="0"/>
              <w:rPr>
                <w:b/>
                <w:sz w:val="20"/>
              </w:rPr>
            </w:pPr>
          </w:p>
        </w:tc>
      </w:tr>
      <w:tr w:rsidR="00434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C46" w:rsidRDefault="00434C46">
            <w:pPr>
              <w:pStyle w:val="TableContents"/>
              <w:snapToGrid w:val="0"/>
              <w:rPr>
                <w:b/>
                <w:sz w:val="20"/>
              </w:rPr>
            </w:pPr>
          </w:p>
        </w:tc>
      </w:tr>
    </w:tbl>
    <w:p w:rsidR="00B9179F" w:rsidRDefault="00B9179F">
      <w:pPr>
        <w:pStyle w:val="TableContents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0"/>
      </w:tblGrid>
      <w:tr w:rsidR="00B91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179F" w:rsidRDefault="00B9179F">
            <w:pPr>
              <w:pStyle w:val="TableContents"/>
              <w:snapToGrid w:val="0"/>
            </w:pPr>
            <w:r>
              <w:rPr>
                <w:b/>
                <w:sz w:val="20"/>
              </w:rPr>
              <w:t>Compétences principales mises en œuvre : (cotés  sur 4 niveaux initié – pratique – maîtrise - expert)</w:t>
            </w:r>
          </w:p>
        </w:tc>
      </w:tr>
      <w:tr w:rsidR="00B91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C46" w:rsidRDefault="00434C46">
            <w:pPr>
              <w:pStyle w:val="TableContents"/>
              <w:snapToGrid w:val="0"/>
              <w:rPr>
                <w:b/>
                <w:sz w:val="20"/>
                <w:u w:val="single"/>
              </w:rPr>
            </w:pPr>
          </w:p>
          <w:p w:rsidR="007103B5" w:rsidRDefault="00B9179F">
            <w:pPr>
              <w:pStyle w:val="TableContents"/>
              <w:snapToGrid w:val="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Compétences techniques </w:t>
            </w:r>
          </w:p>
          <w:p w:rsidR="00434C46" w:rsidRDefault="00434C46">
            <w:pPr>
              <w:pStyle w:val="TableContents"/>
              <w:snapToGrid w:val="0"/>
              <w:rPr>
                <w:b/>
                <w:sz w:val="20"/>
                <w:u w:val="single"/>
              </w:rPr>
            </w:pPr>
          </w:p>
          <w:p w:rsidR="007103B5" w:rsidRDefault="00434C46">
            <w:pPr>
              <w:pStyle w:val="TableContents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7103B5" w:rsidRPr="00E30570">
              <w:rPr>
                <w:sz w:val="20"/>
              </w:rPr>
              <w:t>T</w:t>
            </w:r>
            <w:r w:rsidR="00B9179F">
              <w:rPr>
                <w:sz w:val="20"/>
              </w:rPr>
              <w:t>echniques</w:t>
            </w:r>
            <w:r>
              <w:rPr>
                <w:sz w:val="20"/>
              </w:rPr>
              <w:t xml:space="preserve"> de description archivistique : initié</w:t>
            </w:r>
          </w:p>
          <w:p w:rsidR="00D171DA" w:rsidRDefault="00D171DA">
            <w:pPr>
              <w:pStyle w:val="TableContents"/>
              <w:snapToGrid w:val="0"/>
              <w:rPr>
                <w:sz w:val="20"/>
              </w:rPr>
            </w:pPr>
            <w:r>
              <w:rPr>
                <w:sz w:val="20"/>
              </w:rPr>
              <w:t>- Technique de classement archivistique : initié</w:t>
            </w:r>
          </w:p>
          <w:p w:rsidR="00AA03C2" w:rsidRDefault="00434C46">
            <w:pPr>
              <w:pStyle w:val="TableContents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7103B5">
              <w:rPr>
                <w:sz w:val="20"/>
              </w:rPr>
              <w:t>T</w:t>
            </w:r>
            <w:r w:rsidR="00AA03C2">
              <w:rPr>
                <w:sz w:val="20"/>
              </w:rPr>
              <w:t>echniques de traiteme</w:t>
            </w:r>
            <w:r>
              <w:rPr>
                <w:sz w:val="20"/>
              </w:rPr>
              <w:t>nt et de conservation : initié</w:t>
            </w:r>
          </w:p>
          <w:p w:rsidR="00AA03C2" w:rsidRPr="00DF2833" w:rsidRDefault="00434C46">
            <w:pPr>
              <w:pStyle w:val="TableContents"/>
              <w:snapToGrid w:val="0"/>
              <w:rPr>
                <w:sz w:val="20"/>
              </w:rPr>
            </w:pPr>
            <w:r>
              <w:rPr>
                <w:rFonts w:cs="Helvetica 55 Roman"/>
                <w:color w:val="000000"/>
                <w:sz w:val="20"/>
              </w:rPr>
              <w:t xml:space="preserve">- </w:t>
            </w:r>
            <w:r w:rsidR="00AA03C2" w:rsidRPr="00DF2833">
              <w:rPr>
                <w:rFonts w:cs="Helvetica 55 Roman"/>
                <w:color w:val="000000"/>
                <w:sz w:val="20"/>
              </w:rPr>
              <w:t>Réglementations et procédures</w:t>
            </w:r>
            <w:r>
              <w:rPr>
                <w:rFonts w:cs="Helvetica 55 Roman"/>
                <w:color w:val="000000"/>
                <w:sz w:val="20"/>
              </w:rPr>
              <w:t xml:space="preserve"> liées aux fonds d’archives</w:t>
            </w:r>
            <w:r w:rsidR="00AA03C2" w:rsidRPr="00DF2833">
              <w:rPr>
                <w:rFonts w:cs="Helvetica 55 Roman"/>
                <w:color w:val="000000"/>
                <w:sz w:val="20"/>
              </w:rPr>
              <w:t xml:space="preserve"> : </w:t>
            </w:r>
            <w:r>
              <w:rPr>
                <w:rFonts w:cs="Helvetica 55 Roman"/>
                <w:color w:val="000000"/>
                <w:sz w:val="20"/>
              </w:rPr>
              <w:t>pratique</w:t>
            </w:r>
          </w:p>
          <w:p w:rsidR="0000548C" w:rsidRDefault="00434C46">
            <w:pPr>
              <w:pStyle w:val="TableContents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AA03C2">
              <w:rPr>
                <w:sz w:val="20"/>
              </w:rPr>
              <w:t>Connaissance de l’a</w:t>
            </w:r>
            <w:r>
              <w:rPr>
                <w:sz w:val="20"/>
              </w:rPr>
              <w:t>rchéologie,</w:t>
            </w:r>
            <w:r w:rsidR="0000548C" w:rsidRPr="00667820">
              <w:rPr>
                <w:sz w:val="20"/>
              </w:rPr>
              <w:t xml:space="preserve"> de l’histoire </w:t>
            </w:r>
            <w:r w:rsidR="00AA03C2">
              <w:rPr>
                <w:sz w:val="20"/>
              </w:rPr>
              <w:t>du château</w:t>
            </w:r>
            <w:r>
              <w:rPr>
                <w:sz w:val="20"/>
              </w:rPr>
              <w:t xml:space="preserve"> et du musée</w:t>
            </w:r>
            <w:r w:rsidR="007103B5">
              <w:rPr>
                <w:sz w:val="20"/>
              </w:rPr>
              <w:t> : pratique</w:t>
            </w:r>
          </w:p>
          <w:p w:rsidR="00D171DA" w:rsidRPr="00667820" w:rsidRDefault="00D171DA">
            <w:pPr>
              <w:pStyle w:val="TableContents"/>
              <w:snapToGrid w:val="0"/>
              <w:rPr>
                <w:sz w:val="20"/>
              </w:rPr>
            </w:pPr>
            <w:r>
              <w:rPr>
                <w:sz w:val="20"/>
              </w:rPr>
              <w:t>- Connaissance des règles de conservation préventive : pratique</w:t>
            </w:r>
          </w:p>
          <w:p w:rsidR="00DF2833" w:rsidRDefault="00DF2833" w:rsidP="00D171DA">
            <w:pPr>
              <w:pStyle w:val="TableContents"/>
              <w:snapToGrid w:val="0"/>
              <w:rPr>
                <w:sz w:val="20"/>
              </w:rPr>
            </w:pPr>
          </w:p>
        </w:tc>
      </w:tr>
      <w:tr w:rsidR="00B91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179F" w:rsidRDefault="00B9179F">
            <w:pPr>
              <w:pStyle w:val="TableContents"/>
              <w:snapToGrid w:val="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Savoir-faire</w:t>
            </w:r>
          </w:p>
          <w:p w:rsidR="00B9179F" w:rsidRDefault="00B9179F">
            <w:pPr>
              <w:pStyle w:val="TableContents"/>
              <w:snapToGrid w:val="0"/>
              <w:rPr>
                <w:sz w:val="20"/>
              </w:rPr>
            </w:pPr>
          </w:p>
          <w:p w:rsidR="008D73D0" w:rsidRPr="00434C46" w:rsidRDefault="00434C46" w:rsidP="00434C46">
            <w:pPr>
              <w:pStyle w:val="TableContents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B9179F" w:rsidRPr="00434C46">
              <w:rPr>
                <w:sz w:val="20"/>
              </w:rPr>
              <w:t>Maîtrise des outils bureautiques courants</w:t>
            </w:r>
          </w:p>
          <w:p w:rsidR="008D73D0" w:rsidRPr="00434C46" w:rsidRDefault="008D73D0" w:rsidP="008D73D0">
            <w:pPr>
              <w:pStyle w:val="Pa59"/>
              <w:jc w:val="both"/>
              <w:rPr>
                <w:rFonts w:ascii="Times New Roman" w:hAnsi="Times New Roman" w:cs="Helvetica 55 Roman"/>
                <w:color w:val="000000"/>
                <w:sz w:val="20"/>
                <w:szCs w:val="20"/>
              </w:rPr>
            </w:pPr>
            <w:r w:rsidRPr="00434C46">
              <w:rPr>
                <w:rFonts w:ascii="Times New Roman" w:hAnsi="Times New Roman" w:cs="Helvetica 55 Roman"/>
                <w:color w:val="000000"/>
                <w:sz w:val="20"/>
                <w:szCs w:val="20"/>
              </w:rPr>
              <w:t xml:space="preserve">- Transmettre des informations </w:t>
            </w:r>
          </w:p>
          <w:p w:rsidR="008D73D0" w:rsidRPr="00434C46" w:rsidRDefault="008D73D0" w:rsidP="008D73D0">
            <w:pPr>
              <w:pStyle w:val="Pa59"/>
              <w:jc w:val="both"/>
              <w:rPr>
                <w:rFonts w:ascii="Times New Roman" w:hAnsi="Times New Roman" w:cs="Helvetica 55 Roman"/>
                <w:color w:val="000000"/>
                <w:sz w:val="20"/>
                <w:szCs w:val="20"/>
              </w:rPr>
            </w:pPr>
            <w:r w:rsidRPr="00434C46">
              <w:rPr>
                <w:rFonts w:ascii="Times New Roman" w:hAnsi="Times New Roman" w:cs="Helvetica 55 Roman"/>
                <w:color w:val="000000"/>
                <w:sz w:val="20"/>
                <w:szCs w:val="20"/>
              </w:rPr>
              <w:t xml:space="preserve">- Rendre compte à sa hiérarchie </w:t>
            </w:r>
          </w:p>
          <w:p w:rsidR="008D73D0" w:rsidRPr="00434C46" w:rsidRDefault="008D73D0" w:rsidP="008D73D0">
            <w:pPr>
              <w:pStyle w:val="TableContents"/>
              <w:snapToGrid w:val="0"/>
              <w:rPr>
                <w:sz w:val="20"/>
              </w:rPr>
            </w:pPr>
            <w:r w:rsidRPr="00434C46">
              <w:rPr>
                <w:rFonts w:cs="Helvetica 55 Roman"/>
                <w:color w:val="000000"/>
                <w:sz w:val="20"/>
              </w:rPr>
              <w:t>- Gérer les relations avec le public</w:t>
            </w:r>
          </w:p>
          <w:p w:rsidR="00B9179F" w:rsidRDefault="00B9179F">
            <w:pPr>
              <w:pStyle w:val="TableContents"/>
              <w:snapToGrid w:val="0"/>
              <w:rPr>
                <w:sz w:val="20"/>
              </w:rPr>
            </w:pPr>
          </w:p>
          <w:p w:rsidR="00B9179F" w:rsidRDefault="00B9179F">
            <w:pPr>
              <w:pStyle w:val="TableContents"/>
              <w:snapToGrid w:val="0"/>
              <w:rPr>
                <w:sz w:val="20"/>
                <w:u w:val="single"/>
              </w:rPr>
            </w:pPr>
          </w:p>
        </w:tc>
      </w:tr>
      <w:tr w:rsidR="00B91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179F" w:rsidRPr="0073475F" w:rsidRDefault="00B9179F">
            <w:pPr>
              <w:pStyle w:val="TableContents"/>
              <w:snapToGrid w:val="0"/>
              <w:rPr>
                <w:sz w:val="20"/>
              </w:rPr>
            </w:pPr>
            <w:r w:rsidRPr="0073475F">
              <w:rPr>
                <w:b/>
                <w:sz w:val="20"/>
                <w:u w:val="single"/>
              </w:rPr>
              <w:lastRenderedPageBreak/>
              <w:t>Savoir-être (compétences comportementales)</w:t>
            </w:r>
          </w:p>
          <w:p w:rsidR="00B9179F" w:rsidRPr="0073475F" w:rsidRDefault="00B9179F">
            <w:pPr>
              <w:pStyle w:val="TableContents"/>
              <w:snapToGrid w:val="0"/>
              <w:rPr>
                <w:sz w:val="20"/>
              </w:rPr>
            </w:pPr>
          </w:p>
          <w:p w:rsidR="008D73D0" w:rsidRPr="0073475F" w:rsidRDefault="008D73D0" w:rsidP="008D73D0">
            <w:pPr>
              <w:pStyle w:val="Pa59"/>
              <w:jc w:val="both"/>
              <w:rPr>
                <w:rFonts w:ascii="Times New Roman" w:hAnsi="Times New Roman" w:cs="Helvetica 55 Roman"/>
                <w:color w:val="000000"/>
                <w:sz w:val="20"/>
                <w:szCs w:val="20"/>
              </w:rPr>
            </w:pPr>
            <w:r w:rsidRPr="0073475F">
              <w:rPr>
                <w:rFonts w:ascii="Times New Roman" w:hAnsi="Times New Roman" w:cs="Helvetica 55 Roman"/>
                <w:color w:val="000000"/>
                <w:sz w:val="20"/>
                <w:szCs w:val="20"/>
              </w:rPr>
              <w:t xml:space="preserve">- Être rigoureux </w:t>
            </w:r>
          </w:p>
          <w:p w:rsidR="008D73D0" w:rsidRPr="0073475F" w:rsidRDefault="008D73D0" w:rsidP="008D73D0">
            <w:pPr>
              <w:pStyle w:val="Pa59"/>
              <w:jc w:val="both"/>
              <w:rPr>
                <w:rFonts w:ascii="Times New Roman" w:hAnsi="Times New Roman" w:cs="Helvetica 55 Roman"/>
                <w:color w:val="000000"/>
                <w:sz w:val="20"/>
                <w:szCs w:val="20"/>
              </w:rPr>
            </w:pPr>
            <w:r w:rsidRPr="0073475F">
              <w:rPr>
                <w:rFonts w:ascii="Times New Roman" w:hAnsi="Times New Roman" w:cs="Helvetica 55 Roman"/>
                <w:color w:val="000000"/>
                <w:sz w:val="20"/>
                <w:szCs w:val="20"/>
              </w:rPr>
              <w:t xml:space="preserve">- Sens des relations humaines </w:t>
            </w:r>
          </w:p>
          <w:p w:rsidR="008D73D0" w:rsidRDefault="008D73D0" w:rsidP="008D73D0">
            <w:pPr>
              <w:pStyle w:val="Pa59"/>
              <w:jc w:val="both"/>
              <w:rPr>
                <w:rFonts w:ascii="Times New Roman" w:hAnsi="Times New Roman" w:cs="Helvetica 55 Roman"/>
                <w:color w:val="000000"/>
                <w:sz w:val="20"/>
                <w:szCs w:val="20"/>
              </w:rPr>
            </w:pPr>
            <w:r w:rsidRPr="0073475F">
              <w:rPr>
                <w:rFonts w:ascii="Times New Roman" w:hAnsi="Times New Roman" w:cs="Helvetica 55 Roman"/>
                <w:color w:val="000000"/>
                <w:sz w:val="20"/>
                <w:szCs w:val="20"/>
              </w:rPr>
              <w:t xml:space="preserve">- Être à l’écoute </w:t>
            </w:r>
          </w:p>
          <w:p w:rsidR="00F553CB" w:rsidRPr="00F553CB" w:rsidRDefault="00F553CB" w:rsidP="00F553CB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- </w:t>
            </w:r>
            <w:r w:rsidRPr="0073475F">
              <w:rPr>
                <w:rFonts w:ascii="Times New Roman" w:hAnsi="Times New Roman" w:cs="Helvetica 55 Roman"/>
                <w:color w:val="000000"/>
              </w:rPr>
              <w:t>Être</w:t>
            </w:r>
            <w:r>
              <w:rPr>
                <w:rFonts w:ascii="Times New Roman" w:hAnsi="Times New Roman" w:cs="Helvetica 55 Roman"/>
                <w:color w:val="000000"/>
              </w:rPr>
              <w:t xml:space="preserve"> discret </w:t>
            </w:r>
          </w:p>
          <w:p w:rsidR="00B9179F" w:rsidRDefault="00B9179F" w:rsidP="008D73D0">
            <w:pPr>
              <w:pStyle w:val="TableContents"/>
              <w:snapToGrid w:val="0"/>
              <w:rPr>
                <w:sz w:val="20"/>
              </w:rPr>
            </w:pPr>
          </w:p>
        </w:tc>
      </w:tr>
    </w:tbl>
    <w:p w:rsidR="00B9179F" w:rsidRDefault="00B9179F">
      <w:pPr>
        <w:pStyle w:val="TableContents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0"/>
      </w:tblGrid>
      <w:tr w:rsidR="00B91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179F" w:rsidRDefault="00B9179F" w:rsidP="000D7A83">
            <w:pPr>
              <w:pStyle w:val="TableContents"/>
              <w:snapToGrid w:val="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Environnement professionnel :</w:t>
            </w:r>
            <w:r>
              <w:rPr>
                <w:sz w:val="20"/>
              </w:rPr>
              <w:br/>
            </w:r>
          </w:p>
          <w:p w:rsidR="00B9179F" w:rsidRDefault="00B9179F">
            <w:pPr>
              <w:pStyle w:val="TableContents"/>
              <w:numPr>
                <w:ilvl w:val="0"/>
                <w:numId w:val="1"/>
              </w:numPr>
              <w:tabs>
                <w:tab w:val="left" w:pos="485"/>
              </w:tabs>
              <w:suppressAutoHyphens w:val="0"/>
              <w:rPr>
                <w:b/>
                <w:i/>
                <w:sz w:val="20"/>
              </w:rPr>
            </w:pPr>
          </w:p>
          <w:p w:rsidR="00B9179F" w:rsidRDefault="00B9179F">
            <w:pPr>
              <w:pStyle w:val="TableContents"/>
              <w:numPr>
                <w:ilvl w:val="0"/>
                <w:numId w:val="1"/>
              </w:numPr>
              <w:tabs>
                <w:tab w:val="left" w:pos="485"/>
              </w:tabs>
              <w:suppressAutoHyphens w:val="0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Liaisons hiérarchiques : </w:t>
            </w:r>
            <w:r w:rsidR="00667820">
              <w:rPr>
                <w:sz w:val="20"/>
              </w:rPr>
              <w:t>Responsable du service</w:t>
            </w:r>
            <w:r>
              <w:rPr>
                <w:sz w:val="20"/>
              </w:rPr>
              <w:t xml:space="preserve"> de</w:t>
            </w:r>
            <w:r w:rsidR="00667820">
              <w:rPr>
                <w:sz w:val="20"/>
              </w:rPr>
              <w:t>s</w:t>
            </w:r>
            <w:r>
              <w:rPr>
                <w:sz w:val="20"/>
              </w:rPr>
              <w:t xml:space="preserve"> ressources documentaires</w:t>
            </w:r>
          </w:p>
          <w:p w:rsidR="00B9179F" w:rsidRDefault="00B9179F">
            <w:pPr>
              <w:pStyle w:val="TableContents"/>
              <w:numPr>
                <w:ilvl w:val="0"/>
                <w:numId w:val="1"/>
              </w:numPr>
              <w:tabs>
                <w:tab w:val="left" w:pos="485"/>
              </w:tabs>
              <w:suppressAutoHyphens w:val="0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                                         </w:t>
            </w:r>
            <w:r>
              <w:rPr>
                <w:sz w:val="20"/>
              </w:rPr>
              <w:t xml:space="preserve"> Adjoint au directeur chargé du Pôle scientifique</w:t>
            </w:r>
          </w:p>
          <w:p w:rsidR="00B9179F" w:rsidRDefault="00B9179F">
            <w:pPr>
              <w:pStyle w:val="TableContents"/>
              <w:numPr>
                <w:ilvl w:val="0"/>
                <w:numId w:val="1"/>
              </w:numPr>
              <w:tabs>
                <w:tab w:val="left" w:pos="485"/>
              </w:tabs>
              <w:suppressAutoHyphens w:val="0"/>
              <w:rPr>
                <w:sz w:val="20"/>
              </w:rPr>
            </w:pPr>
          </w:p>
          <w:p w:rsidR="00B9179F" w:rsidRPr="000D7A83" w:rsidRDefault="00B9179F" w:rsidP="000D7A83">
            <w:pPr>
              <w:pStyle w:val="TableContents"/>
              <w:numPr>
                <w:ilvl w:val="0"/>
                <w:numId w:val="1"/>
              </w:numPr>
              <w:tabs>
                <w:tab w:val="left" w:pos="485"/>
              </w:tabs>
              <w:suppressAutoHyphens w:val="0"/>
              <w:rPr>
                <w:sz w:val="20"/>
              </w:rPr>
            </w:pPr>
            <w:r w:rsidRPr="000D7A83">
              <w:rPr>
                <w:i/>
                <w:sz w:val="20"/>
              </w:rPr>
              <w:br/>
            </w:r>
            <w:r w:rsidRPr="000D7A83">
              <w:rPr>
                <w:i/>
                <w:sz w:val="20"/>
              </w:rPr>
              <w:br/>
            </w:r>
            <w:r w:rsidRPr="000D7A83">
              <w:rPr>
                <w:b/>
                <w:i/>
                <w:sz w:val="20"/>
              </w:rPr>
              <w:t xml:space="preserve">Liaisons fonctionnelles : </w:t>
            </w:r>
            <w:r w:rsidR="00434C46">
              <w:rPr>
                <w:sz w:val="20"/>
              </w:rPr>
              <w:t>s</w:t>
            </w:r>
            <w:r w:rsidRPr="000D7A83">
              <w:rPr>
                <w:sz w:val="20"/>
              </w:rPr>
              <w:t>ervices du Pôle scientifique et du Secrétariat général, service de la Communication</w:t>
            </w:r>
            <w:r w:rsidR="0000548C" w:rsidRPr="000D7A83">
              <w:rPr>
                <w:sz w:val="20"/>
              </w:rPr>
              <w:t>, service du dév</w:t>
            </w:r>
            <w:r w:rsidR="00667820" w:rsidRPr="000D7A83">
              <w:rPr>
                <w:sz w:val="20"/>
              </w:rPr>
              <w:t>eloppement numérique, service du</w:t>
            </w:r>
            <w:r w:rsidR="0000548C" w:rsidRPr="000D7A83">
              <w:rPr>
                <w:sz w:val="20"/>
              </w:rPr>
              <w:t xml:space="preserve"> développement culturel.</w:t>
            </w:r>
          </w:p>
          <w:p w:rsidR="00B9179F" w:rsidRPr="00667820" w:rsidRDefault="00B9179F">
            <w:pPr>
              <w:pStyle w:val="TableContents"/>
              <w:tabs>
                <w:tab w:val="left" w:pos="485"/>
              </w:tabs>
              <w:suppressAutoHyphens w:val="0"/>
              <w:rPr>
                <w:sz w:val="20"/>
              </w:rPr>
            </w:pPr>
          </w:p>
          <w:p w:rsidR="00B9179F" w:rsidRDefault="00B9179F">
            <w:pPr>
              <w:pStyle w:val="TableContents"/>
              <w:tabs>
                <w:tab w:val="left" w:pos="485"/>
              </w:tabs>
              <w:suppressAutoHyphens w:val="0"/>
              <w:rPr>
                <w:sz w:val="20"/>
              </w:rPr>
            </w:pPr>
          </w:p>
          <w:p w:rsidR="00B9179F" w:rsidRDefault="00B9179F">
            <w:pPr>
              <w:pStyle w:val="TableContents"/>
              <w:tabs>
                <w:tab w:val="left" w:pos="485"/>
              </w:tabs>
              <w:suppressAutoHyphens w:val="0"/>
              <w:rPr>
                <w:sz w:val="20"/>
              </w:rPr>
            </w:pPr>
          </w:p>
        </w:tc>
      </w:tr>
    </w:tbl>
    <w:p w:rsidR="00B9179F" w:rsidRDefault="00B9179F">
      <w:pPr>
        <w:pStyle w:val="TableContents"/>
      </w:pPr>
    </w:p>
    <w:p w:rsidR="00B9179F" w:rsidRDefault="00B9179F">
      <w:pPr>
        <w:pageBreakBefore/>
        <w:rPr>
          <w:rFonts w:ascii="Times New Roman" w:hAnsi="Times New Roman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0"/>
      </w:tblGrid>
      <w:tr w:rsidR="00B91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179F" w:rsidRDefault="00B9179F">
            <w:pPr>
              <w:pStyle w:val="TableContents"/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Perspectives d'évolution :</w:t>
            </w:r>
          </w:p>
          <w:p w:rsidR="00B9179F" w:rsidRDefault="00B9179F">
            <w:pPr>
              <w:pStyle w:val="TableContents"/>
              <w:snapToGrid w:val="0"/>
              <w:rPr>
                <w:sz w:val="20"/>
              </w:rPr>
            </w:pPr>
          </w:p>
        </w:tc>
      </w:tr>
    </w:tbl>
    <w:p w:rsidR="00B9179F" w:rsidRDefault="00B9179F">
      <w:pPr>
        <w:pStyle w:val="TableContents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0"/>
      </w:tblGrid>
      <w:tr w:rsidR="00B91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179F" w:rsidRDefault="00B9179F">
            <w:pPr>
              <w:pStyle w:val="TableContents"/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Spécificités du poste / Contraintes / Sujétions : </w:t>
            </w:r>
          </w:p>
          <w:p w:rsidR="00B9179F" w:rsidRDefault="00B9179F">
            <w:pPr>
              <w:pStyle w:val="TableContents"/>
              <w:snapToGrid w:val="0"/>
              <w:rPr>
                <w:b/>
                <w:sz w:val="20"/>
              </w:rPr>
            </w:pPr>
          </w:p>
        </w:tc>
      </w:tr>
    </w:tbl>
    <w:p w:rsidR="00B9179F" w:rsidRDefault="00B9179F">
      <w:pPr>
        <w:pStyle w:val="TableContents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0"/>
      </w:tblGrid>
      <w:tr w:rsidR="00B91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179F" w:rsidRDefault="00B9179F">
            <w:pPr>
              <w:pStyle w:val="TableContents"/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Profil du candidat recherché (le cas échéant)</w:t>
            </w:r>
          </w:p>
          <w:p w:rsidR="00B9179F" w:rsidRDefault="00B9179F">
            <w:pPr>
              <w:pStyle w:val="TableContents"/>
              <w:snapToGrid w:val="0"/>
              <w:rPr>
                <w:sz w:val="20"/>
              </w:rPr>
            </w:pPr>
          </w:p>
          <w:p w:rsidR="00B9179F" w:rsidRDefault="00B9179F">
            <w:pPr>
              <w:pStyle w:val="TableContents"/>
              <w:snapToGrid w:val="0"/>
              <w:rPr>
                <w:sz w:val="20"/>
              </w:rPr>
            </w:pPr>
          </w:p>
        </w:tc>
      </w:tr>
    </w:tbl>
    <w:p w:rsidR="00B9179F" w:rsidRDefault="00B9179F"/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0"/>
      </w:tblGrid>
      <w:tr w:rsidR="00B91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179F" w:rsidRDefault="00B9179F">
            <w:pPr>
              <w:pStyle w:val="TableContents"/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Qui contacter ?</w:t>
            </w:r>
          </w:p>
          <w:p w:rsidR="00B9179F" w:rsidRDefault="00B9179F">
            <w:pPr>
              <w:pStyle w:val="TableContents"/>
              <w:snapToGrid w:val="0"/>
            </w:pPr>
            <w:r>
              <w:rPr>
                <w:sz w:val="20"/>
              </w:rPr>
              <w:br/>
            </w:r>
          </w:p>
        </w:tc>
      </w:tr>
    </w:tbl>
    <w:p w:rsidR="00B9179F" w:rsidRDefault="00B9179F">
      <w:pPr>
        <w:pStyle w:val="TableContents"/>
        <w:snapToGrid w:val="0"/>
      </w:pPr>
      <w:r>
        <w:rPr>
          <w:sz w:val="20"/>
        </w:rPr>
        <w:t xml:space="preserve">Date de mise à jour de la fiche de poste : </w:t>
      </w:r>
    </w:p>
    <w:sectPr w:rsidR="00B9179F">
      <w:footnotePr>
        <w:pos w:val="beneathText"/>
      </w:footnotePr>
      <w:pgSz w:w="11906" w:h="16838"/>
      <w:pgMar w:top="397" w:right="737" w:bottom="39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Arial"/>
    <w:charset w:val="00"/>
    <w:family w:val="swiss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i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5365A93"/>
    <w:multiLevelType w:val="singleLevel"/>
    <w:tmpl w:val="223249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8E328D8"/>
    <w:multiLevelType w:val="multilevel"/>
    <w:tmpl w:val="4282DC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E8A7BE0"/>
    <w:multiLevelType w:val="multilevel"/>
    <w:tmpl w:val="13889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D1"/>
    <w:rsid w:val="00002EC2"/>
    <w:rsid w:val="0000548C"/>
    <w:rsid w:val="000D7A83"/>
    <w:rsid w:val="00230831"/>
    <w:rsid w:val="002A10A5"/>
    <w:rsid w:val="00434C46"/>
    <w:rsid w:val="005254BB"/>
    <w:rsid w:val="00667820"/>
    <w:rsid w:val="007103B5"/>
    <w:rsid w:val="0073475F"/>
    <w:rsid w:val="008D73D0"/>
    <w:rsid w:val="008F7AAC"/>
    <w:rsid w:val="00A40482"/>
    <w:rsid w:val="00A459F6"/>
    <w:rsid w:val="00AA03C2"/>
    <w:rsid w:val="00B9179F"/>
    <w:rsid w:val="00BB06D1"/>
    <w:rsid w:val="00BC09CB"/>
    <w:rsid w:val="00C86E6B"/>
    <w:rsid w:val="00CD002E"/>
    <w:rsid w:val="00D171DA"/>
    <w:rsid w:val="00DF2833"/>
    <w:rsid w:val="00E30570"/>
    <w:rsid w:val="00E63E6D"/>
    <w:rsid w:val="00F5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CA45F-620B-4433-BDDA-71F96B8F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/>
      <w:lang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WW8Num1z0">
    <w:name w:val="WW8Num1z0"/>
    <w:rPr>
      <w:b/>
      <w:i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Policepardfaut0">
    <w:name w:val="Default Paragraph Font"/>
  </w:style>
  <w:style w:type="character" w:customStyle="1" w:styleId="WW-Policepardfaut">
    <w:name w:val="WW-Police par défaut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Arial" w:eastAsia="Lucida Sans Unicode" w:hAnsi="Arial" w:cs="Arial"/>
    </w:rPr>
  </w:style>
  <w:style w:type="character" w:customStyle="1" w:styleId="WW-Absatz-Standardschriftart11111">
    <w:name w:val="WW-Absatz-Standardschriftart11111"/>
  </w:style>
  <w:style w:type="character" w:customStyle="1" w:styleId="WW-Policepardfaut1">
    <w:name w:val="WW-Police par défaut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Policepardfaut1">
    <w:name w:val="Police par défaut1"/>
  </w:style>
  <w:style w:type="character" w:customStyle="1" w:styleId="WW8Num3z1">
    <w:name w:val="WW8Num3z1"/>
    <w:rPr>
      <w:rFonts w:ascii="Courier New" w:hAnsi="Courier New" w:cs="Liberation Sans"/>
    </w:rPr>
  </w:style>
  <w:style w:type="character" w:customStyle="1" w:styleId="WW8Num3z2">
    <w:name w:val="WW8Num3z2"/>
    <w:rPr>
      <w:rFonts w:ascii="Wingdings" w:hAnsi="Wingdings" w:cs="Liberation Sans"/>
    </w:rPr>
  </w:style>
  <w:style w:type="character" w:customStyle="1" w:styleId="WW8Num3z3">
    <w:name w:val="WW8Num3z3"/>
    <w:rPr>
      <w:rFonts w:ascii="Symbol" w:hAnsi="Symbol" w:cs="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Lucida Sans Unicode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Tahoma"/>
    </w:rPr>
  </w:style>
  <w:style w:type="paragraph" w:customStyle="1" w:styleId="Rpertoire">
    <w:name w:val="Répertoire"/>
    <w:basedOn w:val="Normal"/>
    <w:pPr>
      <w:suppressLineNumbers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eastAsia="Lucida Sans Unicode" w:cs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">
    <w:name w:val="header"/>
    <w:basedOn w:val="Normal"/>
    <w:pPr>
      <w:widowControl w:val="0"/>
      <w:tabs>
        <w:tab w:val="center" w:pos="4818"/>
        <w:tab w:val="right" w:pos="9637"/>
      </w:tabs>
    </w:pPr>
    <w:rPr>
      <w:rFonts w:ascii="Times New Roman" w:eastAsia="Lucida Sans Unicode" w:hAnsi="Times New Roman"/>
      <w:sz w:val="24"/>
    </w:rPr>
  </w:style>
  <w:style w:type="paragraph" w:customStyle="1" w:styleId="TableContents">
    <w:name w:val="Table Contents"/>
    <w:basedOn w:val="Normal"/>
    <w:pPr>
      <w:widowControl w:val="0"/>
    </w:pPr>
    <w:rPr>
      <w:rFonts w:ascii="Times New Roman" w:eastAsia="Lucida Sans Unicode" w:hAnsi="Times New Roman"/>
      <w:sz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59">
    <w:name w:val="Pa5+9"/>
    <w:basedOn w:val="Normal"/>
    <w:next w:val="Normal"/>
    <w:uiPriority w:val="99"/>
    <w:rsid w:val="008D73D0"/>
    <w:pPr>
      <w:suppressAutoHyphens w:val="0"/>
      <w:autoSpaceDE w:val="0"/>
      <w:autoSpaceDN w:val="0"/>
      <w:adjustRightInd w:val="0"/>
      <w:spacing w:line="181" w:lineRule="atLeast"/>
    </w:pPr>
    <w:rPr>
      <w:rFonts w:ascii="Helvetica 55 Roman" w:hAnsi="Helvetica 55 Roman"/>
      <w:sz w:val="24"/>
      <w:szCs w:val="24"/>
      <w:lang w:eastAsia="fr-FR"/>
    </w:rPr>
  </w:style>
  <w:style w:type="paragraph" w:customStyle="1" w:styleId="Standard">
    <w:name w:val="Standard"/>
    <w:rsid w:val="00002EC2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Christian NEGRE</dc:creator>
  <cp:keywords/>
  <cp:lastModifiedBy>roche</cp:lastModifiedBy>
  <cp:revision>2</cp:revision>
  <cp:lastPrinted>2015-10-11T21:24:00Z</cp:lastPrinted>
  <dcterms:created xsi:type="dcterms:W3CDTF">2015-11-05T07:04:00Z</dcterms:created>
  <dcterms:modified xsi:type="dcterms:W3CDTF">2015-11-05T07:04:00Z</dcterms:modified>
</cp:coreProperties>
</file>