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175C8" w:rsidRDefault="007175C8">
      <w:pPr>
        <w:jc w:val="both"/>
        <w:rPr>
          <w:b/>
          <w:sz w:val="32"/>
          <w:szCs w:val="32"/>
        </w:rPr>
      </w:pPr>
      <w:bookmarkStart w:id="0" w:name="_GoBack"/>
      <w:r w:rsidRPr="007175C8">
        <w:rPr>
          <w:b/>
          <w:sz w:val="32"/>
          <w:szCs w:val="32"/>
        </w:rPr>
        <w:t>C</w:t>
      </w:r>
      <w:r w:rsidR="00F36571" w:rsidRPr="007175C8">
        <w:rPr>
          <w:b/>
          <w:sz w:val="32"/>
          <w:szCs w:val="32"/>
        </w:rPr>
        <w:t>hargé du développement culturel et des publics</w:t>
      </w:r>
    </w:p>
    <w:bookmarkEnd w:id="0"/>
    <w:p w:rsidR="007175C8" w:rsidRDefault="007175C8">
      <w:pPr>
        <w:pStyle w:val="Corpsdetexte"/>
      </w:pPr>
      <w:r>
        <w:t xml:space="preserve">Position </w:t>
      </w:r>
    </w:p>
    <w:p w:rsidR="00000000" w:rsidRDefault="00F36571">
      <w:pPr>
        <w:pStyle w:val="Corpsdetexte"/>
      </w:pPr>
      <w:r>
        <w:t>Service : service du développement culturel, et des publics.</w:t>
      </w:r>
    </w:p>
    <w:p w:rsidR="00000000" w:rsidRDefault="00F36571">
      <w:pPr>
        <w:jc w:val="both"/>
      </w:pPr>
    </w:p>
    <w:p w:rsidR="00000000" w:rsidRDefault="00F36571">
      <w:pPr>
        <w:jc w:val="both"/>
      </w:pPr>
    </w:p>
    <w:p w:rsidR="00000000" w:rsidRDefault="00F36571">
      <w:pPr>
        <w:jc w:val="both"/>
      </w:pPr>
      <w:r>
        <w:t>Hiérarchie :</w:t>
      </w:r>
    </w:p>
    <w:p w:rsidR="00000000" w:rsidRDefault="00F36571">
      <w:pPr>
        <w:jc w:val="both"/>
      </w:pPr>
      <w:r>
        <w:t>N+1 : responsable du service du développement culturel, des publics</w:t>
      </w:r>
    </w:p>
    <w:p w:rsidR="00000000" w:rsidRDefault="00F36571">
      <w:pPr>
        <w:jc w:val="both"/>
      </w:pPr>
      <w:r>
        <w:t>N+2 : responsa</w:t>
      </w:r>
      <w:r>
        <w:t>ble de la mission du développement culturel, communication et numérique </w:t>
      </w:r>
    </w:p>
    <w:p w:rsidR="00000000" w:rsidRDefault="00F36571">
      <w:pPr>
        <w:jc w:val="both"/>
      </w:pPr>
    </w:p>
    <w:p w:rsidR="00000000" w:rsidRDefault="00F36571">
      <w:pPr>
        <w:pStyle w:val="Titre2"/>
        <w:jc w:val="both"/>
      </w:pPr>
      <w:r>
        <w:t>DIMENSION DU POSTE</w:t>
      </w:r>
    </w:p>
    <w:p w:rsidR="00000000" w:rsidRDefault="00F36571">
      <w:pPr>
        <w:jc w:val="both"/>
        <w:rPr>
          <w:snapToGrid w:val="0"/>
        </w:rPr>
      </w:pPr>
    </w:p>
    <w:p w:rsidR="00000000" w:rsidRDefault="00F36571">
      <w:pPr>
        <w:jc w:val="both"/>
        <w:rPr>
          <w:snapToGrid w:val="0"/>
        </w:rPr>
      </w:pPr>
      <w:r>
        <w:rPr>
          <w:snapToGrid w:val="0"/>
        </w:rPr>
        <w:t>Le chargé de développement culturel et des publics accompagne le responsable du service du développement culturel et des publics dans la mise en œuvre des actions</w:t>
      </w:r>
      <w:r>
        <w:rPr>
          <w:snapToGrid w:val="0"/>
        </w:rPr>
        <w:t xml:space="preserve"> en direction des différents types de public.</w:t>
      </w:r>
    </w:p>
    <w:p w:rsidR="00000000" w:rsidRDefault="00F36571">
      <w:pPr>
        <w:jc w:val="both"/>
        <w:rPr>
          <w:b/>
        </w:rPr>
      </w:pPr>
    </w:p>
    <w:p w:rsidR="00000000" w:rsidRDefault="00F36571">
      <w:pPr>
        <w:jc w:val="both"/>
      </w:pPr>
      <w:r>
        <w:rPr>
          <w:b/>
        </w:rPr>
        <w:t>Partenaires et prestataires</w:t>
      </w:r>
      <w:r>
        <w:t> : service de médiation culturelle RMN-GP, service commercial RMN-GP (politique tarifaire), institutionnels, éducation nationale et professionnels du tourisme</w:t>
      </w:r>
    </w:p>
    <w:p w:rsidR="00000000" w:rsidRDefault="00F36571">
      <w:pPr>
        <w:jc w:val="both"/>
      </w:pPr>
    </w:p>
    <w:p w:rsidR="00000000" w:rsidRDefault="00F3657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MISSIONS PRINCIPALES</w:t>
      </w:r>
    </w:p>
    <w:p w:rsidR="00000000" w:rsidRDefault="00F36571">
      <w:pPr>
        <w:jc w:val="both"/>
      </w:pPr>
    </w:p>
    <w:p w:rsidR="00000000" w:rsidRDefault="00F36571">
      <w:pPr>
        <w:jc w:val="both"/>
      </w:pPr>
      <w:r>
        <w:t>- Mettre en œuvre les actions du service visant à développer les nouvelles activités conçues par le service</w:t>
      </w:r>
    </w:p>
    <w:p w:rsidR="00000000" w:rsidRDefault="00F36571">
      <w:pPr>
        <w:jc w:val="both"/>
        <w:rPr>
          <w:strike/>
        </w:rPr>
      </w:pPr>
      <w:r>
        <w:t xml:space="preserve">- Assurer la gestion des visites conférences et des visites libres 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Participer à la gestion opérationnelle des conférenciers de la RMN-GP 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Parti</w:t>
      </w:r>
      <w:r>
        <w:rPr>
          <w:rFonts w:ascii="Times New Roman" w:hAnsi="Times New Roman"/>
          <w:color w:val="auto"/>
        </w:rPr>
        <w:t>ciper à toute action permettant de promouvoir l’image du Musée et de développer de nouveaux contacts …</w:t>
      </w:r>
    </w:p>
    <w:p w:rsidR="00000000" w:rsidRDefault="00F36571">
      <w:pPr>
        <w:jc w:val="both"/>
      </w:pPr>
    </w:p>
    <w:p w:rsidR="00000000" w:rsidRDefault="00F3657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ACTIVITES</w:t>
      </w:r>
    </w:p>
    <w:p w:rsidR="00000000" w:rsidRDefault="00F36571">
      <w:pPr>
        <w:jc w:val="both"/>
      </w:pPr>
    </w:p>
    <w:p w:rsidR="00000000" w:rsidRDefault="00F36571">
      <w:pPr>
        <w:jc w:val="both"/>
        <w:rPr>
          <w:u w:val="single"/>
        </w:rPr>
      </w:pPr>
      <w:r>
        <w:rPr>
          <w:b/>
          <w:u w:val="single"/>
        </w:rPr>
        <w:t xml:space="preserve">Techniques </w:t>
      </w:r>
      <w:r>
        <w:rPr>
          <w:u w:val="single"/>
        </w:rPr>
        <w:t>:</w:t>
      </w:r>
    </w:p>
    <w:p w:rsidR="00000000" w:rsidRDefault="00F36571">
      <w:pPr>
        <w:numPr>
          <w:ilvl w:val="0"/>
          <w:numId w:val="8"/>
        </w:numPr>
        <w:jc w:val="both"/>
      </w:pPr>
      <w:r>
        <w:t>répondre à toutes demandes de renseignements par écrit et par téléphone du public et proposer une réponse adaptée parmi les pres</w:t>
      </w:r>
      <w:r>
        <w:t>tations de l’offre culturelle du musée</w:t>
      </w:r>
    </w:p>
    <w:p w:rsidR="00000000" w:rsidRDefault="00F36571">
      <w:pPr>
        <w:numPr>
          <w:ilvl w:val="0"/>
          <w:numId w:val="8"/>
        </w:numPr>
        <w:jc w:val="both"/>
      </w:pPr>
      <w:r>
        <w:t>Assurer la transmission des demandes diverses via le formulaire de contact du site internet ou autres aux différents services concernés du musée</w:t>
      </w:r>
    </w:p>
    <w:p w:rsidR="00000000" w:rsidRDefault="00F36571">
      <w:pPr>
        <w:numPr>
          <w:ilvl w:val="0"/>
          <w:numId w:val="8"/>
        </w:numPr>
        <w:jc w:val="both"/>
      </w:pPr>
      <w:r>
        <w:t>assurer l’accueil des visiteurs au sein du bureau</w:t>
      </w:r>
    </w:p>
    <w:p w:rsidR="00000000" w:rsidRDefault="00F36571">
      <w:pPr>
        <w:numPr>
          <w:ilvl w:val="0"/>
          <w:numId w:val="8"/>
        </w:numPr>
        <w:jc w:val="both"/>
      </w:pPr>
      <w:r>
        <w:t>assurer la prise de ré</w:t>
      </w:r>
      <w:r>
        <w:t>servations des visites conférences et visites libres pour tous les publics</w:t>
      </w:r>
    </w:p>
    <w:p w:rsidR="00000000" w:rsidRDefault="00F36571">
      <w:pPr>
        <w:numPr>
          <w:ilvl w:val="0"/>
          <w:numId w:val="8"/>
        </w:numPr>
        <w:jc w:val="both"/>
      </w:pPr>
      <w:r>
        <w:t>enregistrer les réservations sur l'outil sysrem</w:t>
      </w:r>
    </w:p>
    <w:p w:rsidR="00000000" w:rsidRDefault="00F36571">
      <w:pPr>
        <w:numPr>
          <w:ilvl w:val="0"/>
          <w:numId w:val="8"/>
        </w:numPr>
        <w:jc w:val="both"/>
      </w:pPr>
      <w:r>
        <w:t>éditer et envoyer les courriers de confirmation, de modification et/ou d’annulation de réservations</w:t>
      </w:r>
    </w:p>
    <w:p w:rsidR="00000000" w:rsidRDefault="00F36571">
      <w:pPr>
        <w:numPr>
          <w:ilvl w:val="0"/>
          <w:numId w:val="8"/>
        </w:numPr>
        <w:jc w:val="both"/>
      </w:pPr>
      <w:r>
        <w:t>enregistrement des visites confér</w:t>
      </w:r>
      <w:r>
        <w:t xml:space="preserve">ences destinées au public individuel </w:t>
      </w:r>
    </w:p>
    <w:p w:rsidR="00000000" w:rsidRDefault="00F36571">
      <w:pPr>
        <w:numPr>
          <w:ilvl w:val="0"/>
          <w:numId w:val="8"/>
        </w:numPr>
        <w:jc w:val="both"/>
      </w:pPr>
      <w:r>
        <w:t>actualiser, en fonction des besoins, les tarifs des visites selon les tarifs votés au CA de la RMN sur l'outil SYSREM</w:t>
      </w:r>
    </w:p>
    <w:p w:rsidR="00000000" w:rsidRDefault="00F36571">
      <w:pPr>
        <w:numPr>
          <w:ilvl w:val="0"/>
          <w:numId w:val="7"/>
        </w:numPr>
        <w:jc w:val="both"/>
      </w:pPr>
      <w:r>
        <w:t>transmettre les plannings hebdomadaires de réservations des visites conférences et libres aux servic</w:t>
      </w:r>
      <w:r>
        <w:t>es complémentaires accueil et surveillance et librairie boutique RMN-GP</w:t>
      </w:r>
    </w:p>
    <w:p w:rsidR="00000000" w:rsidRDefault="00F36571">
      <w:pPr>
        <w:numPr>
          <w:ilvl w:val="0"/>
          <w:numId w:val="7"/>
        </w:numPr>
        <w:jc w:val="both"/>
      </w:pPr>
      <w:r>
        <w:t>intervenir dans la gestion des problèmes de réservations rencontrés entre les groupes et les personnels d’accueil et de surveillance et/ou de la librairie boutique RMN-GP</w:t>
      </w:r>
    </w:p>
    <w:p w:rsidR="00000000" w:rsidRDefault="00F36571">
      <w:pPr>
        <w:numPr>
          <w:ilvl w:val="0"/>
          <w:numId w:val="7"/>
        </w:numPr>
        <w:jc w:val="both"/>
      </w:pPr>
      <w:r>
        <w:lastRenderedPageBreak/>
        <w:t>tenue d’un po</w:t>
      </w:r>
      <w:r>
        <w:t>int d’information du public lors des évènements particuliers du musée (ex : JNA, JEP, RDV jardins…)</w:t>
      </w:r>
    </w:p>
    <w:p w:rsidR="00000000" w:rsidRDefault="00F36571">
      <w:pPr>
        <w:numPr>
          <w:ilvl w:val="0"/>
          <w:numId w:val="7"/>
        </w:numPr>
        <w:jc w:val="both"/>
      </w:pPr>
      <w:r>
        <w:t>assurer la logistique des évènements ponctuels du musée</w:t>
      </w:r>
    </w:p>
    <w:p w:rsidR="00000000" w:rsidRDefault="00F36571">
      <w:pPr>
        <w:numPr>
          <w:ilvl w:val="0"/>
          <w:numId w:val="7"/>
        </w:numPr>
        <w:jc w:val="both"/>
      </w:pPr>
      <w:r>
        <w:t xml:space="preserve">assurer la gestion du site internet </w:t>
      </w:r>
    </w:p>
    <w:p w:rsidR="00000000" w:rsidRDefault="00F36571">
      <w:pPr>
        <w:numPr>
          <w:ilvl w:val="0"/>
          <w:numId w:val="7"/>
        </w:numPr>
        <w:jc w:val="both"/>
      </w:pPr>
      <w:r>
        <w:t xml:space="preserve">aérer et saisir des statistiques de fréquentations du musée et </w:t>
      </w:r>
      <w:r>
        <w:t>extraire les données statistiques de l’outil Sysrem</w:t>
      </w:r>
    </w:p>
    <w:p w:rsidR="00000000" w:rsidRDefault="00F36571">
      <w:pPr>
        <w:numPr>
          <w:ilvl w:val="0"/>
          <w:numId w:val="7"/>
        </w:numPr>
        <w:jc w:val="both"/>
      </w:pPr>
      <w:r>
        <w:t>assurer le fonctionnement du matériel technique de la salle de conférence</w:t>
      </w:r>
    </w:p>
    <w:p w:rsidR="00000000" w:rsidRDefault="00F36571">
      <w:pPr>
        <w:numPr>
          <w:ilvl w:val="0"/>
          <w:numId w:val="7"/>
        </w:numPr>
        <w:jc w:val="both"/>
      </w:pPr>
      <w:r>
        <w:t>coordonner l’envoi papier des programmes d’activités et des documents de promotion de notre offre culturelle</w:t>
      </w:r>
    </w:p>
    <w:p w:rsidR="00000000" w:rsidRDefault="00F36571">
      <w:pPr>
        <w:numPr>
          <w:ilvl w:val="0"/>
          <w:numId w:val="7"/>
        </w:numPr>
        <w:jc w:val="both"/>
      </w:pPr>
      <w:r>
        <w:t>gérer les mailings</w:t>
      </w:r>
    </w:p>
    <w:p w:rsidR="00000000" w:rsidRDefault="00F36571">
      <w:pPr>
        <w:numPr>
          <w:ilvl w:val="0"/>
          <w:numId w:val="7"/>
        </w:numPr>
        <w:jc w:val="both"/>
      </w:pPr>
      <w:r>
        <w:t>gé</w:t>
      </w:r>
      <w:r>
        <w:t>rer le réassort de l’atelier</w:t>
      </w:r>
    </w:p>
    <w:p w:rsidR="00000000" w:rsidRDefault="00F36571">
      <w:pPr>
        <w:numPr>
          <w:ilvl w:val="0"/>
          <w:numId w:val="7"/>
        </w:numPr>
        <w:jc w:val="both"/>
      </w:pPr>
      <w:r>
        <w:t>suivi des stocks de matériels et commandes</w:t>
      </w:r>
    </w:p>
    <w:p w:rsidR="00000000" w:rsidRDefault="00F36571">
      <w:pPr>
        <w:numPr>
          <w:ilvl w:val="0"/>
          <w:numId w:val="7"/>
        </w:numPr>
        <w:jc w:val="both"/>
      </w:pPr>
      <w:r>
        <w:t>assurer le suivi du public en situation de handicap</w:t>
      </w:r>
    </w:p>
    <w:p w:rsidR="00000000" w:rsidRDefault="00F36571">
      <w:pPr>
        <w:ind w:left="360"/>
        <w:jc w:val="both"/>
      </w:pPr>
    </w:p>
    <w:p w:rsidR="00000000" w:rsidRDefault="00F36571">
      <w:pPr>
        <w:jc w:val="both"/>
        <w:rPr>
          <w:b/>
          <w:u w:val="single"/>
        </w:rPr>
      </w:pPr>
      <w:r>
        <w:rPr>
          <w:b/>
          <w:u w:val="single"/>
        </w:rPr>
        <w:t>Gestion administrative des conférenciers :</w:t>
      </w:r>
    </w:p>
    <w:p w:rsidR="00000000" w:rsidRDefault="00F36571">
      <w:pPr>
        <w:pStyle w:val="Corpsdetexte"/>
      </w:pPr>
      <w:r>
        <w:t>- organiser l’emploi du temps des conférenciers en respectant leurs rythmes de travail e</w:t>
      </w:r>
      <w:r>
        <w:t>t leurs spécialités (thèmes, publics, langues, horaires)</w:t>
      </w:r>
    </w:p>
    <w:p w:rsidR="00000000" w:rsidRDefault="00F36571">
      <w:pPr>
        <w:pStyle w:val="Corpsdetexte"/>
      </w:pPr>
      <w:r>
        <w:t>- suivre la gestion des congés et des jours d’absences des conférenciers et procéder aux remplacements éventuels</w:t>
      </w:r>
    </w:p>
    <w:p w:rsidR="00000000" w:rsidRDefault="00F36571">
      <w:pPr>
        <w:jc w:val="both"/>
      </w:pPr>
      <w:r>
        <w:t>- collaborer étroitement avec le SMC (service de la médiation culturelle de la RMN-GP)</w:t>
      </w:r>
      <w:r>
        <w:t xml:space="preserve"> pour le suivi des conférenciers multi sites (allocations, échanges et remplacements)</w:t>
      </w:r>
    </w:p>
    <w:p w:rsidR="00000000" w:rsidRDefault="00F36571">
      <w:pPr>
        <w:jc w:val="both"/>
      </w:pPr>
      <w:r>
        <w:t>- mise à jour, éditer et distribuer les plannings : pour les conférenciers 3 semaines à l’avance, pour la librairie - boutique et l’accueil et la surveillance 1 semaine à</w:t>
      </w:r>
      <w:r>
        <w:t xml:space="preserve"> l’avance.</w:t>
      </w:r>
    </w:p>
    <w:p w:rsidR="00000000" w:rsidRDefault="00F36571">
      <w:pPr>
        <w:jc w:val="both"/>
      </w:pPr>
    </w:p>
    <w:p w:rsidR="00000000" w:rsidRDefault="00F36571">
      <w:pPr>
        <w:pStyle w:val="Titre3"/>
        <w:jc w:val="both"/>
      </w:pPr>
      <w:r>
        <w:t>RELATIONS INTERNES ET EXTERNES</w:t>
      </w:r>
    </w:p>
    <w:p w:rsidR="00000000" w:rsidRDefault="00F36571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C0C0C0"/>
          </w:tcPr>
          <w:p w:rsidR="00000000" w:rsidRDefault="00F36571">
            <w:pPr>
              <w:jc w:val="both"/>
              <w:rPr>
                <w:b/>
              </w:rPr>
            </w:pPr>
            <w:r>
              <w:rPr>
                <w:b/>
              </w:rPr>
              <w:t>Interne MAN</w:t>
            </w:r>
          </w:p>
        </w:tc>
        <w:tc>
          <w:tcPr>
            <w:tcW w:w="4606" w:type="dxa"/>
            <w:shd w:val="clear" w:color="auto" w:fill="C0C0C0"/>
          </w:tcPr>
          <w:p w:rsidR="00000000" w:rsidRDefault="00F36571">
            <w:pPr>
              <w:jc w:val="both"/>
              <w:rPr>
                <w:b/>
              </w:rPr>
            </w:pPr>
            <w:r>
              <w:rPr>
                <w:b/>
              </w:rPr>
              <w:t>Finalité de la relation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F36571">
            <w:pPr>
              <w:jc w:val="both"/>
            </w:pPr>
            <w:r>
              <w:t>Service accueil et surveillance</w:t>
            </w:r>
          </w:p>
        </w:tc>
        <w:tc>
          <w:tcPr>
            <w:tcW w:w="4606" w:type="dxa"/>
          </w:tcPr>
          <w:p w:rsidR="00000000" w:rsidRDefault="00F36571">
            <w:pPr>
              <w:jc w:val="both"/>
            </w:pPr>
            <w:r>
              <w:t>Echange d’informations, transmission de consignes, de plannings concernant les visites et les espaces occupés du musée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F36571">
            <w:pPr>
              <w:jc w:val="both"/>
            </w:pPr>
            <w:r>
              <w:t>Service billetterie RMN</w:t>
            </w:r>
            <w:r>
              <w:t xml:space="preserve"> GP </w:t>
            </w:r>
          </w:p>
        </w:tc>
        <w:tc>
          <w:tcPr>
            <w:tcW w:w="4606" w:type="dxa"/>
          </w:tcPr>
          <w:p w:rsidR="00000000" w:rsidRDefault="00F36571">
            <w:pPr>
              <w:jc w:val="both"/>
            </w:pPr>
            <w:r>
              <w:t>Echange d’informations, transmission de consignes, des plannings, des factures concernant les visites et les espaces occupés du musée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F36571">
            <w:pPr>
              <w:jc w:val="both"/>
            </w:pPr>
            <w:r>
              <w:t xml:space="preserve">Service communication </w:t>
            </w:r>
          </w:p>
          <w:p w:rsidR="00000000" w:rsidRDefault="00F36571">
            <w:pPr>
              <w:jc w:val="both"/>
            </w:pPr>
          </w:p>
          <w:p w:rsidR="00000000" w:rsidRDefault="00F36571">
            <w:pPr>
              <w:jc w:val="both"/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t>développement numérique</w:t>
            </w:r>
          </w:p>
        </w:tc>
        <w:tc>
          <w:tcPr>
            <w:tcW w:w="4606" w:type="dxa"/>
          </w:tcPr>
          <w:p w:rsidR="00000000" w:rsidRDefault="00F36571">
            <w:pPr>
              <w:jc w:val="both"/>
            </w:pPr>
            <w:r>
              <w:t>Echange d’informations, promotion du musée, programmation des acti</w:t>
            </w:r>
            <w:r>
              <w:t>vités, conception graphiques de certains documents, mise à jour site Internet suivi des partenariats et locations d’espaces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F36571">
            <w:pPr>
              <w:jc w:val="both"/>
            </w:pPr>
            <w:r>
              <w:t>Pôle scientifique</w:t>
            </w:r>
          </w:p>
        </w:tc>
        <w:tc>
          <w:tcPr>
            <w:tcW w:w="4606" w:type="dxa"/>
          </w:tcPr>
          <w:p w:rsidR="00000000" w:rsidRDefault="00F36571">
            <w:pPr>
              <w:jc w:val="both"/>
            </w:pPr>
            <w:r>
              <w:t>Validation scientifique pour le contenu des outils de médiation, traduction des attentes du public, mise à jour d</w:t>
            </w:r>
            <w:r>
              <w:t>e l’offre culturelle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C0C0C0"/>
          </w:tcPr>
          <w:p w:rsidR="00000000" w:rsidRDefault="00F36571">
            <w:pPr>
              <w:jc w:val="both"/>
              <w:rPr>
                <w:b/>
              </w:rPr>
            </w:pPr>
            <w:r>
              <w:rPr>
                <w:b/>
              </w:rPr>
              <w:t>Externes MAN</w:t>
            </w:r>
          </w:p>
        </w:tc>
        <w:tc>
          <w:tcPr>
            <w:tcW w:w="4606" w:type="dxa"/>
          </w:tcPr>
          <w:p w:rsidR="00000000" w:rsidRDefault="00F3657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06" w:type="dxa"/>
            <w:tcBorders>
              <w:bottom w:val="single" w:sz="4" w:space="0" w:color="auto"/>
            </w:tcBorders>
          </w:tcPr>
          <w:p w:rsidR="00000000" w:rsidRDefault="00F36571">
            <w:pPr>
              <w:jc w:val="both"/>
            </w:pPr>
            <w:r>
              <w:t>Rmn-Gp, intervenants extérieurs</w:t>
            </w:r>
          </w:p>
        </w:tc>
        <w:tc>
          <w:tcPr>
            <w:tcW w:w="4606" w:type="dxa"/>
            <w:vMerge w:val="restart"/>
          </w:tcPr>
          <w:p w:rsidR="00000000" w:rsidRDefault="00F36571">
            <w:pPr>
              <w:jc w:val="both"/>
            </w:pPr>
          </w:p>
          <w:p w:rsidR="00000000" w:rsidRDefault="00F36571">
            <w:pPr>
              <w:jc w:val="both"/>
            </w:pPr>
            <w:r>
              <w:t>Gestion administrative des conférenciers</w:t>
            </w:r>
          </w:p>
          <w:p w:rsidR="00000000" w:rsidRDefault="00F36571">
            <w:pPr>
              <w:jc w:val="both"/>
            </w:pPr>
            <w:r>
              <w:t>Effectuer les réservations et entretenir les relations professionnelles</w:t>
            </w:r>
          </w:p>
          <w:p w:rsidR="00000000" w:rsidRDefault="00F3657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000000" w:rsidRDefault="00F36571">
            <w:pPr>
              <w:jc w:val="both"/>
            </w:pPr>
            <w:r>
              <w:t>Education nationale, rectorat, écoles, inspection académique</w:t>
            </w:r>
          </w:p>
        </w:tc>
        <w:tc>
          <w:tcPr>
            <w:tcW w:w="4606" w:type="dxa"/>
            <w:vMerge/>
          </w:tcPr>
          <w:p w:rsidR="00000000" w:rsidRDefault="00F3657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000000" w:rsidRDefault="00F36571">
            <w:pPr>
              <w:jc w:val="both"/>
            </w:pPr>
            <w:r>
              <w:t>Mairies,</w:t>
            </w:r>
            <w:r>
              <w:t xml:space="preserve"> associations, institutions culturelles, société des amis du MAN</w:t>
            </w:r>
          </w:p>
        </w:tc>
        <w:tc>
          <w:tcPr>
            <w:tcW w:w="4606" w:type="dxa"/>
            <w:vMerge/>
          </w:tcPr>
          <w:p w:rsidR="00000000" w:rsidRDefault="00F3657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06" w:type="dxa"/>
            <w:tcBorders>
              <w:bottom w:val="single" w:sz="4" w:space="0" w:color="auto"/>
            </w:tcBorders>
          </w:tcPr>
          <w:p w:rsidR="00000000" w:rsidRDefault="00F36571">
            <w:pPr>
              <w:jc w:val="both"/>
            </w:pPr>
            <w:r>
              <w:lastRenderedPageBreak/>
              <w:t>Professionnels du tourisme</w:t>
            </w:r>
          </w:p>
        </w:tc>
        <w:tc>
          <w:tcPr>
            <w:tcW w:w="4606" w:type="dxa"/>
            <w:vMerge/>
          </w:tcPr>
          <w:p w:rsidR="00000000" w:rsidRDefault="00F36571">
            <w:pPr>
              <w:jc w:val="both"/>
            </w:pPr>
          </w:p>
        </w:tc>
      </w:tr>
    </w:tbl>
    <w:p w:rsidR="00000000" w:rsidRDefault="00F36571">
      <w:pPr>
        <w:jc w:val="both"/>
      </w:pPr>
    </w:p>
    <w:p w:rsidR="00000000" w:rsidRDefault="00F36571">
      <w:pPr>
        <w:jc w:val="both"/>
      </w:pPr>
    </w:p>
    <w:p w:rsidR="00000000" w:rsidRDefault="00F36571">
      <w:pPr>
        <w:pStyle w:val="Titre2"/>
        <w:jc w:val="both"/>
      </w:pPr>
      <w:r>
        <w:t>COMPETENCES REQUISES</w:t>
      </w:r>
    </w:p>
    <w:p w:rsidR="00000000" w:rsidRDefault="00F36571">
      <w:pPr>
        <w:jc w:val="both"/>
      </w:pPr>
    </w:p>
    <w:p w:rsidR="00000000" w:rsidRDefault="00F36571">
      <w:pPr>
        <w:pStyle w:val="Titre4"/>
        <w:jc w:val="both"/>
      </w:pPr>
      <w:r>
        <w:t>Compétences professionnelles</w:t>
      </w:r>
    </w:p>
    <w:p w:rsidR="00000000" w:rsidRDefault="00F36571">
      <w:pPr>
        <w:numPr>
          <w:ilvl w:val="0"/>
          <w:numId w:val="1"/>
        </w:numPr>
        <w:jc w:val="both"/>
      </w:pPr>
      <w:r>
        <w:t>maîtrise des outils informatiques : Word, Excel, Sysrem,</w:t>
      </w:r>
    </w:p>
    <w:p w:rsidR="00000000" w:rsidRDefault="00F36571">
      <w:pPr>
        <w:numPr>
          <w:ilvl w:val="0"/>
          <w:numId w:val="1"/>
        </w:numPr>
        <w:jc w:val="both"/>
      </w:pPr>
    </w:p>
    <w:p w:rsidR="00000000" w:rsidRDefault="00F36571">
      <w:pPr>
        <w:pStyle w:val="Titre4"/>
        <w:jc w:val="both"/>
      </w:pPr>
      <w:r>
        <w:t>Compétences techniques et cognitives</w:t>
      </w:r>
    </w:p>
    <w:p w:rsidR="00000000" w:rsidRDefault="00F36571">
      <w:pPr>
        <w:jc w:val="both"/>
      </w:pPr>
      <w:r>
        <w:t>- Facilité d</w:t>
      </w:r>
      <w:r>
        <w:t>’adaptation</w:t>
      </w:r>
    </w:p>
    <w:p w:rsidR="00000000" w:rsidRDefault="00F36571">
      <w:pPr>
        <w:jc w:val="both"/>
      </w:pPr>
      <w:r>
        <w:t>- Rigueur</w:t>
      </w:r>
    </w:p>
    <w:p w:rsidR="00000000" w:rsidRDefault="00F36571">
      <w:pPr>
        <w:jc w:val="both"/>
      </w:pPr>
      <w:r>
        <w:t>- Sens de l’organisation</w:t>
      </w:r>
    </w:p>
    <w:p w:rsidR="00000000" w:rsidRDefault="00F36571">
      <w:pPr>
        <w:jc w:val="both"/>
      </w:pPr>
      <w:r>
        <w:t>- Rapidité d’exécution</w:t>
      </w:r>
    </w:p>
    <w:p w:rsidR="00000000" w:rsidRDefault="00F36571">
      <w:pPr>
        <w:jc w:val="both"/>
      </w:pPr>
      <w:r>
        <w:t>- Connaissance du site (à acquérir)</w:t>
      </w:r>
    </w:p>
    <w:p w:rsidR="00000000" w:rsidRDefault="00F36571">
      <w:pPr>
        <w:jc w:val="both"/>
      </w:pPr>
    </w:p>
    <w:p w:rsidR="00000000" w:rsidRDefault="00F36571">
      <w:pPr>
        <w:pStyle w:val="Corpsdetexte2"/>
        <w:jc w:val="both"/>
      </w:pPr>
      <w:r>
        <w:t>Compétences comportementales (relations inter-personnelles) et émotionnelles (gestion de soi)</w:t>
      </w:r>
    </w:p>
    <w:p w:rsidR="00000000" w:rsidRDefault="00F36571">
      <w:pPr>
        <w:jc w:val="both"/>
      </w:pP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Sens de l’accueil, de l’écoute et de la communicatio</w:t>
      </w:r>
      <w:r>
        <w:rPr>
          <w:rFonts w:ascii="Times New Roman" w:hAnsi="Times New Roman"/>
          <w:color w:val="auto"/>
        </w:rPr>
        <w:t xml:space="preserve">n 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Sens des responsabilités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Rigueur, méthodologie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Esprit d’équipe, de synthèse et capacité de réactivité et d’adaptation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Grande disponibilité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Capacité d’organisation</w:t>
      </w:r>
    </w:p>
    <w:p w:rsidR="00000000" w:rsidRDefault="00F36571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Autonomie</w:t>
      </w:r>
    </w:p>
    <w:p w:rsidR="00000000" w:rsidRDefault="00F36571">
      <w:pPr>
        <w:jc w:val="both"/>
      </w:pPr>
      <w:r>
        <w:t>- Gestion du stress</w:t>
      </w:r>
    </w:p>
    <w:p w:rsidR="00000000" w:rsidRDefault="00F36571">
      <w:pPr>
        <w:jc w:val="both"/>
      </w:pPr>
      <w:r>
        <w:t>- Dynamisme</w:t>
      </w:r>
    </w:p>
    <w:p w:rsidR="00000000" w:rsidRDefault="00F36571">
      <w:pPr>
        <w:jc w:val="both"/>
      </w:pPr>
    </w:p>
    <w:p w:rsidR="00000000" w:rsidRDefault="00F3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CADRE STATUTAIRE</w:t>
      </w:r>
    </w:p>
    <w:p w:rsidR="00000000" w:rsidRDefault="00F36571">
      <w:pPr>
        <w:jc w:val="both"/>
      </w:pPr>
    </w:p>
    <w:p w:rsidR="00000000" w:rsidRDefault="00F36571">
      <w:pPr>
        <w:jc w:val="both"/>
      </w:pPr>
      <w:r>
        <w:t>Catégorie C</w:t>
      </w:r>
    </w:p>
    <w:p w:rsidR="00000000" w:rsidRDefault="00F36571">
      <w:pPr>
        <w:jc w:val="both"/>
      </w:pPr>
      <w:r>
        <w:t>Filiè</w:t>
      </w:r>
      <w:r>
        <w:t>re accueil et surveillance et administrative </w:t>
      </w:r>
    </w:p>
    <w:p w:rsidR="00000000" w:rsidRDefault="00F36571">
      <w:pPr>
        <w:pStyle w:val="Corpsdetexte"/>
      </w:pPr>
      <w:r>
        <w:t>Nécessité de la présence de personnel de la filière accueil et surveillance pour le travail sur les week-ends et administratif pour la gestion bureautique</w:t>
      </w:r>
    </w:p>
    <w:p w:rsidR="00F36571" w:rsidRDefault="00F36571">
      <w:pPr>
        <w:jc w:val="both"/>
      </w:pPr>
    </w:p>
    <w:sectPr w:rsidR="00F3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71" w:rsidRDefault="00F36571">
      <w:r>
        <w:separator/>
      </w:r>
    </w:p>
  </w:endnote>
  <w:endnote w:type="continuationSeparator" w:id="0">
    <w:p w:rsidR="00F36571" w:rsidRDefault="00F3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71" w:rsidRDefault="00F36571">
      <w:r>
        <w:separator/>
      </w:r>
    </w:p>
  </w:footnote>
  <w:footnote w:type="continuationSeparator" w:id="0">
    <w:p w:rsidR="00F36571" w:rsidRDefault="00F3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0B6"/>
    <w:multiLevelType w:val="multilevel"/>
    <w:tmpl w:val="EE5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65BB7"/>
    <w:multiLevelType w:val="multilevel"/>
    <w:tmpl w:val="854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C6E8C"/>
    <w:multiLevelType w:val="multilevel"/>
    <w:tmpl w:val="939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E28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8703D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D86AB2"/>
    <w:multiLevelType w:val="hybridMultilevel"/>
    <w:tmpl w:val="431AA6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F429A2"/>
    <w:multiLevelType w:val="multilevel"/>
    <w:tmpl w:val="B00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062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8"/>
    <w:rsid w:val="007175C8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C6DD-C82C-436B-94B5-871C59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80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color w:val="80008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color w:val="8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rPr>
      <w:b/>
      <w:u w:val="single"/>
    </w:rPr>
  </w:style>
  <w:style w:type="paragraph" w:styleId="Corpsdetexte3">
    <w:name w:val="Body Text 3"/>
    <w:basedOn w:val="Normal"/>
    <w:semiHidden/>
    <w:rPr>
      <w:color w:val="0000FF"/>
    </w:r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poste : chargé de réservation </vt:lpstr>
    </vt:vector>
  </TitlesOfParts>
  <Company>MCC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poste : chargé de réservation</dc:title>
  <dc:subject/>
  <dc:creator>greboval</dc:creator>
  <cp:keywords/>
  <cp:lastModifiedBy>roche</cp:lastModifiedBy>
  <cp:revision>2</cp:revision>
  <cp:lastPrinted>2015-06-29T13:33:00Z</cp:lastPrinted>
  <dcterms:created xsi:type="dcterms:W3CDTF">2015-11-06T13:53:00Z</dcterms:created>
  <dcterms:modified xsi:type="dcterms:W3CDTF">2015-11-06T13:53:00Z</dcterms:modified>
</cp:coreProperties>
</file>