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</w:pPr>
      <w:r>
        <w:rPr>
          <w:rFonts w:cs="Times New Roman"/>
          <w:b/>
          <w:bCs/>
          <w:sz w:val="32"/>
          <w:szCs w:val="32"/>
        </w:rPr>
        <w:t>Responsable maintenance et travaux :courant forts et faibles, chauffage, ascenseurs et monte charge du Musée d’Archéologie nationale et Domaine national de Saint-Germain-en-Laye.</w:t>
      </w:r>
      <w:r/>
    </w:p>
    <w:p>
      <w:pPr>
        <w:pStyle w:val="Normal"/>
        <w:rPr>
          <w:sz w:val="24"/>
          <w:b/>
          <w:sz w:val="24"/>
          <w:b/>
          <w:szCs w:val="24"/>
          <w:bCs/>
          <w:rFonts w:ascii="Liberation Serif" w:hAnsi="Liberation Serif" w:eastAsia="Lucida Sans Unicode" w:cs="Times New Roman"/>
          <w:color w:val="00000A"/>
          <w:lang w:val="fr-FR" w:eastAsia="zh-CN" w:bidi="hi-IN"/>
        </w:rPr>
      </w:pPr>
      <w:r>
        <w:rPr>
          <w:rFonts w:cs="Times New Roman"/>
          <w:b/>
          <w:bCs/>
        </w:rPr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" w:themeColor="" w:themeTint="" w:themeShade="" w:fill="C0C0C0" w:themeFill="" w:themeFillTint="" w:themeFillShade=""/>
        <w:jc w:val="both"/>
      </w:pPr>
      <w:r>
        <w:rPr>
          <w:rFonts w:cs="Times New Roman"/>
          <w:b/>
        </w:rPr>
        <w:t>Catégorie d’emploi</w:t>
      </w:r>
      <w:r>
        <w:rPr>
          <w:rFonts w:cs="Times New Roman"/>
        </w:rPr>
        <w:t xml:space="preserve"> : Catégorie C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" w:themeColor="" w:themeTint="" w:themeShade="" w:fill="C0C0C0" w:themeFill="" w:themeFillTint="" w:themeFillShade=""/>
        <w:jc w:val="both"/>
      </w:pPr>
      <w:r>
        <w:rPr>
          <w:rFonts w:cs="Times New Roman"/>
          <w:b/>
        </w:rPr>
        <w:t>Direction, pôle</w:t>
      </w:r>
      <w:r>
        <w:rPr>
          <w:rFonts w:cs="Times New Roman"/>
        </w:rPr>
        <w:t> : secrétariat général, service de la maintenance </w:t>
      </w:r>
      <w:r/>
    </w:p>
    <w:p>
      <w:pPr>
        <w:pStyle w:val="Normal"/>
        <w:jc w:val="both"/>
      </w:pPr>
      <w:r>
        <w:rPr>
          <w:rFonts w:cs="Times New Roman"/>
          <w:b/>
        </w:rPr>
        <w:t>HIERARCHIE </w:t>
      </w:r>
      <w:bookmarkStart w:id="0" w:name="_GoBack"/>
      <w:bookmarkEnd w:id="0"/>
      <w:r>
        <w:rPr>
          <w:rFonts w:cs="Times New Roman"/>
        </w:rPr>
        <w:t>: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</w:rPr>
      </w:pPr>
      <w:r>
        <w:rPr>
          <w:rFonts w:cs="Times New Roman"/>
        </w:rPr>
        <w:t>N+1 : Secrétaire Général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</w:rPr>
      </w:pPr>
      <w:r>
        <w:rPr>
          <w:rFonts w:cs="Times New Roman"/>
        </w:rPr>
        <w:t>N+2 : Directeur du SCN</w:t>
      </w:r>
      <w:r/>
    </w:p>
    <w:p>
      <w:pPr>
        <w:pStyle w:val="Normal"/>
        <w:jc w:val="both"/>
        <w:rPr>
          <w:b/>
          <w:b/>
          <w:rFonts w:cs="Times New Roman"/>
        </w:rPr>
      </w:pPr>
      <w:r>
        <w:rPr>
          <w:rFonts w:cs="Times New Roman"/>
          <w:b/>
        </w:rPr>
        <w:t>DIMENSION DU POSTE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Times New Roman"/>
          <w:b/>
        </w:rPr>
        <w:t>Effectif à diriger</w:t>
      </w:r>
      <w:r>
        <w:rPr>
          <w:rFonts w:cs="Times New Roman"/>
        </w:rPr>
        <w:t xml:space="preserve"> : Entreprises sous-traitantes et, le cas échéant, stagiaires 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Times New Roman"/>
          <w:b/>
        </w:rPr>
        <w:t>Partenaires et prestataires</w:t>
      </w:r>
      <w:r>
        <w:rPr>
          <w:rFonts w:cs="Times New Roman"/>
        </w:rPr>
        <w:t> : Entreprises de sous-traitance courant forts et courant faibles, installations de chauffages, production d’eau chaude sanitaire, ascenseurs et monte charge, entreprises de maintenance des équipements, du matériel, le cas échéant entreprises de muséographie.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Times New Roman"/>
          <w:b/>
        </w:rPr>
        <w:t>Budget </w:t>
      </w:r>
      <w:r>
        <w:rPr>
          <w:rFonts w:cs="Times New Roman"/>
        </w:rPr>
        <w:t>: Consacré à la sous-traitance, ainsi qu’à l’achat des fournitures indispensables au fonctionnement spécifique du domaine d’activité.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Times New Roman"/>
          <w:b/>
        </w:rPr>
        <w:t>Nature et importance des pouvoirs délégués et moyens d’action </w:t>
      </w:r>
      <w:r>
        <w:rPr>
          <w:rFonts w:cs="Times New Roman"/>
        </w:rPr>
        <w:t>:</w:t>
      </w:r>
      <w:r/>
    </w:p>
    <w:p>
      <w:pPr>
        <w:pStyle w:val="Normal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rFonts w:cs="Times New Roman"/>
        </w:rPr>
      </w:pPr>
      <w:r>
        <w:rPr>
          <w:rFonts w:cs="Times New Roman"/>
        </w:rPr>
        <w:t>Large délégation en matière de choix techniques</w:t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rPr>
          <w:sz w:val="20"/>
          <w:b/>
          <w:sz w:val="20"/>
          <w:b/>
          <w:szCs w:val="20"/>
          <w:bCs/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 xml:space="preserve">MISSIONS ET ACTIVITES PRINCIPALES </w:t>
      </w:r>
      <w:r/>
    </w:p>
    <w:p>
      <w:pPr>
        <w:pStyle w:val="Normal"/>
        <w:rPr>
          <w:sz w:val="20"/>
          <w:b/>
          <w:sz w:val="20"/>
          <w:b/>
          <w:szCs w:val="20"/>
          <w:bCs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Normal"/>
        <w:rPr>
          <w:sz w:val="20"/>
          <w:b/>
          <w:sz w:val="20"/>
          <w:b/>
          <w:szCs w:val="20"/>
          <w:bCs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rFonts w:ascii="Arial" w:hAnsi="Arial"/>
        </w:rPr>
      </w:pPr>
      <w:r>
        <w:rPr>
          <w:rFonts w:ascii="Arial" w:hAnsi="Arial"/>
          <w:sz w:val="20"/>
          <w:szCs w:val="20"/>
        </w:rPr>
        <w:t>- Planification et réalisation d’opérations de mise en œuvre et/ou de maintenance, planification des moyens associés.</w:t>
      </w:r>
      <w:r/>
    </w:p>
    <w:p>
      <w:pPr>
        <w:pStyle w:val="Normal"/>
        <w:rPr>
          <w:sz w:val="20"/>
          <w:sz w:val="20"/>
          <w:szCs w:val="20"/>
          <w:rFonts w:ascii="Arial" w:hAnsi="Arial"/>
        </w:rPr>
      </w:pPr>
      <w:r>
        <w:rPr>
          <w:rFonts w:ascii="Arial" w:hAnsi="Arial"/>
          <w:sz w:val="20"/>
          <w:szCs w:val="20"/>
        </w:rPr>
        <w:t>- Exécution des travaux dans le respect des normes, des règles et des directives applicables et des procédures de qualité.</w:t>
      </w:r>
      <w:r/>
    </w:p>
    <w:p>
      <w:pPr>
        <w:pStyle w:val="Normal"/>
        <w:rPr>
          <w:sz w:val="20"/>
          <w:sz w:val="20"/>
          <w:szCs w:val="20"/>
          <w:rFonts w:ascii="Arial" w:hAnsi="Arial"/>
        </w:rPr>
      </w:pPr>
      <w:r>
        <w:rPr>
          <w:rFonts w:ascii="Arial" w:hAnsi="Arial"/>
          <w:sz w:val="20"/>
          <w:szCs w:val="20"/>
        </w:rPr>
        <w:t>- Proposition d’améliorations dans tous les domaines d’intervention (technique, économique, organisationnel, logistique) et participation aux études et à la réalisation de dossiers techniques.</w:t>
      </w:r>
      <w:r/>
    </w:p>
    <w:p>
      <w:pPr>
        <w:pStyle w:val="Normal"/>
        <w:rPr>
          <w:sz w:val="20"/>
          <w:sz w:val="20"/>
          <w:szCs w:val="20"/>
          <w:rFonts w:ascii="Arial" w:hAnsi="Arial"/>
        </w:rPr>
      </w:pPr>
      <w:r>
        <w:rPr>
          <w:rFonts w:ascii="Arial" w:hAnsi="Arial"/>
          <w:sz w:val="20"/>
          <w:szCs w:val="20"/>
        </w:rPr>
        <w:t>- Contrôle et validation de la qualité des travaux effectués et des opérations technico-logistiques.</w:t>
      </w:r>
      <w:r/>
    </w:p>
    <w:p>
      <w:pPr>
        <w:pStyle w:val="Normal"/>
        <w:rPr>
          <w:sz w:val="20"/>
          <w:sz w:val="20"/>
          <w:szCs w:val="20"/>
          <w:rFonts w:ascii="Arial" w:hAnsi="Arial"/>
        </w:rPr>
      </w:pPr>
      <w:r>
        <w:rPr>
          <w:rFonts w:ascii="Arial" w:hAnsi="Arial"/>
          <w:sz w:val="20"/>
          <w:szCs w:val="20"/>
        </w:rPr>
        <w:t>- Contrôle du respect des règles de prévention des risques et de sécurité.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Repérage des besoins et des urgences interdisciplinaires.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Planification des montages d'expositions temporaires et permanentes en liaison avec les services muséographie, surveillance et le Secrétaire général. (SG)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Planification des travaux de maintenance du SCN en liaison avec le service de surveillance et le SG.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Planification de la définition des besoins et renouvellement des matériels en liaison avec le SG.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Planification d'achats de consommables en liaison avec le SG.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Planification des opérations à réaliser en liaison avec les services muséographie, surveillance et le SG.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Encadrement, contrôle et validation de la qualité des travaux réalisés dans les règles de prévention des risques et de la sécurité.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Évaluation des coûts.</w:t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rPr>
          <w:sz w:val="20"/>
          <w:b/>
          <w:sz w:val="20"/>
          <w:b/>
          <w:szCs w:val="20"/>
          <w:bCs/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CONDITIONS PARTICULIERES D'EXERCICE</w:t>
      </w:r>
      <w:r/>
    </w:p>
    <w:p>
      <w:pPr>
        <w:pStyle w:val="Normal"/>
        <w:rPr>
          <w:sz w:val="20"/>
          <w:b/>
          <w:sz w:val="20"/>
          <w:b/>
          <w:szCs w:val="20"/>
          <w:bCs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Appel, accueil et suivi d'opérations des artisans et entreprises dans les domaines suivants :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Courants forts et faibles, téléphonie, maintenance des ascenseurs, monte charge, chauffage et des équipements d’eau chaude sanitaire.</w:t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rPr>
          <w:sz w:val="20"/>
          <w:b/>
          <w:sz w:val="20"/>
          <w:b/>
          <w:szCs w:val="20"/>
          <w:bCs/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SAVOIR-FAIRE</w:t>
      </w:r>
      <w:r/>
    </w:p>
    <w:p>
      <w:pPr>
        <w:pStyle w:val="Normal"/>
        <w:rPr>
          <w:sz w:val="20"/>
          <w:b/>
          <w:sz w:val="20"/>
          <w:b/>
          <w:szCs w:val="20"/>
          <w:bCs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Pour Les travaux et la maintenance du bâtiment :</w:t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Décider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Gérer un projet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Repérage et établissement d'un diagnostic des besoins et des urgences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Connaissance des métiers, élaboration d'un cahier des charges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Chiffrage des travaux nécessaires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Sélection des entreprises avec le SG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Préparation d'un appel d'offre, d'un marché public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Conduite, planification, organisation et suivi des opérations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Prises d'initiatives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Compte rendu au SG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Rédaction d'un constat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Archivage des devis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Transmission du savoir-faire</w:t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tabs>
          <w:tab w:val="left" w:pos="3195" w:leader="none"/>
        </w:tabs>
        <w:rPr>
          <w:sz w:val="20"/>
          <w:b/>
          <w:sz w:val="20"/>
          <w:b/>
          <w:szCs w:val="20"/>
          <w:bCs/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SAVOIR ETRE</w:t>
      </w:r>
      <w:r/>
    </w:p>
    <w:p>
      <w:pPr>
        <w:pStyle w:val="Normal"/>
        <w:tabs>
          <w:tab w:val="left" w:pos="3195" w:leader="none"/>
        </w:tabs>
        <w:rPr>
          <w:sz w:val="20"/>
          <w:b/>
          <w:sz w:val="20"/>
          <w:b/>
          <w:szCs w:val="20"/>
          <w:bCs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Réactivité au quotidien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Anticipation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Sens des relations humaines, des responsabilités, des initiatives et de la critique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Capacité d'adaptation</w:t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tabs>
          <w:tab w:val="left" w:pos="3195" w:leader="none"/>
        </w:tabs>
        <w:rPr>
          <w:sz w:val="20"/>
          <w:b/>
          <w:sz w:val="20"/>
          <w:b/>
          <w:szCs w:val="20"/>
          <w:bCs/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ENVIRONNEMENT PROFESSIONNEL</w:t>
      </w:r>
      <w:r/>
    </w:p>
    <w:p>
      <w:pPr>
        <w:pStyle w:val="Normal"/>
        <w:tabs>
          <w:tab w:val="left" w:pos="3195" w:leader="none"/>
        </w:tabs>
        <w:rPr>
          <w:sz w:val="20"/>
          <w:b/>
          <w:sz w:val="20"/>
          <w:b/>
          <w:szCs w:val="20"/>
          <w:bCs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Liaisons hiérarchiques et fonctionnelles avec le SG responsable des travaux et de la maintenance.</w:t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rPr>
          <w:sz w:val="20"/>
          <w:sz w:val="20"/>
          <w:szCs w:val="20"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sz w:val="20"/>
          <w:szCs w:val="20"/>
        </w:rPr>
      </w:r>
      <w:r/>
    </w:p>
    <w:p>
      <w:pPr>
        <w:pStyle w:val="Normal"/>
        <w:tabs>
          <w:tab w:val="left" w:pos="3195" w:leader="none"/>
        </w:tabs>
        <w:rPr>
          <w:sz w:val="20"/>
          <w:b/>
          <w:sz w:val="20"/>
          <w:b/>
          <w:szCs w:val="20"/>
          <w:bCs/>
          <w:rFonts w:ascii="Arial" w:hAnsi="Arial"/>
        </w:rPr>
      </w:pPr>
      <w:r>
        <w:rPr>
          <w:rFonts w:ascii="Arial" w:hAnsi="Arial"/>
          <w:b/>
          <w:bCs/>
          <w:sz w:val="20"/>
          <w:szCs w:val="20"/>
        </w:rPr>
        <w:t>SPECIFICITE DU POSTE / CONTRAINTES / SUJETIONS</w:t>
      </w:r>
      <w:r/>
    </w:p>
    <w:p>
      <w:pPr>
        <w:pStyle w:val="Normal"/>
        <w:tabs>
          <w:tab w:val="left" w:pos="3195" w:leader="none"/>
        </w:tabs>
        <w:rPr>
          <w:sz w:val="20"/>
          <w:b/>
          <w:sz w:val="20"/>
          <w:b/>
          <w:szCs w:val="20"/>
          <w:bCs/>
          <w:rFonts w:ascii="Arial" w:hAnsi="Arial" w:eastAsia="Lucida Sans Unicode" w:cs="Mangal"/>
          <w:color w:val="00000A"/>
          <w:lang w:val="fr-FR" w:eastAsia="zh-CN" w:bidi="hi-IN"/>
        </w:rPr>
      </w:pPr>
      <w:r>
        <w:rPr>
          <w:rFonts w:ascii="Arial" w:hAnsi="Arial"/>
          <w:b/>
          <w:bCs/>
          <w:sz w:val="20"/>
          <w:szCs w:val="20"/>
        </w:rPr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Adaptation aux horaires des artisans.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Maîtrise des manipulations d'outils  éventuellement dangereux.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Participation aux actions préventives en matière de sécurité en relation avec l’assistante de prévention.</w:t>
      </w:r>
      <w:r/>
    </w:p>
    <w:p>
      <w:pPr>
        <w:pStyle w:val="Normal"/>
      </w:pPr>
      <w:r>
        <w:rPr>
          <w:rFonts w:ascii="Arial" w:hAnsi="Arial"/>
          <w:sz w:val="20"/>
          <w:szCs w:val="20"/>
        </w:rPr>
        <w:t>- Connaissance des règles d'hygiène et de sécurité.</w:t>
      </w:r>
      <w:r/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Mang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overflowPunct w:val="false"/>
      <w:bidi w:val="0"/>
      <w:jc w:val="left"/>
    </w:pPr>
    <w:rPr>
      <w:rFonts w:ascii="Liberation Serif" w:hAnsi="Liberation Serif" w:eastAsia="Lucida Sans Unicode" w:cs="Mangal"/>
      <w:color w:val="00000A"/>
      <w:sz w:val="24"/>
      <w:szCs w:val="24"/>
      <w:lang w:val="fr-FR" w:eastAsia="zh-CN" w:bidi="hi-IN"/>
    </w:rPr>
  </w:style>
  <w:style w:type="paragraph" w:styleId="Titre">
    <w:name w:val="Titre"/>
    <w:basedOn w:val="Normal"/>
    <w:next w:val="Corpsdetexte"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Corpsdetexte">
    <w:name w:val="Corps de texte"/>
    <w:basedOn w:val="Normal"/>
    <w:pPr>
      <w:spacing w:lineRule="auto" w:line="288" w:before="0" w:after="140"/>
    </w:pPr>
    <w:rPr/>
  </w:style>
  <w:style w:type="paragraph" w:styleId="Liste">
    <w:name w:val="Liste"/>
    <w:basedOn w:val="Corpsdetexte"/>
    <w:pPr/>
    <w:rPr>
      <w:rFonts w:cs="Mangal"/>
    </w:rPr>
  </w:style>
  <w:style w:type="paragraph" w:styleId="Lgende">
    <w:name w:val="Légende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Application>LibreOffice/4.3.7.2$Windows_x86 LibreOffice_project/8a35821d8636a03b8bf4e15b48f59794652c68ba</Application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2015-11-06T08:59:47Z</dcterms:created>
  <dc:creator>hammiche</dc:creator>
  <dc:language>fr-FR</dc:language>
  <cp:lastModifiedBy>hammiche</cp:lastModifiedBy>
  <dcterms:modified xsi:type="dcterms:W3CDTF">2015-11-06T12:04:33Z</dcterms:modified>
  <cp:revision>3</cp:revision>
</cp:coreProperties>
</file>