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B4" w:rsidRDefault="00C42F8E">
      <w:pPr>
        <w:pStyle w:val="En-tte1"/>
        <w:tabs>
          <w:tab w:val="left" w:pos="3686"/>
        </w:tabs>
      </w:pPr>
      <w:r>
        <w:rPr>
          <w:sz w:val="20"/>
        </w:rPr>
        <w:tab/>
        <w:t>FICHE DE POSTE</w:t>
      </w:r>
    </w:p>
    <w:p w:rsidR="007602B4" w:rsidRDefault="007602B4">
      <w:pPr>
        <w:rPr>
          <w:rFonts w:ascii="Times New Roman" w:hAnsi="Times New Roman" w:cs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15"/>
      </w:tblGrid>
      <w:tr w:rsidR="007602B4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Intitulé du poste</w:t>
            </w:r>
            <w:r>
              <w:rPr>
                <w:b/>
                <w:sz w:val="20"/>
              </w:rPr>
              <w:t xml:space="preserve"> :</w:t>
            </w:r>
            <w:r>
              <w:rPr>
                <w:sz w:val="20"/>
              </w:rPr>
              <w:t xml:space="preserve"> Responsable d’un fonds patrimonial ou de collection</w:t>
            </w: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:rsidR="007602B4" w:rsidRDefault="007602B4">
            <w:pPr>
              <w:pStyle w:val="TableContents"/>
              <w:snapToGrid w:val="0"/>
              <w:rPr>
                <w:sz w:val="20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Catégorie/ Corps – fonction (codification: 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annexe 2)   CSVT – CUL10B</w:t>
            </w:r>
          </w:p>
          <w:p w:rsidR="007602B4" w:rsidRDefault="00C42F8E">
            <w:pPr>
              <w:pStyle w:val="TableContents"/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>Cat. A / Conservateur du patrimoine</w:t>
            </w:r>
            <w:r>
              <w:rPr>
                <w:b/>
                <w:sz w:val="20"/>
              </w:rPr>
              <w:br/>
            </w:r>
            <w:r>
              <w:rPr>
                <w:b/>
                <w:i/>
                <w:sz w:val="20"/>
              </w:rPr>
              <w:t xml:space="preserve"> </w:t>
            </w:r>
          </w:p>
          <w:p w:rsidR="007602B4" w:rsidRDefault="007602B4">
            <w:pPr>
              <w:pStyle w:val="TableContents"/>
              <w:rPr>
                <w:i/>
                <w:sz w:val="20"/>
              </w:rPr>
            </w:pPr>
          </w:p>
        </w:tc>
      </w:tr>
    </w:tbl>
    <w:p w:rsidR="007602B4" w:rsidRDefault="007602B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</w:pPr>
            <w:r>
              <w:rPr>
                <w:sz w:val="20"/>
              </w:rPr>
              <w:t>Domaine(s) Fonctionnel(s) :</w:t>
            </w:r>
            <w:r>
              <w:rPr>
                <w:b/>
                <w:sz w:val="20"/>
              </w:rPr>
              <w:t xml:space="preserve"> Conservation, architecture et patrimoine architectural</w:t>
            </w:r>
          </w:p>
        </w:tc>
      </w:tr>
    </w:tbl>
    <w:p w:rsidR="007602B4" w:rsidRDefault="007602B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</w:pPr>
            <w:r>
              <w:rPr>
                <w:sz w:val="20"/>
              </w:rPr>
              <w:t>Emploi(s) Type : Conservateur du patrimoine</w:t>
            </w:r>
          </w:p>
        </w:tc>
      </w:tr>
    </w:tbl>
    <w:p w:rsidR="007602B4" w:rsidRDefault="007602B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Localisation administrative et géographique / Affectation :</w:t>
            </w:r>
          </w:p>
          <w:p w:rsidR="007602B4" w:rsidRDefault="007602B4">
            <w:pPr>
              <w:pStyle w:val="TableContents"/>
              <w:snapToGrid w:val="0"/>
              <w:rPr>
                <w:b/>
                <w:sz w:val="20"/>
              </w:rPr>
            </w:pPr>
          </w:p>
          <w:p w:rsidR="007602B4" w:rsidRDefault="00C42F8E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Musée d’Archéologie nationale – Domaine national de Saint-Germain-en-Laye</w:t>
            </w:r>
          </w:p>
          <w:p w:rsidR="007602B4" w:rsidRDefault="00C42F8E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Château</w:t>
            </w:r>
          </w:p>
          <w:p w:rsidR="007602B4" w:rsidRDefault="00C42F8E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Place C. De Gaulle</w:t>
            </w:r>
          </w:p>
          <w:p w:rsidR="007602B4" w:rsidRDefault="00C42F8E">
            <w:pPr>
              <w:pStyle w:val="TableContents"/>
              <w:snapToGrid w:val="0"/>
            </w:pPr>
            <w:r>
              <w:rPr>
                <w:b/>
                <w:sz w:val="20"/>
              </w:rPr>
              <w:t>78105 Saint-Germain-en-Laye Cedex</w:t>
            </w:r>
          </w:p>
        </w:tc>
      </w:tr>
    </w:tbl>
    <w:p w:rsidR="007602B4" w:rsidRDefault="007602B4">
      <w:pPr>
        <w:pStyle w:val="TableContents"/>
      </w:pP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4"/>
      </w:tblGrid>
      <w:tr w:rsidR="007602B4">
        <w:tc>
          <w:tcPr>
            <w:tcW w:w="10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rFonts w:eastAsia="Times New Roman"/>
                <w:b/>
                <w:sz w:val="20"/>
              </w:rPr>
            </w:pPr>
            <w:r>
              <w:rPr>
                <w:b/>
                <w:sz w:val="20"/>
              </w:rPr>
              <w:t>Missions et activités principales :</w:t>
            </w:r>
          </w:p>
          <w:p w:rsidR="007602B4" w:rsidRDefault="00C42F8E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- Assurer l’inventaire, la description, le tri et le classement des collections</w:t>
            </w:r>
          </w:p>
          <w:p w:rsidR="007602B4" w:rsidRDefault="00C42F8E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Contribuer à la politique d’enrichissement et de valorisation des collections, dans le respect des procédures d’acquisition, de collecte et de consolidation des collections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- Contribuer à la politique de préservation et de conservation préventive des collections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- Assurer le suivi de l’état matériel des collections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- Assurer le pilotage et le suivi des opérations de restauration (aspects scientifiques et budgétaires) et des mouvements d’œuvres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- Contribuer à la politique d’expositions temporaires et permanentes du SCN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 Assurer la responsabilité des espaces où sont conservées et/ou exposées les collections permanentes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 Assurer la mise en œuvre et le suivi des programmes muséographiques dans ces espaces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- Assurer des missions transversales générales qu’elles </w:t>
            </w:r>
            <w:proofErr w:type="spellStart"/>
            <w:r>
              <w:rPr>
                <w:rFonts w:eastAsia="Times New Roman"/>
                <w:sz w:val="20"/>
              </w:rPr>
              <w:t>soirent</w:t>
            </w:r>
            <w:proofErr w:type="spellEnd"/>
            <w:r>
              <w:rPr>
                <w:rFonts w:eastAsia="Times New Roman"/>
                <w:sz w:val="20"/>
              </w:rPr>
              <w:t xml:space="preserve"> aussi bien administratives, techniques, scientifiques dans l’établissement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 Assurer le récolement des collections du champ patrimonial concerné, dans le cadre du récolement décennal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- Contribuer à la politique de diffusion et de mise à disposition des collections (prêts, dépôts…)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Proposer ou prendre en charge la préparation d’expositions temporaires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Mener des travaux de recherche en relation avec les principales thématiques associées aux collections, aux personnalités scientifiques et aux fonds documentaires relatifs à ces collections, donnant éventuellement lieu à des publications conventionnelles ou dématérialisées (catalogues sommaires et raisonnés, monographies, synthèses, articles scientifiques…)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Diriger ou prendre part à des opérations de terrain en France ou à l’étranger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sz w:val="20"/>
              </w:rPr>
              <w:t>- Contribuer à la politique d’indexation, d’enregistrement photographique et  informatisé et de mise en ligne des collections et des documents d’archives afférents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- Participer à la politique de médiation culturelle des collections 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Assurer une fonction d’expertise scientifique et de service public sur les collections concernées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- Assurer une fonction d’expertise scientifique et de conseil (aide aux acquisitions, gestion des certificats de sortie du territoire…) auprès d’autres institutions 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Assurer éventuellement des activités d’enseignement en relation avec le champ patrimonial concerné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Assurer une fonction de veille patrimoniale et scientifique pour le champ patrimonial concerné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Initier, animer et participer à des réseaux scientifiques et culturels en relation avec le champ patrimonial concerné, en particulier avec les établissements patrimoniaux en région et à l’étranger</w:t>
            </w:r>
          </w:p>
          <w:p w:rsidR="007602B4" w:rsidRDefault="00C42F8E">
            <w:pPr>
              <w:pStyle w:val="TableContents"/>
              <w:tabs>
                <w:tab w:val="left" w:pos="720"/>
              </w:tabs>
            </w:pPr>
            <w:r>
              <w:rPr>
                <w:sz w:val="20"/>
              </w:rPr>
              <w:t>- Réfléchir et contribuer à la mise en œuvre de la politique documentaire relative aux collections</w:t>
            </w:r>
          </w:p>
        </w:tc>
      </w:tr>
    </w:tbl>
    <w:p w:rsidR="007602B4" w:rsidRDefault="007602B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</w:pPr>
            <w:r>
              <w:rPr>
                <w:b/>
                <w:sz w:val="20"/>
              </w:rPr>
              <w:t>Compétences principales mises en œuvre : (cotés  sur 4 niveaux initié – pratique – maîtrise - expert)</w:t>
            </w:r>
          </w:p>
        </w:tc>
      </w:tr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Compétences techniques :</w:t>
            </w:r>
          </w:p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Formation supérieure en archéologie et spécialisation dans le domaine (préciser le champ chronologique)</w:t>
            </w:r>
          </w:p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Bonne culture générale en histoire et en histoire de l’archéologie en relation avec les collections concernées</w:t>
            </w:r>
          </w:p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Connaissance de l’environnement administratif et financier  du musée (réglementation, procédures, interlocuteurs…)</w:t>
            </w:r>
          </w:p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Maîtrise des connaissances en conservation préventive et curative et respect des conditions de conservation du patrimoine</w:t>
            </w:r>
          </w:p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Connaissance des principes et des techniques de la muséographie</w:t>
            </w:r>
          </w:p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Maîtrise d’une ou plusieurs langues vivantes dont l’anglais</w:t>
            </w:r>
          </w:p>
          <w:p w:rsidR="007602B4" w:rsidRDefault="00C42F8E">
            <w:pPr>
              <w:pStyle w:val="TableContents"/>
              <w:snapToGrid w:val="0"/>
            </w:pPr>
            <w:r>
              <w:rPr>
                <w:sz w:val="20"/>
              </w:rPr>
              <w:t xml:space="preserve">- Maîtrise </w:t>
            </w:r>
            <w:proofErr w:type="gramStart"/>
            <w:r>
              <w:rPr>
                <w:sz w:val="20"/>
              </w:rPr>
              <w:t>des outils bureautiques standard</w:t>
            </w:r>
            <w:proofErr w:type="gramEnd"/>
          </w:p>
        </w:tc>
      </w:tr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Savoir-faire</w:t>
            </w:r>
          </w:p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Capacité à gérer les collections concernées dans le cadre des obligations liées à des collections nationales « musée de France »</w:t>
            </w:r>
          </w:p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Capacité d’analyse des objets, des dossiers et des situations</w:t>
            </w:r>
          </w:p>
          <w:p w:rsidR="007602B4" w:rsidRDefault="00C42F8E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sz w:val="20"/>
              </w:rPr>
              <w:t>- Capacité de valorisation scientifique et pédagogique des collections du musée</w:t>
            </w:r>
          </w:p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Capacité à enrichir les collections concernées : acquisition, collecte, tri, classement, saisie…</w:t>
            </w:r>
          </w:p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Capacité à conduire des recherches avec méthode, à mener des projets sur le long terme, éventuellement en partenariat</w:t>
            </w:r>
          </w:p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Capacité à publier ses recherches sur les collections et ses activités scientifiques propres ou celles de chercheurs qui entrent dans le périmètre scientifique et patrimonial du musée.</w:t>
            </w:r>
          </w:p>
          <w:p w:rsidR="007602B4" w:rsidRDefault="00C42F8E">
            <w:pPr>
              <w:pStyle w:val="TableContents"/>
              <w:snapToGrid w:val="0"/>
            </w:pPr>
            <w:r>
              <w:rPr>
                <w:sz w:val="20"/>
              </w:rPr>
              <w:t>- Capacité à transmettre des informations, des savoirs et des savoir-faire</w:t>
            </w:r>
          </w:p>
        </w:tc>
      </w:tr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Savoir-être (compétences comportementales)</w:t>
            </w:r>
          </w:p>
          <w:p w:rsidR="007602B4" w:rsidRDefault="00C42F8E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Qualités relationnelles et sens du contact</w:t>
            </w:r>
          </w:p>
          <w:p w:rsidR="007602B4" w:rsidRDefault="00C42F8E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Goût pour le travail en équipe et aptitude à l’encadrement et à la conduite d’équipe</w:t>
            </w:r>
          </w:p>
          <w:p w:rsidR="007602B4" w:rsidRDefault="00C42F8E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Aptitude à la négociation</w:t>
            </w:r>
          </w:p>
          <w:p w:rsidR="007602B4" w:rsidRDefault="00C42F8E">
            <w:pPr>
              <w:pStyle w:val="TableContents"/>
              <w:snapToGrid w:val="0"/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Sens du service public</w:t>
            </w:r>
          </w:p>
        </w:tc>
      </w:tr>
    </w:tbl>
    <w:p w:rsidR="007602B4" w:rsidRDefault="007602B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b/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Environnement professionnel :</w:t>
            </w:r>
            <w:r>
              <w:rPr>
                <w:sz w:val="20"/>
              </w:rPr>
              <w:br/>
            </w:r>
          </w:p>
          <w:p w:rsidR="007602B4" w:rsidRDefault="00C42F8E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b/>
                <w:i/>
                <w:sz w:val="20"/>
              </w:rPr>
              <w:t>Liaisons hiérarchiques :</w:t>
            </w:r>
          </w:p>
          <w:p w:rsidR="00EE7245" w:rsidRPr="00EE7245" w:rsidRDefault="00C42F8E">
            <w:pPr>
              <w:pStyle w:val="TableContents"/>
              <w:numPr>
                <w:ilvl w:val="0"/>
                <w:numId w:val="1"/>
              </w:numPr>
              <w:tabs>
                <w:tab w:val="left" w:pos="1940"/>
              </w:tabs>
              <w:suppressAutoHyphens w:val="0"/>
              <w:rPr>
                <w:sz w:val="22"/>
                <w:szCs w:val="22"/>
              </w:rPr>
            </w:pPr>
            <w:bookmarkStart w:id="0" w:name="_GoBack"/>
            <w:r w:rsidRPr="00EE7245">
              <w:rPr>
                <w:sz w:val="22"/>
                <w:szCs w:val="22"/>
              </w:rPr>
              <w:t>-</w:t>
            </w:r>
            <w:r w:rsidR="00EE7245" w:rsidRPr="00EE7245">
              <w:rPr>
                <w:rFonts w:cs="Arial"/>
                <w:color w:val="000000" w:themeColor="text1"/>
                <w:sz w:val="22"/>
                <w:szCs w:val="22"/>
              </w:rPr>
              <w:t xml:space="preserve"> A</w:t>
            </w:r>
            <w:r w:rsidR="00EE7245" w:rsidRPr="00EE7245">
              <w:rPr>
                <w:rFonts w:cs="Arial"/>
                <w:color w:val="000000" w:themeColor="text1"/>
                <w:sz w:val="22"/>
                <w:szCs w:val="22"/>
              </w:rPr>
              <w:t xml:space="preserve">djoint au directeur du SCN, </w:t>
            </w:r>
            <w:r w:rsidR="00EE7245" w:rsidRPr="00EE7245">
              <w:rPr>
                <w:color w:val="000000" w:themeColor="text1"/>
                <w:sz w:val="22"/>
                <w:szCs w:val="22"/>
              </w:rPr>
              <w:t xml:space="preserve">responsable du Pôle scientifique </w:t>
            </w:r>
            <w:r w:rsidR="00EE7245" w:rsidRPr="00EE7245">
              <w:rPr>
                <w:rFonts w:eastAsia="Times New Roman"/>
                <w:sz w:val="22"/>
                <w:szCs w:val="22"/>
              </w:rPr>
              <w:t>–</w:t>
            </w:r>
            <w:r w:rsidRPr="00EE724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602B4" w:rsidRPr="00EE7245" w:rsidRDefault="00EE7245">
            <w:pPr>
              <w:pStyle w:val="TableContents"/>
              <w:numPr>
                <w:ilvl w:val="0"/>
                <w:numId w:val="1"/>
              </w:numPr>
              <w:tabs>
                <w:tab w:val="left" w:pos="1940"/>
              </w:tabs>
              <w:suppressAutoHyphens w:val="0"/>
              <w:rPr>
                <w:sz w:val="22"/>
                <w:szCs w:val="22"/>
              </w:rPr>
            </w:pPr>
            <w:r w:rsidRPr="00EE7245">
              <w:rPr>
                <w:rFonts w:eastAsia="Times New Roman"/>
                <w:sz w:val="22"/>
                <w:szCs w:val="22"/>
              </w:rPr>
              <w:t xml:space="preserve">- </w:t>
            </w:r>
            <w:r w:rsidR="00C42F8E" w:rsidRPr="00EE7245">
              <w:rPr>
                <w:rFonts w:eastAsia="Times New Roman"/>
                <w:sz w:val="22"/>
                <w:szCs w:val="22"/>
              </w:rPr>
              <w:t>Directeur du SCN</w:t>
            </w:r>
          </w:p>
          <w:bookmarkEnd w:id="0"/>
          <w:p w:rsidR="007602B4" w:rsidRDefault="007602B4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</w:pPr>
          </w:p>
          <w:p w:rsidR="007602B4" w:rsidRDefault="00C42F8E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b/>
                <w:i/>
                <w:sz w:val="20"/>
              </w:rPr>
              <w:t>Liaisons fonctionnelles :</w:t>
            </w:r>
          </w:p>
          <w:p w:rsidR="007602B4" w:rsidRDefault="00C42F8E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- L’ensemble des services du Pôle scientifique</w:t>
            </w:r>
          </w:p>
          <w:p w:rsidR="007602B4" w:rsidRDefault="00C42F8E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- Les services de la communication, de la politique numérique et des manifestations culturelles</w:t>
            </w:r>
          </w:p>
          <w:p w:rsidR="007602B4" w:rsidRDefault="00C42F8E" w:rsidP="00EE7245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</w:pPr>
            <w:r>
              <w:rPr>
                <w:sz w:val="20"/>
              </w:rPr>
              <w:t xml:space="preserve">- Le secrétariat général </w:t>
            </w:r>
          </w:p>
        </w:tc>
      </w:tr>
    </w:tbl>
    <w:p w:rsidR="007602B4" w:rsidRDefault="007602B4">
      <w:pPr>
        <w:pStyle w:val="TableContents"/>
      </w:pPr>
    </w:p>
    <w:p w:rsidR="007602B4" w:rsidRDefault="007602B4">
      <w:pPr>
        <w:pageBreakBefore/>
        <w:rPr>
          <w:rFonts w:ascii="Times New Roman" w:hAnsi="Times New Roman" w:cs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Perspectives d'évolution :</w:t>
            </w:r>
          </w:p>
          <w:p w:rsidR="007602B4" w:rsidRDefault="007602B4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7602B4" w:rsidRDefault="007602B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Spécificités du poste / Contraintes / Sujétions : </w:t>
            </w:r>
          </w:p>
          <w:p w:rsidR="007602B4" w:rsidRDefault="007602B4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</w:tbl>
    <w:p w:rsidR="007602B4" w:rsidRDefault="007602B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Profil du candidat recherché (le cas échéant)</w:t>
            </w:r>
          </w:p>
          <w:p w:rsidR="007602B4" w:rsidRDefault="007602B4">
            <w:pPr>
              <w:pStyle w:val="TableContents"/>
              <w:snapToGrid w:val="0"/>
              <w:rPr>
                <w:sz w:val="20"/>
              </w:rPr>
            </w:pPr>
          </w:p>
          <w:p w:rsidR="007602B4" w:rsidRDefault="007602B4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7602B4" w:rsidRDefault="007602B4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7602B4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4" w:rsidRDefault="00C42F8E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Qui contacter ?</w:t>
            </w:r>
          </w:p>
          <w:p w:rsidR="007602B4" w:rsidRDefault="00C42F8E">
            <w:pPr>
              <w:pStyle w:val="TableContents"/>
              <w:snapToGrid w:val="0"/>
            </w:pPr>
            <w:r>
              <w:rPr>
                <w:sz w:val="20"/>
              </w:rPr>
              <w:br/>
            </w:r>
          </w:p>
        </w:tc>
      </w:tr>
    </w:tbl>
    <w:p w:rsidR="00C42F8E" w:rsidRDefault="00C42F8E">
      <w:pPr>
        <w:pStyle w:val="TableContents"/>
        <w:snapToGrid w:val="0"/>
      </w:pPr>
      <w:r>
        <w:rPr>
          <w:sz w:val="20"/>
        </w:rPr>
        <w:t xml:space="preserve">Date de mise à jour de la fiche de poste : </w:t>
      </w:r>
    </w:p>
    <w:sectPr w:rsidR="00C42F8E">
      <w:pgSz w:w="11906" w:h="16838"/>
      <w:pgMar w:top="397" w:right="737" w:bottom="3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70"/>
    <w:rsid w:val="00297070"/>
    <w:rsid w:val="007602B4"/>
    <w:rsid w:val="00C42F8E"/>
    <w:rsid w:val="00E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86DC3CA-F14B-456E-9EDE-10AB0C9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3">
    <w:name w:val="Police par défaut3"/>
  </w:style>
  <w:style w:type="character" w:customStyle="1" w:styleId="WW-Policepardfaut">
    <w:name w:val="WW-Police par défau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2">
    <w:name w:val="Police par défaut2"/>
  </w:style>
  <w:style w:type="character" w:customStyle="1" w:styleId="WW-Policepardfaut1">
    <w:name w:val="WW-Police par défaut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Arial" w:eastAsia="Lucida Sans Unicode" w:hAnsi="Arial" w:cs="Arial"/>
    </w:rPr>
  </w:style>
  <w:style w:type="character" w:customStyle="1" w:styleId="WW-Absatz-Standardschriftart11111">
    <w:name w:val="WW-Absatz-Standardschriftart11111"/>
  </w:style>
  <w:style w:type="character" w:customStyle="1" w:styleId="WW-Policepardfaut11">
    <w:name w:val="WW-Police par défau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character" w:customStyle="1" w:styleId="WW8Num3z1">
    <w:name w:val="WW8Num3z1"/>
    <w:rPr>
      <w:rFonts w:ascii="Courier New" w:hAnsi="Courier New" w:cs="Liberation Sans"/>
    </w:rPr>
  </w:style>
  <w:style w:type="character" w:customStyle="1" w:styleId="WW8Num3z2">
    <w:name w:val="WW8Num3z2"/>
    <w:rPr>
      <w:rFonts w:ascii="Wingdings" w:hAnsi="Wingdings" w:cs="Liberation Sans"/>
    </w:rPr>
  </w:style>
  <w:style w:type="character" w:customStyle="1" w:styleId="WW8Num3z3">
    <w:name w:val="WW8Num3z3"/>
    <w:rPr>
      <w:rFonts w:ascii="Symbol" w:hAnsi="Symbol" w:cs="Symbol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Liberation Sans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-tte1">
    <w:name w:val="En-tête1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 w:cs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 w:cs="Times New Roman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Ministere de la Culture et de la Communication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dc:description/>
  <cp:lastModifiedBy>roche</cp:lastModifiedBy>
  <cp:revision>3</cp:revision>
  <cp:lastPrinted>2009-05-11T13:24:00Z</cp:lastPrinted>
  <dcterms:created xsi:type="dcterms:W3CDTF">2015-11-03T13:28:00Z</dcterms:created>
  <dcterms:modified xsi:type="dcterms:W3CDTF">2015-11-05T08:43:00Z</dcterms:modified>
</cp:coreProperties>
</file>